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9DEE02">
      <w:pPr>
        <w:tabs>
          <w:tab w:val="left" w:pos="10440"/>
        </w:tabs>
        <w:snapToGrid w:val="0"/>
        <w:spacing w:line="360" w:lineRule="auto"/>
        <w:jc w:val="both"/>
        <w:rPr>
          <w:b/>
          <w:color w:val="000000" w:themeColor="text1"/>
          <w:sz w:val="32"/>
          <w:szCs w:val="32"/>
          <w:highlight w:val="none"/>
          <w:u w:val="single"/>
          <w14:textFill>
            <w14:solidFill>
              <w14:schemeClr w14:val="tx1"/>
            </w14:solidFill>
          </w14:textFill>
        </w:rPr>
      </w:pPr>
    </w:p>
    <w:p w14:paraId="57087E32">
      <w:pPr>
        <w:tabs>
          <w:tab w:val="left" w:pos="10440"/>
        </w:tabs>
        <w:snapToGrid w:val="0"/>
        <w:spacing w:line="360" w:lineRule="auto"/>
        <w:jc w:val="center"/>
        <w:rPr>
          <w:rFonts w:hint="eastAsia" w:ascii="黑体" w:hAnsi="黑体" w:eastAsia="黑体" w:cs="黑体"/>
          <w:b/>
          <w:color w:val="000000" w:themeColor="text1"/>
          <w:sz w:val="32"/>
          <w:szCs w:val="32"/>
          <w:highlight w:val="none"/>
          <w14:textFill>
            <w14:solidFill>
              <w14:schemeClr w14:val="tx1"/>
            </w14:solidFill>
          </w14:textFill>
        </w:rPr>
      </w:pPr>
      <w:r>
        <w:rPr>
          <w:rFonts w:hint="eastAsia" w:ascii="黑体" w:hAnsi="黑体" w:eastAsia="黑体" w:cs="黑体"/>
          <w:b/>
          <w:color w:val="000000" w:themeColor="text1"/>
          <w:sz w:val="32"/>
          <w:szCs w:val="32"/>
          <w:highlight w:val="none"/>
          <w14:textFill>
            <w14:solidFill>
              <w14:schemeClr w14:val="tx1"/>
            </w14:solidFill>
          </w14:textFill>
        </w:rPr>
        <w:t>山西省工程建设地方标准</w:t>
      </w:r>
    </w:p>
    <w:p w14:paraId="1BBC801A">
      <w:pPr>
        <w:tabs>
          <w:tab w:val="left" w:pos="10440"/>
        </w:tabs>
        <w:snapToGrid w:val="0"/>
        <w:spacing w:line="360" w:lineRule="auto"/>
        <w:jc w:val="center"/>
        <w:rPr>
          <w:rFonts w:hint="eastAsia"/>
          <w:b/>
          <w:color w:val="000000" w:themeColor="text1"/>
          <w:sz w:val="32"/>
          <w:szCs w:val="32"/>
          <w:highlight w:val="none"/>
          <w14:textFill>
            <w14:solidFill>
              <w14:schemeClr w14:val="tx1"/>
            </w14:solidFill>
          </w14:textFill>
        </w:rPr>
      </w:pPr>
    </w:p>
    <w:p w14:paraId="09E13E64">
      <w:pPr>
        <w:widowControl/>
        <w:adjustRightInd w:val="0"/>
        <w:snapToGrid w:val="0"/>
        <w:spacing w:line="312" w:lineRule="auto"/>
        <w:ind w:left="0" w:leftChars="0" w:firstLine="0" w:firstLineChars="0"/>
        <w:jc w:val="both"/>
        <w:outlineLvl w:val="9"/>
        <w:rPr>
          <w:rFonts w:hint="eastAsia" w:ascii="方正公文小标宋" w:hAnsi="方正公文小标宋" w:eastAsia="方正公文小标宋" w:cs="方正公文小标宋"/>
          <w:color w:val="000000" w:themeColor="text1"/>
          <w:sz w:val="36"/>
          <w:szCs w:val="36"/>
          <w14:textFill>
            <w14:solidFill>
              <w14:schemeClr w14:val="tx1"/>
            </w14:solidFill>
          </w14:textFill>
        </w:rPr>
      </w:pPr>
    </w:p>
    <w:p w14:paraId="4F3AF636">
      <w:pPr>
        <w:widowControl/>
        <w:adjustRightInd w:val="0"/>
        <w:snapToGrid w:val="0"/>
        <w:spacing w:line="312" w:lineRule="auto"/>
        <w:jc w:val="center"/>
        <w:outlineLvl w:val="9"/>
        <w:rPr>
          <w:rFonts w:hint="eastAsia" w:ascii="方正公文小标宋" w:hAnsi="方正公文小标宋" w:eastAsia="方正公文小标宋" w:cs="方正公文小标宋"/>
          <w:color w:val="000000" w:themeColor="text1"/>
          <w:sz w:val="44"/>
          <w:szCs w:val="44"/>
          <w14:textFill>
            <w14:solidFill>
              <w14:schemeClr w14:val="tx1"/>
            </w14:solidFill>
          </w14:textFill>
        </w:rPr>
      </w:pPr>
      <w:bookmarkStart w:id="0" w:name="_Toc30998"/>
      <w:bookmarkStart w:id="1" w:name="_Toc30355"/>
      <w:bookmarkStart w:id="2" w:name="_Toc4077"/>
      <w:r>
        <w:rPr>
          <w:rFonts w:hint="eastAsia" w:ascii="黑体" w:hAnsi="黑体" w:eastAsia="黑体"/>
          <w:color w:val="000000" w:themeColor="text1"/>
          <w:sz w:val="52"/>
          <w:szCs w:val="52"/>
          <w:lang w:val="en-US" w:eastAsia="zh-CN"/>
          <w14:textFill>
            <w14:solidFill>
              <w14:schemeClr w14:val="tx1"/>
            </w14:solidFill>
          </w14:textFill>
        </w:rPr>
        <w:t>好房子</w:t>
      </w:r>
      <w:r>
        <w:rPr>
          <w:rFonts w:hint="eastAsia" w:ascii="黑体" w:hAnsi="黑体" w:eastAsia="黑体"/>
          <w:color w:val="000000" w:themeColor="text1"/>
          <w:sz w:val="52"/>
          <w:szCs w:val="52"/>
          <w14:textFill>
            <w14:solidFill>
              <w14:schemeClr w14:val="tx1"/>
            </w14:solidFill>
          </w14:textFill>
        </w:rPr>
        <w:t>技术标准</w:t>
      </w:r>
      <w:bookmarkEnd w:id="0"/>
      <w:bookmarkEnd w:id="1"/>
      <w:bookmarkEnd w:id="2"/>
    </w:p>
    <w:p w14:paraId="2C9F8D73">
      <w:pPr>
        <w:widowControl/>
        <w:adjustRightInd w:val="0"/>
        <w:snapToGrid w:val="0"/>
        <w:spacing w:line="312" w:lineRule="auto"/>
        <w:jc w:val="center"/>
        <w:outlineLvl w:val="9"/>
        <w:rPr>
          <w:rFonts w:hint="eastAsia"/>
          <w:color w:val="000000" w:themeColor="text1"/>
          <w:sz w:val="36"/>
          <w:szCs w:val="36"/>
          <w14:textFill>
            <w14:solidFill>
              <w14:schemeClr w14:val="tx1"/>
            </w14:solidFill>
          </w14:textFill>
        </w:rPr>
      </w:pPr>
      <w:r>
        <w:rPr>
          <w:rFonts w:hint="eastAsia"/>
          <w:color w:val="000000" w:themeColor="text1"/>
          <w:sz w:val="36"/>
          <w:szCs w:val="36"/>
          <w:highlight w:val="none"/>
          <w:lang w:val="en-US" w:eastAsia="zh-CN"/>
          <w14:textFill>
            <w14:solidFill>
              <w14:schemeClr w14:val="tx1"/>
            </w14:solidFill>
          </w14:textFill>
        </w:rPr>
        <w:t>Tech</w:t>
      </w:r>
      <w:r>
        <w:rPr>
          <w:rFonts w:hint="eastAsia"/>
          <w:color w:val="000000" w:themeColor="text1"/>
          <w:sz w:val="36"/>
          <w:szCs w:val="36"/>
          <w:highlight w:val="none"/>
          <w:u w:val="none"/>
          <w:lang w:val="en-US" w:eastAsia="zh-CN"/>
          <w14:textFill>
            <w14:solidFill>
              <w14:schemeClr w14:val="tx1"/>
            </w14:solidFill>
          </w14:textFill>
        </w:rPr>
        <w:t>nical</w:t>
      </w:r>
      <w:r>
        <w:rPr>
          <w:color w:val="000000" w:themeColor="text1"/>
          <w:sz w:val="36"/>
          <w:szCs w:val="36"/>
          <w:highlight w:val="none"/>
          <w:u w:val="none"/>
          <w14:textFill>
            <w14:solidFill>
              <w14:schemeClr w14:val="tx1"/>
            </w14:solidFill>
          </w14:textFill>
        </w:rPr>
        <w:t xml:space="preserve"> stand</w:t>
      </w:r>
      <w:r>
        <w:rPr>
          <w:color w:val="000000" w:themeColor="text1"/>
          <w:sz w:val="36"/>
          <w:szCs w:val="36"/>
          <w:highlight w:val="none"/>
          <w14:textFill>
            <w14:solidFill>
              <w14:schemeClr w14:val="tx1"/>
            </w14:solidFill>
          </w14:textFill>
        </w:rPr>
        <w:t xml:space="preserve">ard </w:t>
      </w:r>
      <w:r>
        <w:rPr>
          <w:rFonts w:hint="eastAsia"/>
          <w:color w:val="000000" w:themeColor="text1"/>
          <w:sz w:val="36"/>
          <w:szCs w:val="36"/>
          <w:highlight w:val="none"/>
          <w:lang w:val="en-US" w:eastAsia="zh-CN"/>
          <w14:textFill>
            <w14:solidFill>
              <w14:schemeClr w14:val="tx1"/>
            </w14:solidFill>
          </w14:textFill>
        </w:rPr>
        <w:t>for</w:t>
      </w:r>
      <w:r>
        <w:rPr>
          <w:rFonts w:hint="eastAsia"/>
          <w:color w:val="000000" w:themeColor="text1"/>
          <w:sz w:val="36"/>
          <w:szCs w:val="36"/>
          <w:highlight w:val="none"/>
          <w:lang w:val="en-US" w:eastAsia="zh-CN"/>
          <w14:textFill>
            <w14:solidFill>
              <w14:schemeClr w14:val="tx1"/>
            </w14:solidFill>
          </w14:textFill>
        </w:rPr>
        <w:t xml:space="preserve"> </w:t>
      </w:r>
      <w:r>
        <w:rPr>
          <w:rFonts w:hint="eastAsia"/>
          <w:color w:val="000000" w:themeColor="text1"/>
          <w:sz w:val="36"/>
          <w:szCs w:val="36"/>
          <w:highlight w:val="none"/>
          <w:u w:val="none"/>
          <w:lang w:val="en-US" w:eastAsia="zh-CN"/>
          <w14:textFill>
            <w14:solidFill>
              <w14:schemeClr w14:val="tx1"/>
            </w14:solidFill>
          </w14:textFill>
        </w:rPr>
        <w:t>better</w:t>
      </w:r>
      <w:r>
        <w:rPr>
          <w:rFonts w:hint="eastAsia"/>
          <w:color w:val="000000" w:themeColor="text1"/>
          <w:sz w:val="36"/>
          <w:szCs w:val="36"/>
          <w:highlight w:val="none"/>
          <w:lang w:val="en-US" w:eastAsia="zh-CN"/>
          <w14:textFill>
            <w14:solidFill>
              <w14:schemeClr w14:val="tx1"/>
            </w14:solidFill>
          </w14:textFill>
        </w:rPr>
        <w:t xml:space="preserve"> </w:t>
      </w:r>
      <w:r>
        <w:rPr>
          <w:rFonts w:hint="eastAsia"/>
          <w:color w:val="000000" w:themeColor="text1"/>
          <w:sz w:val="36"/>
          <w:szCs w:val="36"/>
          <w:highlight w:val="none"/>
          <w:lang w:val="en-US" w:eastAsia="zh-CN"/>
          <w14:textFill>
            <w14:solidFill>
              <w14:schemeClr w14:val="tx1"/>
            </w14:solidFill>
          </w14:textFill>
        </w:rPr>
        <w:t>housing</w:t>
      </w:r>
    </w:p>
    <w:p w14:paraId="033CDDDA">
      <w:pPr>
        <w:tabs>
          <w:tab w:val="left" w:pos="10440"/>
        </w:tabs>
        <w:snapToGrid w:val="0"/>
        <w:spacing w:line="312" w:lineRule="auto"/>
        <w:jc w:val="center"/>
        <w:rPr>
          <w:rFonts w:hint="eastAsia"/>
          <w:b/>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z w:val="44"/>
          <w:szCs w:val="44"/>
          <w:lang w:val="en-US" w:eastAsia="zh-CN"/>
          <w14:textFill>
            <w14:solidFill>
              <w14:schemeClr w14:val="tx1"/>
            </w14:solidFill>
          </w14:textFill>
        </w:rPr>
        <w:t>（征求意见稿）</w:t>
      </w:r>
    </w:p>
    <w:p w14:paraId="745F27EA">
      <w:pPr>
        <w:pStyle w:val="7"/>
        <w:outlineLvl w:val="9"/>
        <w:rPr>
          <w:rFonts w:hint="eastAsia" w:ascii="方正小标宋简体" w:eastAsia="方正小标宋简体"/>
          <w:color w:val="000000" w:themeColor="text1"/>
          <w:sz w:val="44"/>
          <w:szCs w:val="44"/>
          <w14:textFill>
            <w14:solidFill>
              <w14:schemeClr w14:val="tx1"/>
            </w14:solidFill>
          </w14:textFill>
        </w:rPr>
      </w:pPr>
    </w:p>
    <w:p w14:paraId="5881616A">
      <w:pPr>
        <w:pStyle w:val="7"/>
        <w:outlineLvl w:val="9"/>
        <w:rPr>
          <w:rFonts w:ascii="方正小标宋简体" w:eastAsia="方正小标宋简体"/>
          <w:color w:val="000000" w:themeColor="text1"/>
          <w:sz w:val="44"/>
          <w:szCs w:val="44"/>
          <w14:textFill>
            <w14:solidFill>
              <w14:schemeClr w14:val="tx1"/>
            </w14:solidFill>
          </w14:textFill>
        </w:rPr>
      </w:pPr>
    </w:p>
    <w:p w14:paraId="014EBFE2">
      <w:pPr>
        <w:outlineLvl w:val="9"/>
        <w:rPr>
          <w:color w:val="000000" w:themeColor="text1"/>
          <w:sz w:val="21"/>
          <w:szCs w:val="24"/>
          <w14:textFill>
            <w14:solidFill>
              <w14:schemeClr w14:val="tx1"/>
            </w14:solidFill>
          </w14:textFill>
        </w:rPr>
      </w:pPr>
    </w:p>
    <w:p w14:paraId="2F94AAC4">
      <w:pPr>
        <w:pStyle w:val="7"/>
        <w:outlineLvl w:val="9"/>
        <w:rPr>
          <w:color w:val="000000" w:themeColor="text1"/>
          <w:sz w:val="21"/>
          <w:szCs w:val="24"/>
          <w14:textFill>
            <w14:solidFill>
              <w14:schemeClr w14:val="tx1"/>
            </w14:solidFill>
          </w14:textFill>
        </w:rPr>
      </w:pPr>
    </w:p>
    <w:p w14:paraId="449A12A6">
      <w:pPr>
        <w:pStyle w:val="7"/>
        <w:outlineLvl w:val="9"/>
        <w:rPr>
          <w:color w:val="000000" w:themeColor="text1"/>
          <w:sz w:val="21"/>
          <w:szCs w:val="24"/>
          <w14:textFill>
            <w14:solidFill>
              <w14:schemeClr w14:val="tx1"/>
            </w14:solidFill>
          </w14:textFill>
        </w:rPr>
      </w:pPr>
    </w:p>
    <w:p w14:paraId="1A67305B">
      <w:pPr>
        <w:pStyle w:val="7"/>
        <w:outlineLvl w:val="9"/>
        <w:rPr>
          <w:color w:val="000000" w:themeColor="text1"/>
          <w:sz w:val="21"/>
          <w:szCs w:val="24"/>
          <w14:textFill>
            <w14:solidFill>
              <w14:schemeClr w14:val="tx1"/>
            </w14:solidFill>
          </w14:textFill>
        </w:rPr>
      </w:pPr>
    </w:p>
    <w:p w14:paraId="2F8F3C6D">
      <w:pPr>
        <w:pStyle w:val="7"/>
        <w:outlineLvl w:val="9"/>
        <w:rPr>
          <w:color w:val="000000" w:themeColor="text1"/>
          <w:sz w:val="21"/>
          <w:szCs w:val="24"/>
          <w14:textFill>
            <w14:solidFill>
              <w14:schemeClr w14:val="tx1"/>
            </w14:solidFill>
          </w14:textFill>
        </w:rPr>
      </w:pPr>
    </w:p>
    <w:p w14:paraId="57CC02AA">
      <w:pPr>
        <w:pStyle w:val="7"/>
        <w:outlineLvl w:val="9"/>
        <w:rPr>
          <w:color w:val="000000" w:themeColor="text1"/>
          <w:sz w:val="21"/>
          <w:szCs w:val="24"/>
          <w14:textFill>
            <w14:solidFill>
              <w14:schemeClr w14:val="tx1"/>
            </w14:solidFill>
          </w14:textFill>
        </w:rPr>
      </w:pPr>
    </w:p>
    <w:p w14:paraId="282F05E3">
      <w:pPr>
        <w:pStyle w:val="7"/>
        <w:ind w:firstLine="1285" w:firstLineChars="400"/>
        <w:outlineLvl w:val="9"/>
        <w:rPr>
          <w:color w:val="000000" w:themeColor="text1"/>
          <w:sz w:val="21"/>
          <w:szCs w:val="24"/>
          <w14:textFill>
            <w14:solidFill>
              <w14:schemeClr w14:val="tx1"/>
            </w14:solidFill>
          </w14:textFill>
        </w:rPr>
      </w:pPr>
      <w:r>
        <w:rPr>
          <w:rFonts w:hint="eastAsia"/>
          <w:b/>
          <w:color w:val="000000" w:themeColor="text1"/>
          <w:sz w:val="32"/>
          <w:szCs w:val="32"/>
          <w14:textFill>
            <w14:solidFill>
              <w14:schemeClr w14:val="tx1"/>
            </w14:solidFill>
          </w14:textFill>
        </w:rPr>
        <w:t>批准部门：山西省住房和城乡建设厅</w:t>
      </w:r>
    </w:p>
    <w:p w14:paraId="3642D0B9">
      <w:pPr>
        <w:snapToGrid w:val="0"/>
        <w:spacing w:line="360" w:lineRule="auto"/>
        <w:ind w:firstLine="1285" w:firstLineChars="400"/>
        <w:outlineLvl w:val="9"/>
        <w:rPr>
          <w:rFonts w:hint="eastAsia" w:ascii="Times New Roman" w:hAnsi="Times New Roman" w:eastAsia="宋体" w:cs="Times New Roman"/>
          <w:b/>
          <w:color w:val="000000" w:themeColor="text1"/>
          <w:kern w:val="2"/>
          <w:sz w:val="32"/>
          <w:szCs w:val="32"/>
          <w:lang w:val="en-US" w:eastAsia="zh-CN" w:bidi="ar-SA"/>
          <w14:textFill>
            <w14:solidFill>
              <w14:schemeClr w14:val="tx1"/>
            </w14:solidFill>
          </w14:textFill>
        </w:rPr>
      </w:pPr>
      <w:bookmarkStart w:id="3" w:name="_Toc9335"/>
      <w:bookmarkStart w:id="4" w:name="_Toc13719"/>
      <w:bookmarkStart w:id="5" w:name="_Toc12913"/>
      <w:r>
        <w:rPr>
          <w:rFonts w:hint="eastAsia" w:ascii="Times New Roman" w:hAnsi="Times New Roman" w:eastAsia="宋体" w:cs="Times New Roman"/>
          <w:b/>
          <w:color w:val="000000" w:themeColor="text1"/>
          <w:kern w:val="2"/>
          <w:sz w:val="32"/>
          <w:szCs w:val="32"/>
          <w:lang w:val="en-US" w:eastAsia="zh-CN" w:bidi="ar-SA"/>
          <w14:textFill>
            <w14:solidFill>
              <w14:schemeClr w14:val="tx1"/>
            </w14:solidFill>
          </w14:textFill>
        </w:rPr>
        <w:t>主编单位：山西省建筑设计研究院有限公司</w:t>
      </w:r>
      <w:bookmarkEnd w:id="3"/>
      <w:bookmarkEnd w:id="4"/>
      <w:bookmarkEnd w:id="5"/>
    </w:p>
    <w:p w14:paraId="43B7B930">
      <w:pPr>
        <w:snapToGrid w:val="0"/>
        <w:spacing w:line="360" w:lineRule="auto"/>
        <w:ind w:firstLine="643" w:firstLineChars="200"/>
        <w:outlineLvl w:val="9"/>
        <w:rPr>
          <w:rFonts w:hint="eastAsia" w:ascii="Times New Roman" w:hAnsi="Times New Roman" w:eastAsia="宋体" w:cs="Times New Roman"/>
          <w:b/>
          <w:color w:val="000000" w:themeColor="text1"/>
          <w:kern w:val="2"/>
          <w:sz w:val="32"/>
          <w:szCs w:val="32"/>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32"/>
          <w:szCs w:val="32"/>
          <w:lang w:val="en-US" w:eastAsia="zh-CN" w:bidi="ar-SA"/>
          <w14:textFill>
            <w14:solidFill>
              <w14:schemeClr w14:val="tx1"/>
            </w14:solidFill>
          </w14:textFill>
        </w:rPr>
        <w:t xml:space="preserve">          </w:t>
      </w:r>
      <w:bookmarkStart w:id="6" w:name="_Toc29612"/>
      <w:bookmarkStart w:id="7" w:name="_Toc28093"/>
      <w:bookmarkStart w:id="8" w:name="_Toc432"/>
      <w:r>
        <w:rPr>
          <w:rFonts w:hint="eastAsia" w:ascii="Times New Roman" w:hAnsi="Times New Roman" w:eastAsia="宋体" w:cs="Times New Roman"/>
          <w:b/>
          <w:color w:val="000000" w:themeColor="text1"/>
          <w:kern w:val="2"/>
          <w:sz w:val="32"/>
          <w:szCs w:val="32"/>
          <w:lang w:val="en-US" w:eastAsia="zh-CN" w:bidi="ar-SA"/>
          <w14:textFill>
            <w14:solidFill>
              <w14:schemeClr w14:val="tx1"/>
            </w14:solidFill>
          </w14:textFill>
        </w:rPr>
        <w:t xml:space="preserve">    </w:t>
      </w:r>
      <w:bookmarkEnd w:id="6"/>
      <w:bookmarkEnd w:id="7"/>
      <w:bookmarkEnd w:id="8"/>
      <w:r>
        <w:rPr>
          <w:rFonts w:hint="eastAsia" w:ascii="Times New Roman" w:hAnsi="Times New Roman" w:eastAsia="宋体" w:cs="Times New Roman"/>
          <w:b/>
          <w:color w:val="000000" w:themeColor="text1"/>
          <w:kern w:val="2"/>
          <w:sz w:val="32"/>
          <w:szCs w:val="32"/>
          <w:lang w:val="en-US" w:eastAsia="zh-CN" w:bidi="ar-SA"/>
          <w14:textFill>
            <w14:solidFill>
              <w14:schemeClr w14:val="tx1"/>
            </w14:solidFill>
          </w14:textFill>
        </w:rPr>
        <w:t>山西建投城市运营集团有限公司</w:t>
      </w:r>
    </w:p>
    <w:p w14:paraId="61789583">
      <w:pPr>
        <w:tabs>
          <w:tab w:val="left" w:pos="10440"/>
        </w:tabs>
        <w:snapToGrid w:val="0"/>
        <w:spacing w:line="360" w:lineRule="auto"/>
        <w:ind w:firstLine="1285" w:firstLineChars="400"/>
        <w:rPr>
          <w:rFonts w:hint="eastAsia" w:ascii="Times New Roman" w:hAnsi="Times New Roman" w:eastAsia="宋体" w:cs="Times New Roman"/>
          <w:b/>
          <w:color w:val="000000" w:themeColor="text1"/>
          <w:kern w:val="2"/>
          <w:sz w:val="32"/>
          <w:szCs w:val="32"/>
          <w:lang w:val="en-US" w:eastAsia="zh-CN" w:bidi="ar-SA"/>
          <w14:textFill>
            <w14:solidFill>
              <w14:schemeClr w14:val="tx1"/>
            </w14:solidFill>
          </w14:textFill>
        </w:rPr>
      </w:pPr>
    </w:p>
    <w:p w14:paraId="29968693">
      <w:pPr>
        <w:tabs>
          <w:tab w:val="left" w:pos="10440"/>
        </w:tabs>
        <w:snapToGrid w:val="0"/>
        <w:spacing w:line="360" w:lineRule="auto"/>
        <w:ind w:left="0" w:leftChars="0" w:firstLine="0" w:firstLineChars="0"/>
        <w:jc w:val="both"/>
        <w:rPr>
          <w:rFonts w:hint="eastAsia" w:ascii="Times New Roman" w:hAnsi="Times New Roman" w:eastAsia="宋体" w:cs="Times New Roman"/>
          <w:b/>
          <w:color w:val="000000" w:themeColor="text1"/>
          <w:kern w:val="2"/>
          <w:sz w:val="32"/>
          <w:szCs w:val="32"/>
          <w:lang w:val="en-US" w:eastAsia="zh-CN" w:bidi="ar-SA"/>
          <w14:textFill>
            <w14:solidFill>
              <w14:schemeClr w14:val="tx1"/>
            </w14:solidFill>
          </w14:textFill>
        </w:rPr>
      </w:pPr>
    </w:p>
    <w:p w14:paraId="3737DABF">
      <w:pPr>
        <w:snapToGrid w:val="0"/>
        <w:spacing w:line="360" w:lineRule="auto"/>
        <w:ind w:firstLine="3534" w:firstLineChars="1100"/>
        <w:outlineLvl w:val="9"/>
        <w:rPr>
          <w:rFonts w:hint="eastAsia" w:ascii="Times New Roman" w:hAnsi="Times New Roman" w:eastAsia="宋体" w:cs="Times New Roman"/>
          <w:b/>
          <w:color w:val="000000" w:themeColor="text1"/>
          <w:kern w:val="2"/>
          <w:sz w:val="32"/>
          <w:szCs w:val="32"/>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32"/>
          <w:szCs w:val="32"/>
          <w:lang w:val="en-US" w:eastAsia="zh-CN" w:bidi="ar-SA"/>
          <w14:textFill>
            <w14:solidFill>
              <w14:schemeClr w14:val="tx1"/>
            </w14:solidFill>
          </w14:textFill>
        </w:rPr>
        <w:t>2025 太原</w:t>
      </w:r>
    </w:p>
    <w:p w14:paraId="118035F8">
      <w:pPr>
        <w:snapToGrid w:val="0"/>
        <w:spacing w:line="360" w:lineRule="auto"/>
        <w:outlineLvl w:val="9"/>
        <w:rPr>
          <w:rFonts w:hint="eastAsia" w:ascii="等线" w:hAnsi="等线" w:eastAsia="等线" w:cs="等线"/>
          <w:color w:val="000000" w:themeColor="text1"/>
          <w:sz w:val="32"/>
          <w:szCs w:val="32"/>
          <w:lang w:eastAsia="zh-CN"/>
          <w14:textFill>
            <w14:solidFill>
              <w14:schemeClr w14:val="tx1"/>
            </w14:solidFill>
          </w14:textFill>
        </w:rPr>
      </w:pPr>
      <w:r>
        <w:rPr>
          <w:rFonts w:hint="eastAsia" w:ascii="Times New Roman" w:hAnsi="Times New Roman" w:cs="Times New Roman"/>
          <w:b/>
          <w:color w:val="000000" w:themeColor="text1"/>
          <w:sz w:val="32"/>
          <w:szCs w:val="32"/>
          <w14:textFill>
            <w14:solidFill>
              <w14:schemeClr w14:val="tx1"/>
            </w14:solidFill>
          </w14:textFill>
        </w:rPr>
        <w:br w:type="page"/>
      </w:r>
    </w:p>
    <w:p w14:paraId="00FBBBEC">
      <w:pPr>
        <w:pStyle w:val="15"/>
        <w:ind w:left="720" w:hanging="720"/>
        <w:jc w:val="center"/>
        <w:rPr>
          <w:rFonts w:hint="eastAsia" w:ascii="Times New Roman" w:hAnsi="Times New Roman" w:cs="Times New Roman"/>
          <w:color w:val="000000" w:themeColor="text1"/>
          <w:sz w:val="28"/>
          <w:szCs w:val="28"/>
          <w14:textFill>
            <w14:solidFill>
              <w14:schemeClr w14:val="tx1"/>
            </w14:solidFill>
          </w14:textFill>
        </w:rPr>
      </w:pPr>
      <w:r>
        <w:rPr>
          <w:rFonts w:hint="eastAsia" w:ascii="Times New Roman" w:hAnsi="Times New Roman" w:cs="Times New Roman"/>
          <w:color w:val="000000" w:themeColor="text1"/>
          <w:sz w:val="28"/>
          <w:szCs w:val="28"/>
          <w:lang w:val="zh-CN"/>
          <w14:textFill>
            <w14:solidFill>
              <w14:schemeClr w14:val="tx1"/>
            </w14:solidFill>
          </w14:textFill>
        </w:rPr>
        <w:t>前 言</w:t>
      </w:r>
    </w:p>
    <w:p w14:paraId="07B14AB6">
      <w:pPr>
        <w:keepNext w:val="0"/>
        <w:keepLines w:val="0"/>
        <w:pageBreakBefore w:val="0"/>
        <w:widowControl w:val="0"/>
        <w:kinsoku/>
        <w:wordWrap/>
        <w:overflowPunct/>
        <w:topLinePunct w:val="0"/>
        <w:autoSpaceDE/>
        <w:autoSpaceDN/>
        <w:bidi w:val="0"/>
        <w:adjustRightInd w:val="0"/>
        <w:snapToGrid/>
        <w:spacing w:line="360" w:lineRule="auto"/>
        <w:ind w:left="640" w:leftChars="200" w:firstLine="480" w:firstLineChars="200"/>
        <w:textAlignment w:val="auto"/>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根据山西省住房和城乡建设厅《关于印发〈</w:t>
      </w:r>
      <w:r>
        <w:rPr>
          <w:rFonts w:hint="eastAsia" w:ascii="宋体" w:hAnsi="宋体" w:eastAsia="宋体"/>
          <w:color w:val="000000" w:themeColor="text1"/>
          <w:sz w:val="24"/>
          <w:szCs w:val="24"/>
          <w:lang w:val="en-US" w:eastAsia="zh-CN"/>
          <w14:textFill>
            <w14:solidFill>
              <w14:schemeClr w14:val="tx1"/>
            </w14:solidFill>
          </w14:textFill>
        </w:rPr>
        <w:t>2025</w:t>
      </w:r>
      <w:r>
        <w:rPr>
          <w:rFonts w:hint="eastAsia" w:ascii="宋体" w:hAnsi="宋体" w:eastAsia="宋体"/>
          <w:color w:val="000000" w:themeColor="text1"/>
          <w:sz w:val="24"/>
          <w:szCs w:val="24"/>
          <w14:textFill>
            <w14:solidFill>
              <w14:schemeClr w14:val="tx1"/>
            </w14:solidFill>
          </w14:textFill>
        </w:rPr>
        <w:t>年山西省工程建设地方标准规范修订计划〉的通知》</w:t>
      </w:r>
      <w:r>
        <w:rPr>
          <w:rFonts w:hint="eastAsia" w:ascii="宋体" w:hAnsi="宋体" w:eastAsia="宋体"/>
          <w:color w:val="000000" w:themeColor="text1"/>
          <w:sz w:val="24"/>
          <w:szCs w:val="24"/>
          <w14:textFill>
            <w14:solidFill>
              <w14:schemeClr w14:val="tx1"/>
            </w14:solidFill>
          </w14:textFill>
        </w:rPr>
        <w:t>（晋建</w:t>
      </w:r>
      <w:r>
        <w:rPr>
          <w:rFonts w:hint="eastAsia" w:ascii="宋体" w:hAnsi="宋体" w:eastAsia="宋体"/>
          <w:color w:val="000000" w:themeColor="text1"/>
          <w:sz w:val="24"/>
          <w:szCs w:val="24"/>
          <w:lang w:val="en-US" w:eastAsia="zh-CN"/>
          <w14:textFill>
            <w14:solidFill>
              <w14:schemeClr w14:val="tx1"/>
            </w14:solidFill>
          </w14:textFill>
        </w:rPr>
        <w:t>科</w:t>
      </w:r>
      <w:r>
        <w:rPr>
          <w:rFonts w:hint="eastAsia" w:ascii="宋体" w:hAnsi="宋体" w:eastAsia="宋体"/>
          <w:color w:val="000000" w:themeColor="text1"/>
          <w:sz w:val="24"/>
          <w:szCs w:val="24"/>
          <w14:textFill>
            <w14:solidFill>
              <w14:schemeClr w14:val="tx1"/>
            </w14:solidFill>
          </w14:textFill>
        </w:rPr>
        <w:t>字</w:t>
      </w:r>
      <w:r>
        <w:rPr>
          <w:rFonts w:hint="eastAsia" w:ascii="宋体" w:hAnsi="宋体" w:eastAsia="宋体"/>
          <w:color w:val="000000" w:themeColor="text1"/>
          <w:sz w:val="24"/>
          <w:szCs w:val="24"/>
          <w:lang w:eastAsia="zh-CN"/>
          <w14:textFill>
            <w14:solidFill>
              <w14:schemeClr w14:val="tx1"/>
            </w14:solidFill>
          </w14:textFill>
        </w:rPr>
        <w:t>〔2025〕74号</w:t>
      </w:r>
      <w:r>
        <w:rPr>
          <w:rFonts w:hint="eastAsia" w:ascii="宋体" w:hAnsi="宋体" w:eastAsia="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要求，标准编制组依据国家</w:t>
      </w:r>
      <w:r>
        <w:rPr>
          <w:rFonts w:hint="eastAsia" w:ascii="宋体" w:hAnsi="宋体" w:eastAsia="宋体"/>
          <w:color w:val="000000" w:themeColor="text1"/>
          <w:sz w:val="24"/>
          <w:szCs w:val="24"/>
          <w:lang w:val="en-US" w:eastAsia="zh-CN"/>
          <w14:textFill>
            <w14:solidFill>
              <w14:schemeClr w14:val="tx1"/>
            </w14:solidFill>
          </w14:textFill>
        </w:rPr>
        <w:t>规范</w:t>
      </w:r>
      <w:r>
        <w:rPr>
          <w:rFonts w:hint="eastAsia" w:ascii="宋体" w:hAnsi="宋体" w:eastAsia="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lang w:val="en-US" w:eastAsia="zh-CN"/>
          <w14:textFill>
            <w14:solidFill>
              <w14:schemeClr w14:val="tx1"/>
            </w14:solidFill>
          </w14:textFill>
        </w:rPr>
        <w:t>住宅项目规范</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GB</w:t>
      </w:r>
      <w:r>
        <w:rPr>
          <w:rFonts w:hint="eastAsia" w:ascii="宋体" w:hAnsi="宋体" w:eastAsia="宋体"/>
          <w:color w:val="000000" w:themeColor="text1"/>
          <w:sz w:val="24"/>
          <w:szCs w:val="24"/>
          <w:lang w:val="en-US" w:eastAsia="zh-CN"/>
          <w14:textFill>
            <w14:solidFill>
              <w14:schemeClr w14:val="tx1"/>
            </w14:solidFill>
          </w14:textFill>
        </w:rPr>
        <w:t>55038-2025</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结合山西省实际情况，</w:t>
      </w:r>
      <w:r>
        <w:rPr>
          <w:rFonts w:hint="eastAsia" w:ascii="宋体" w:hAnsi="宋体" w:eastAsia="宋体"/>
          <w:color w:val="000000" w:themeColor="text1"/>
          <w:sz w:val="24"/>
          <w:szCs w:val="24"/>
          <w14:textFill>
            <w14:solidFill>
              <w14:schemeClr w14:val="tx1"/>
            </w14:solidFill>
          </w14:textFill>
        </w:rPr>
        <w:t>在深入调查研究，广泛征求意见的基础上</w:t>
      </w:r>
      <w:r>
        <w:rPr>
          <w:rFonts w:ascii="宋体" w:hAnsi="宋体" w:eastAsia="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编制了本标准</w:t>
      </w:r>
      <w:r>
        <w:rPr>
          <w:rFonts w:ascii="宋体" w:hAnsi="宋体" w:eastAsia="宋体"/>
          <w:color w:val="000000" w:themeColor="text1"/>
          <w:sz w:val="24"/>
          <w:szCs w:val="24"/>
          <w14:textFill>
            <w14:solidFill>
              <w14:schemeClr w14:val="tx1"/>
            </w14:solidFill>
          </w14:textFill>
        </w:rPr>
        <w:t>。</w:t>
      </w:r>
    </w:p>
    <w:p w14:paraId="57D4003F">
      <w:pPr>
        <w:keepNext w:val="0"/>
        <w:keepLines w:val="0"/>
        <w:pageBreakBefore w:val="0"/>
        <w:widowControl w:val="0"/>
        <w:kinsoku/>
        <w:wordWrap/>
        <w:overflowPunct/>
        <w:topLinePunct w:val="0"/>
        <w:autoSpaceDE/>
        <w:autoSpaceDN/>
        <w:bidi w:val="0"/>
        <w:adjustRightInd w:val="0"/>
        <w:snapToGrid/>
        <w:spacing w:line="360" w:lineRule="auto"/>
        <w:ind w:left="640" w:leftChars="200" w:firstLine="480" w:firstLineChars="200"/>
        <w:textAlignment w:val="auto"/>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本标准共分</w:t>
      </w:r>
      <w:r>
        <w:rPr>
          <w:rFonts w:hint="eastAsia" w:ascii="宋体" w:hAnsi="宋体" w:eastAsia="宋体"/>
          <w:color w:val="000000" w:themeColor="text1"/>
          <w:sz w:val="24"/>
          <w:szCs w:val="24"/>
          <w:lang w:val="en-US" w:eastAsia="zh-CN"/>
          <w14:textFill>
            <w14:solidFill>
              <w14:schemeClr w14:val="tx1"/>
            </w14:solidFill>
          </w14:textFill>
        </w:rPr>
        <w:t>9</w:t>
      </w:r>
      <w:r>
        <w:rPr>
          <w:rFonts w:hint="eastAsia" w:ascii="宋体" w:hAnsi="宋体" w:eastAsia="宋体"/>
          <w:color w:val="000000" w:themeColor="text1"/>
          <w:sz w:val="24"/>
          <w:szCs w:val="24"/>
          <w14:textFill>
            <w14:solidFill>
              <w14:schemeClr w14:val="tx1"/>
            </w14:solidFill>
          </w14:textFill>
        </w:rPr>
        <w:t>章，主要</w:t>
      </w:r>
      <w:r>
        <w:rPr>
          <w:rFonts w:hint="eastAsia" w:ascii="宋体" w:hAnsi="宋体" w:eastAsia="宋体"/>
          <w:color w:val="000000" w:themeColor="text1"/>
          <w:sz w:val="24"/>
          <w:szCs w:val="24"/>
          <w:lang w:val="en-US" w:eastAsia="zh-CN"/>
          <w14:textFill>
            <w14:solidFill>
              <w14:schemeClr w14:val="tx1"/>
            </w14:solidFill>
          </w14:textFill>
        </w:rPr>
        <w:t>技术</w:t>
      </w:r>
      <w:r>
        <w:rPr>
          <w:rFonts w:hint="eastAsia" w:ascii="宋体" w:hAnsi="宋体" w:eastAsia="宋体"/>
          <w:color w:val="000000" w:themeColor="text1"/>
          <w:sz w:val="24"/>
          <w:szCs w:val="24"/>
          <w14:textFill>
            <w14:solidFill>
              <w14:schemeClr w14:val="tx1"/>
            </w14:solidFill>
          </w14:textFill>
        </w:rPr>
        <w:t>内容包括：1.总则；2.术语；3.基本规定；4.</w:t>
      </w:r>
      <w:r>
        <w:rPr>
          <w:rFonts w:hint="eastAsia" w:ascii="宋体" w:hAnsi="宋体" w:eastAsia="宋体"/>
          <w:color w:val="000000" w:themeColor="text1"/>
          <w:sz w:val="24"/>
          <w:szCs w:val="24"/>
          <w:lang w:val="en-US" w:eastAsia="zh-CN"/>
          <w14:textFill>
            <w14:solidFill>
              <w14:schemeClr w14:val="tx1"/>
            </w14:solidFill>
          </w14:textFill>
        </w:rPr>
        <w:t>规划选址</w:t>
      </w:r>
      <w:r>
        <w:rPr>
          <w:rFonts w:hint="eastAsia" w:ascii="宋体" w:hAnsi="宋体" w:eastAsia="宋体"/>
          <w:color w:val="000000" w:themeColor="text1"/>
          <w:sz w:val="24"/>
          <w:szCs w:val="24"/>
          <w14:textFill>
            <w14:solidFill>
              <w14:schemeClr w14:val="tx1"/>
            </w14:solidFill>
          </w14:textFill>
        </w:rPr>
        <w:t>；5.</w:t>
      </w:r>
      <w:r>
        <w:rPr>
          <w:rFonts w:hint="eastAsia" w:ascii="宋体" w:hAnsi="宋体" w:eastAsia="宋体"/>
          <w:color w:val="000000" w:themeColor="text1"/>
          <w:sz w:val="24"/>
          <w:szCs w:val="24"/>
          <w:lang w:val="en-US" w:eastAsia="zh-CN"/>
          <w14:textFill>
            <w14:solidFill>
              <w14:schemeClr w14:val="tx1"/>
            </w14:solidFill>
          </w14:textFill>
        </w:rPr>
        <w:t>设计</w:t>
      </w:r>
      <w:r>
        <w:rPr>
          <w:rFonts w:hint="eastAsia" w:ascii="宋体" w:hAnsi="宋体" w:eastAsia="宋体"/>
          <w:color w:val="000000" w:themeColor="text1"/>
          <w:sz w:val="24"/>
          <w:szCs w:val="24"/>
          <w14:textFill>
            <w14:solidFill>
              <w14:schemeClr w14:val="tx1"/>
            </w14:solidFill>
          </w14:textFill>
        </w:rPr>
        <w:t>；6.</w:t>
      </w:r>
      <w:r>
        <w:rPr>
          <w:rFonts w:hint="eastAsia" w:ascii="宋体" w:hAnsi="宋体" w:eastAsia="宋体"/>
          <w:color w:val="000000" w:themeColor="text1"/>
          <w:sz w:val="24"/>
          <w:szCs w:val="24"/>
          <w:lang w:val="en-US" w:eastAsia="zh-CN"/>
          <w14:textFill>
            <w14:solidFill>
              <w14:schemeClr w14:val="tx1"/>
            </w14:solidFill>
          </w14:textFill>
        </w:rPr>
        <w:t>建造与验收</w:t>
      </w:r>
      <w:r>
        <w:rPr>
          <w:rFonts w:hint="eastAsia" w:ascii="宋体" w:hAnsi="宋体" w:eastAsia="宋体"/>
          <w:color w:val="000000" w:themeColor="text1"/>
          <w:sz w:val="24"/>
          <w:szCs w:val="24"/>
          <w14:textFill>
            <w14:solidFill>
              <w14:schemeClr w14:val="tx1"/>
            </w14:solidFill>
          </w14:textFill>
        </w:rPr>
        <w:t>；7.</w:t>
      </w:r>
      <w:r>
        <w:rPr>
          <w:rFonts w:hint="eastAsia" w:ascii="宋体" w:hAnsi="宋体" w:eastAsia="宋体"/>
          <w:color w:val="000000" w:themeColor="text1"/>
          <w:sz w:val="24"/>
          <w:szCs w:val="24"/>
          <w:lang w:val="en-US" w:eastAsia="zh-CN"/>
          <w14:textFill>
            <w14:solidFill>
              <w14:schemeClr w14:val="tx1"/>
            </w14:solidFill>
          </w14:textFill>
        </w:rPr>
        <w:t>运维</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8.</w:t>
      </w:r>
      <w:r>
        <w:rPr>
          <w:rFonts w:hint="eastAsia" w:ascii="宋体" w:hAnsi="宋体" w:eastAsia="宋体"/>
          <w:color w:val="000000" w:themeColor="text1"/>
          <w:sz w:val="24"/>
          <w:szCs w:val="24"/>
          <w:lang w:val="en-US" w:eastAsia="zh-CN"/>
          <w14:textFill>
            <w14:solidFill>
              <w14:schemeClr w14:val="tx1"/>
            </w14:solidFill>
          </w14:textFill>
        </w:rPr>
        <w:t>既有建筑改造；9.等级</w:t>
      </w:r>
      <w:r>
        <w:rPr>
          <w:rFonts w:hint="eastAsia" w:ascii="宋体" w:hAnsi="宋体" w:eastAsia="宋体"/>
          <w:color w:val="000000" w:themeColor="text1"/>
          <w:sz w:val="24"/>
          <w:szCs w:val="24"/>
          <w:lang w:val="en-US" w:eastAsia="zh-CN"/>
          <w14:textFill>
            <w14:solidFill>
              <w14:schemeClr w14:val="tx1"/>
            </w14:solidFill>
          </w14:textFill>
        </w:rPr>
        <w:t>评价</w:t>
      </w:r>
      <w:r>
        <w:rPr>
          <w:rFonts w:hint="eastAsia" w:ascii="宋体" w:hAnsi="宋体" w:eastAsia="宋体"/>
          <w:color w:val="000000" w:themeColor="text1"/>
          <w:sz w:val="24"/>
          <w:szCs w:val="24"/>
          <w14:textFill>
            <w14:solidFill>
              <w14:schemeClr w14:val="tx1"/>
            </w14:solidFill>
          </w14:textFill>
        </w:rPr>
        <w:t>。</w:t>
      </w:r>
    </w:p>
    <w:p w14:paraId="1D8785EF">
      <w:pPr>
        <w:keepNext w:val="0"/>
        <w:keepLines w:val="0"/>
        <w:pageBreakBefore w:val="0"/>
        <w:widowControl w:val="0"/>
        <w:kinsoku/>
        <w:wordWrap/>
        <w:overflowPunct/>
        <w:topLinePunct w:val="0"/>
        <w:autoSpaceDE/>
        <w:autoSpaceDN/>
        <w:bidi w:val="0"/>
        <w:adjustRightInd w:val="0"/>
        <w:snapToGrid/>
        <w:spacing w:line="360" w:lineRule="auto"/>
        <w:ind w:left="640" w:leftChars="200" w:firstLine="480" w:firstLineChars="200"/>
        <w:textAlignment w:val="auto"/>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本标准由山西省住房和城乡建设厅负责管理，由</w:t>
      </w:r>
      <w:r>
        <w:rPr>
          <w:rFonts w:ascii="宋体" w:hAnsi="宋体" w:eastAsia="宋体"/>
          <w:color w:val="000000" w:themeColor="text1"/>
          <w:sz w:val="24"/>
          <w:szCs w:val="24"/>
          <w14:textFill>
            <w14:solidFill>
              <w14:schemeClr w14:val="tx1"/>
            </w14:solidFill>
          </w14:textFill>
        </w:rPr>
        <w:t>山西省建筑设计研究院有限公司负责技术内容解释。在执行本标准过程中如有意见或建议，请寄送至山西省建筑设计研究院有限公司（地址：山西省太原市府东街5号，邮编：030013</w:t>
      </w:r>
      <w:r>
        <w:rPr>
          <w:rFonts w:hint="eastAsia" w:ascii="宋体" w:hAnsi="宋体" w:eastAsia="宋体"/>
          <w:color w:val="000000" w:themeColor="text1"/>
          <w:sz w:val="24"/>
          <w:szCs w:val="24"/>
          <w14:textFill>
            <w14:solidFill>
              <w14:schemeClr w14:val="tx1"/>
            </w14:solidFill>
          </w14:textFill>
        </w:rPr>
        <w:t>，邮箱：</w:t>
      </w:r>
      <w:r>
        <w:rPr>
          <w:rFonts w:hint="eastAsia" w:ascii="宋体" w:hAnsi="宋体" w:eastAsia="宋体"/>
          <w:color w:val="000000" w:themeColor="text1"/>
          <w:sz w:val="24"/>
          <w:szCs w:val="24"/>
          <w:lang w:val="en-US" w:eastAsia="zh-CN"/>
          <w14:textFill>
            <w14:solidFill>
              <w14:schemeClr w14:val="tx1"/>
            </w14:solidFill>
          </w14:textFill>
        </w:rPr>
        <w:t>sxsyhouse@126.com</w:t>
      </w:r>
      <w:r>
        <w:rPr>
          <w:rFonts w:hint="eastAsia" w:ascii="宋体" w:hAnsi="宋体" w:eastAsia="宋体"/>
          <w:color w:val="000000" w:themeColor="text1"/>
          <w:sz w:val="24"/>
          <w:szCs w:val="24"/>
          <w14:textFill>
            <w14:solidFill>
              <w14:schemeClr w14:val="tx1"/>
            </w14:solidFill>
          </w14:textFill>
        </w:rPr>
        <w:t>）。</w:t>
      </w:r>
    </w:p>
    <w:p w14:paraId="701BB462">
      <w:pPr>
        <w:keepNext w:val="0"/>
        <w:keepLines w:val="0"/>
        <w:pageBreakBefore w:val="0"/>
        <w:widowControl w:val="0"/>
        <w:kinsoku/>
        <w:wordWrap/>
        <w:overflowPunct/>
        <w:topLinePunct w:val="0"/>
        <w:autoSpaceDE/>
        <w:autoSpaceDN/>
        <w:bidi w:val="0"/>
        <w:adjustRightInd w:val="0"/>
        <w:snapToGrid/>
        <w:spacing w:line="360" w:lineRule="auto"/>
        <w:ind w:left="640" w:leftChars="200" w:firstLine="480" w:firstLineChars="200"/>
        <w:textAlignment w:val="auto"/>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本标准主编单位、参编单位、主要起草人和审查人员名单：</w:t>
      </w:r>
    </w:p>
    <w:p w14:paraId="473366AE">
      <w:pPr>
        <w:keepNext w:val="0"/>
        <w:keepLines w:val="0"/>
        <w:pageBreakBefore w:val="0"/>
        <w:widowControl w:val="0"/>
        <w:kinsoku/>
        <w:wordWrap/>
        <w:overflowPunct/>
        <w:topLinePunct w:val="0"/>
        <w:autoSpaceDE/>
        <w:autoSpaceDN/>
        <w:bidi w:val="0"/>
        <w:adjustRightInd w:val="0"/>
        <w:snapToGrid/>
        <w:spacing w:line="360" w:lineRule="auto"/>
        <w:ind w:left="640" w:leftChars="200" w:firstLine="480" w:firstLineChars="200"/>
        <w:textAlignment w:val="auto"/>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本标准主编单位：山西省建筑设计研究院有限公司</w:t>
      </w:r>
    </w:p>
    <w:p w14:paraId="480FE46C">
      <w:pPr>
        <w:keepNext w:val="0"/>
        <w:keepLines w:val="0"/>
        <w:pageBreakBefore w:val="0"/>
        <w:widowControl w:val="0"/>
        <w:kinsoku/>
        <w:wordWrap/>
        <w:overflowPunct/>
        <w:topLinePunct w:val="0"/>
        <w:autoSpaceDE/>
        <w:autoSpaceDN/>
        <w:bidi w:val="0"/>
        <w:adjustRightInd w:val="0"/>
        <w:snapToGrid/>
        <w:spacing w:line="360" w:lineRule="auto"/>
        <w:ind w:left="640" w:leftChars="200" w:firstLine="480" w:firstLineChars="200"/>
        <w:textAlignment w:val="auto"/>
        <w:rPr>
          <w:rFonts w:hint="eastAsia" w:ascii="宋体" w:hAnsi="宋体" w:eastAsia="宋体"/>
          <w:color w:val="000000" w:themeColor="text1"/>
          <w:sz w:val="24"/>
          <w:szCs w:val="24"/>
          <w:lang w:val="en-US" w:eastAsia="zh-CN"/>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 xml:space="preserve">                </w:t>
      </w:r>
      <w:r>
        <w:rPr>
          <w:rFonts w:hint="eastAsia" w:ascii="宋体" w:hAnsi="宋体" w:eastAsia="宋体"/>
          <w:color w:val="000000" w:themeColor="text1"/>
          <w:sz w:val="24"/>
          <w:szCs w:val="24"/>
          <w14:textFill>
            <w14:solidFill>
              <w14:schemeClr w14:val="tx1"/>
            </w14:solidFill>
          </w14:textFill>
        </w:rPr>
        <w:t>山西建投城市运营集团有限公司</w:t>
      </w:r>
    </w:p>
    <w:p w14:paraId="6C152537">
      <w:pPr>
        <w:keepNext w:val="0"/>
        <w:keepLines w:val="0"/>
        <w:pageBreakBefore w:val="0"/>
        <w:widowControl w:val="0"/>
        <w:kinsoku/>
        <w:wordWrap/>
        <w:overflowPunct/>
        <w:topLinePunct w:val="0"/>
        <w:autoSpaceDE/>
        <w:autoSpaceDN/>
        <w:bidi w:val="0"/>
        <w:adjustRightInd w:val="0"/>
        <w:snapToGrid/>
        <w:spacing w:line="360" w:lineRule="auto"/>
        <w:ind w:left="640" w:leftChars="200" w:firstLine="480" w:firstLineChars="200"/>
        <w:textAlignment w:val="auto"/>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b w:val="0"/>
          <w:bCs w:val="0"/>
          <w:color w:val="000000" w:themeColor="text1"/>
          <w:sz w:val="24"/>
          <w:szCs w:val="24"/>
          <w14:textFill>
            <w14:solidFill>
              <w14:schemeClr w14:val="tx1"/>
            </w14:solidFill>
          </w14:textFill>
        </w:rPr>
        <w:t>本标准参编单位：</w:t>
      </w:r>
      <w:r>
        <w:rPr>
          <w:rFonts w:hint="eastAsia" w:ascii="宋体" w:hAnsi="宋体" w:eastAsia="宋体"/>
          <w:color w:val="000000" w:themeColor="text1"/>
          <w:sz w:val="24"/>
          <w:szCs w:val="24"/>
          <w14:textFill>
            <w14:solidFill>
              <w14:schemeClr w14:val="tx1"/>
            </w14:solidFill>
          </w14:textFill>
        </w:rPr>
        <w:t>山西建设投资集团有限公司</w:t>
      </w:r>
    </w:p>
    <w:p w14:paraId="4347895A">
      <w:pPr>
        <w:keepNext w:val="0"/>
        <w:keepLines w:val="0"/>
        <w:pageBreakBefore w:val="0"/>
        <w:widowControl w:val="0"/>
        <w:kinsoku/>
        <w:wordWrap/>
        <w:overflowPunct/>
        <w:topLinePunct w:val="0"/>
        <w:autoSpaceDE/>
        <w:autoSpaceDN/>
        <w:bidi w:val="0"/>
        <w:adjustRightInd w:val="0"/>
        <w:snapToGrid/>
        <w:spacing w:line="360" w:lineRule="auto"/>
        <w:ind w:left="640" w:leftChars="200" w:firstLine="480" w:firstLineChars="200"/>
        <w:textAlignment w:val="auto"/>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 xml:space="preserve">          </w:t>
      </w:r>
      <w:r>
        <w:rPr>
          <w:rFonts w:hint="eastAsia" w:ascii="宋体" w:hAnsi="宋体" w:eastAsia="宋体"/>
          <w:color w:val="000000" w:themeColor="text1"/>
          <w:sz w:val="24"/>
          <w:szCs w:val="24"/>
          <w:lang w:val="en-US" w:eastAsia="zh-CN"/>
          <w14:textFill>
            <w14:solidFill>
              <w14:schemeClr w14:val="tx1"/>
            </w14:solidFill>
          </w14:textFill>
        </w:rPr>
        <w:t xml:space="preserve">      </w:t>
      </w:r>
      <w:r>
        <w:rPr>
          <w:rFonts w:hint="eastAsia" w:ascii="宋体" w:hAnsi="宋体" w:eastAsia="宋体"/>
          <w:color w:val="000000" w:themeColor="text1"/>
          <w:sz w:val="24"/>
          <w:szCs w:val="24"/>
          <w14:textFill>
            <w14:solidFill>
              <w14:schemeClr w14:val="tx1"/>
            </w14:solidFill>
          </w14:textFill>
        </w:rPr>
        <w:t>山西四建集团有限公司</w:t>
      </w:r>
    </w:p>
    <w:p w14:paraId="1E9E2610">
      <w:pPr>
        <w:keepNext w:val="0"/>
        <w:keepLines w:val="0"/>
        <w:pageBreakBefore w:val="0"/>
        <w:widowControl w:val="0"/>
        <w:kinsoku/>
        <w:wordWrap/>
        <w:overflowPunct/>
        <w:topLinePunct w:val="0"/>
        <w:autoSpaceDE/>
        <w:autoSpaceDN/>
        <w:bidi w:val="0"/>
        <w:adjustRightInd w:val="0"/>
        <w:snapToGrid/>
        <w:spacing w:line="360" w:lineRule="auto"/>
        <w:ind w:left="640" w:leftChars="200" w:firstLine="480" w:firstLineChars="200"/>
        <w:textAlignment w:val="auto"/>
        <w:rPr>
          <w:rFonts w:hint="eastAsia" w:ascii="宋体" w:hAnsi="宋体" w:eastAsia="宋体"/>
          <w:color w:val="000000" w:themeColor="text1"/>
          <w:sz w:val="24"/>
          <w:szCs w:val="24"/>
          <w:lang w:val="en-US" w:eastAsia="zh-CN"/>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 xml:space="preserve">          </w:t>
      </w:r>
      <w:r>
        <w:rPr>
          <w:rFonts w:hint="eastAsia" w:ascii="宋体" w:hAnsi="宋体" w:eastAsia="宋体"/>
          <w:color w:val="000000" w:themeColor="text1"/>
          <w:sz w:val="24"/>
          <w:szCs w:val="24"/>
          <w:lang w:val="en-US" w:eastAsia="zh-CN"/>
          <w14:textFill>
            <w14:solidFill>
              <w14:schemeClr w14:val="tx1"/>
            </w14:solidFill>
          </w14:textFill>
        </w:rPr>
        <w:t xml:space="preserve">      </w:t>
      </w:r>
      <w:r>
        <w:rPr>
          <w:rFonts w:hint="eastAsia" w:ascii="宋体" w:hAnsi="宋体" w:eastAsia="宋体"/>
          <w:color w:val="000000" w:themeColor="text1"/>
          <w:sz w:val="24"/>
          <w:szCs w:val="24"/>
          <w14:textFill>
            <w14:solidFill>
              <w14:schemeClr w14:val="tx1"/>
            </w14:solidFill>
          </w14:textFill>
        </w:rPr>
        <w:t>山西建投云数智科技有限公司</w:t>
      </w:r>
    </w:p>
    <w:p w14:paraId="0F6895E8">
      <w:pPr>
        <w:keepNext w:val="0"/>
        <w:keepLines w:val="0"/>
        <w:pageBreakBefore w:val="0"/>
        <w:widowControl w:val="0"/>
        <w:kinsoku/>
        <w:wordWrap/>
        <w:overflowPunct/>
        <w:topLinePunct w:val="0"/>
        <w:autoSpaceDE/>
        <w:autoSpaceDN/>
        <w:bidi w:val="0"/>
        <w:adjustRightInd w:val="0"/>
        <w:snapToGrid/>
        <w:spacing w:line="360" w:lineRule="auto"/>
        <w:ind w:left="640" w:leftChars="200" w:firstLine="480" w:firstLineChars="200"/>
        <w:textAlignment w:val="auto"/>
        <w:rPr>
          <w:rFonts w:hint="eastAsia" w:ascii="宋体" w:hAnsi="宋体" w:eastAsia="宋体"/>
          <w:color w:val="000000" w:themeColor="text1"/>
          <w:sz w:val="24"/>
          <w:szCs w:val="24"/>
          <w:lang w:val="en-US" w:eastAsia="zh-CN"/>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本标准主要起草人员：</w:t>
      </w:r>
    </w:p>
    <w:p w14:paraId="6A7DA7B6">
      <w:pPr>
        <w:keepNext w:val="0"/>
        <w:keepLines w:val="0"/>
        <w:pageBreakBefore w:val="0"/>
        <w:widowControl w:val="0"/>
        <w:kinsoku/>
        <w:wordWrap/>
        <w:overflowPunct/>
        <w:topLinePunct w:val="0"/>
        <w:autoSpaceDE/>
        <w:autoSpaceDN/>
        <w:bidi w:val="0"/>
        <w:adjustRightInd w:val="0"/>
        <w:snapToGrid/>
        <w:spacing w:line="360" w:lineRule="auto"/>
        <w:ind w:left="640" w:leftChars="200" w:firstLine="480" w:firstLineChars="200"/>
        <w:textAlignment w:val="auto"/>
        <w:rPr>
          <w:rFonts w:hint="eastAsia" w:ascii="宋体" w:hAnsi="宋体" w:eastAsia="宋体"/>
          <w:color w:val="000000" w:themeColor="text1"/>
          <w:sz w:val="24"/>
          <w:szCs w:val="24"/>
          <w:lang w:val="en-US" w:eastAsia="zh-CN"/>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 xml:space="preserve"> </w:t>
      </w:r>
    </w:p>
    <w:p w14:paraId="26278525">
      <w:pPr>
        <w:keepNext w:val="0"/>
        <w:keepLines w:val="0"/>
        <w:pageBreakBefore w:val="0"/>
        <w:widowControl w:val="0"/>
        <w:kinsoku/>
        <w:wordWrap/>
        <w:overflowPunct/>
        <w:topLinePunct w:val="0"/>
        <w:autoSpaceDE/>
        <w:autoSpaceDN/>
        <w:bidi w:val="0"/>
        <w:adjustRightInd w:val="0"/>
        <w:snapToGrid/>
        <w:spacing w:line="360" w:lineRule="auto"/>
        <w:ind w:left="640" w:leftChars="200" w:firstLine="480" w:firstLineChars="200"/>
        <w:textAlignment w:val="auto"/>
        <w:rPr>
          <w:rFonts w:hint="eastAsia" w:ascii="宋体" w:hAnsi="宋体" w:eastAsia="宋体"/>
          <w:color w:val="000000" w:themeColor="text1"/>
          <w:sz w:val="24"/>
          <w:szCs w:val="24"/>
          <w:lang w:val="en-US" w:eastAsia="zh-CN"/>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 xml:space="preserve"> </w:t>
      </w:r>
    </w:p>
    <w:p w14:paraId="3EA29793">
      <w:pPr>
        <w:keepNext w:val="0"/>
        <w:keepLines w:val="0"/>
        <w:pageBreakBefore w:val="0"/>
        <w:widowControl w:val="0"/>
        <w:kinsoku/>
        <w:wordWrap/>
        <w:overflowPunct/>
        <w:topLinePunct w:val="0"/>
        <w:autoSpaceDE/>
        <w:autoSpaceDN/>
        <w:bidi w:val="0"/>
        <w:adjustRightInd w:val="0"/>
        <w:snapToGrid/>
        <w:spacing w:line="360" w:lineRule="auto"/>
        <w:ind w:left="640" w:leftChars="200" w:firstLine="480" w:firstLineChars="200"/>
        <w:textAlignment w:val="auto"/>
        <w:rPr>
          <w:rFonts w:hint="default" w:ascii="宋体" w:hAnsi="宋体" w:eastAsia="宋体"/>
          <w:color w:val="000000" w:themeColor="text1"/>
          <w:sz w:val="24"/>
          <w:szCs w:val="24"/>
          <w:lang w:val="en-US" w:eastAsia="zh-CN"/>
          <w14:textFill>
            <w14:solidFill>
              <w14:schemeClr w14:val="tx1"/>
            </w14:solidFill>
          </w14:textFill>
        </w:rPr>
      </w:pPr>
    </w:p>
    <w:p w14:paraId="42272538">
      <w:pPr>
        <w:keepNext w:val="0"/>
        <w:keepLines w:val="0"/>
        <w:pageBreakBefore w:val="0"/>
        <w:widowControl w:val="0"/>
        <w:kinsoku/>
        <w:wordWrap/>
        <w:overflowPunct/>
        <w:topLinePunct w:val="0"/>
        <w:autoSpaceDE/>
        <w:autoSpaceDN/>
        <w:bidi w:val="0"/>
        <w:adjustRightInd w:val="0"/>
        <w:snapToGrid/>
        <w:spacing w:line="360" w:lineRule="auto"/>
        <w:ind w:left="640" w:leftChars="200" w:firstLine="480" w:firstLineChars="200"/>
        <w:textAlignment w:val="auto"/>
        <w:rPr>
          <w:rFonts w:hint="eastAsia" w:ascii="宋体" w:hAnsi="宋体" w:eastAsia="宋体"/>
          <w:color w:val="000000" w:themeColor="text1"/>
          <w:sz w:val="24"/>
          <w:szCs w:val="24"/>
          <w:lang w:val="en-US" w:eastAsia="zh-CN"/>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 xml:space="preserve">     </w:t>
      </w:r>
    </w:p>
    <w:p w14:paraId="5BCE8FFF">
      <w:pPr>
        <w:keepNext w:val="0"/>
        <w:keepLines w:val="0"/>
        <w:pageBreakBefore w:val="0"/>
        <w:widowControl w:val="0"/>
        <w:kinsoku/>
        <w:wordWrap/>
        <w:overflowPunct/>
        <w:topLinePunct w:val="0"/>
        <w:autoSpaceDE/>
        <w:autoSpaceDN/>
        <w:bidi w:val="0"/>
        <w:adjustRightInd w:val="0"/>
        <w:snapToGrid/>
        <w:spacing w:line="360" w:lineRule="auto"/>
        <w:ind w:left="640" w:leftChars="200" w:firstLine="480" w:firstLineChars="200"/>
        <w:textAlignment w:val="auto"/>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本标准主要审查人员：</w:t>
      </w:r>
    </w:p>
    <w:p w14:paraId="79EF5F09">
      <w:pPr>
        <w:keepNext w:val="0"/>
        <w:keepLines w:val="0"/>
        <w:pageBreakBefore w:val="0"/>
        <w:widowControl w:val="0"/>
        <w:kinsoku/>
        <w:wordWrap/>
        <w:overflowPunct/>
        <w:topLinePunct w:val="0"/>
        <w:autoSpaceDE/>
        <w:autoSpaceDN/>
        <w:bidi w:val="0"/>
        <w:adjustRightInd w:val="0"/>
        <w:snapToGrid/>
        <w:spacing w:line="360" w:lineRule="auto"/>
        <w:ind w:left="640" w:leftChars="200" w:firstLine="480" w:firstLineChars="200"/>
        <w:textAlignment w:val="auto"/>
        <w:rPr>
          <w:rFonts w:hint="eastAsia" w:ascii="宋体" w:hAnsi="宋体" w:eastAsia="宋体"/>
          <w:color w:val="000000" w:themeColor="text1"/>
          <w:sz w:val="24"/>
          <w:szCs w:val="24"/>
          <w14:textFill>
            <w14:solidFill>
              <w14:schemeClr w14:val="tx1"/>
            </w14:solidFill>
          </w14:textFill>
        </w:rPr>
      </w:pPr>
    </w:p>
    <w:p w14:paraId="00A452C7">
      <w:pPr>
        <w:keepNext w:val="0"/>
        <w:keepLines w:val="0"/>
        <w:pageBreakBefore w:val="0"/>
        <w:widowControl w:val="0"/>
        <w:kinsoku/>
        <w:wordWrap/>
        <w:overflowPunct/>
        <w:topLinePunct w:val="0"/>
        <w:autoSpaceDE/>
        <w:autoSpaceDN/>
        <w:bidi w:val="0"/>
        <w:adjustRightInd w:val="0"/>
        <w:snapToGrid/>
        <w:spacing w:line="360" w:lineRule="auto"/>
        <w:ind w:left="640" w:leftChars="200" w:firstLine="480" w:firstLineChars="200"/>
        <w:textAlignment w:val="auto"/>
        <w:rPr>
          <w:rFonts w:hint="eastAsia" w:ascii="宋体" w:hAnsi="宋体" w:eastAsia="宋体"/>
          <w:color w:val="000000" w:themeColor="text1"/>
          <w:sz w:val="24"/>
          <w:szCs w:val="24"/>
          <w14:textFill>
            <w14:solidFill>
              <w14:schemeClr w14:val="tx1"/>
            </w14:solidFill>
          </w14:textFill>
        </w:rPr>
      </w:pPr>
    </w:p>
    <w:p w14:paraId="5253BE1E">
      <w:pPr>
        <w:keepNext w:val="0"/>
        <w:keepLines w:val="0"/>
        <w:pageBreakBefore w:val="0"/>
        <w:widowControl w:val="0"/>
        <w:kinsoku/>
        <w:wordWrap/>
        <w:overflowPunct/>
        <w:topLinePunct w:val="0"/>
        <w:autoSpaceDE/>
        <w:autoSpaceDN/>
        <w:bidi w:val="0"/>
        <w:adjustRightInd w:val="0"/>
        <w:snapToGrid/>
        <w:spacing w:line="360" w:lineRule="auto"/>
        <w:ind w:left="640" w:leftChars="200" w:firstLine="480" w:firstLineChars="200"/>
        <w:textAlignment w:val="auto"/>
        <w:rPr>
          <w:rFonts w:hint="eastAsia" w:ascii="宋体" w:hAnsi="宋体" w:eastAsia="宋体"/>
          <w:color w:val="000000" w:themeColor="text1"/>
          <w:sz w:val="24"/>
          <w:szCs w:val="24"/>
          <w14:textFill>
            <w14:solidFill>
              <w14:schemeClr w14:val="tx1"/>
            </w14:solidFill>
          </w14:textFill>
        </w:rPr>
        <w:sectPr>
          <w:pgSz w:w="11906" w:h="16838"/>
          <w:pgMar w:top="1440" w:right="1800" w:bottom="1440" w:left="1800" w:header="851" w:footer="851" w:gutter="0"/>
          <w:pgBorders>
            <w:top w:val="none" w:sz="0" w:space="0"/>
            <w:left w:val="none" w:sz="0" w:space="0"/>
            <w:bottom w:val="none" w:sz="0" w:space="0"/>
            <w:right w:val="none" w:sz="0" w:space="0"/>
          </w:pgBorders>
          <w:pgNumType w:start="1"/>
          <w:cols w:space="720" w:num="1"/>
          <w:docGrid w:type="lines" w:linePitch="312" w:charSpace="0"/>
        </w:sectPr>
      </w:pPr>
    </w:p>
    <w:p w14:paraId="189A18C8">
      <w:pPr>
        <w:pStyle w:val="15"/>
        <w:ind w:left="720" w:hanging="720"/>
        <w:jc w:val="center"/>
        <w:rPr>
          <w:rFonts w:hint="eastAsia" w:eastAsia="方正公文小标宋"/>
          <w:color w:val="000000" w:themeColor="text1"/>
          <w:sz w:val="28"/>
          <w:szCs w:val="28"/>
          <w:lang w:val="en-US" w:eastAsia="zh-CN"/>
          <w14:textFill>
            <w14:solidFill>
              <w14:schemeClr w14:val="tx1"/>
            </w14:solidFill>
          </w14:textFill>
        </w:rPr>
      </w:pPr>
      <w:r>
        <w:rPr>
          <w:rFonts w:hint="eastAsia"/>
          <w:color w:val="000000" w:themeColor="text1"/>
          <w:sz w:val="28"/>
          <w:szCs w:val="28"/>
          <w14:textFill>
            <w14:solidFill>
              <w14:schemeClr w14:val="tx1"/>
            </w14:solidFill>
          </w14:textFill>
        </w:rPr>
        <w:t xml:space="preserve">目     </w:t>
      </w:r>
      <w:r>
        <w:rPr>
          <w:rFonts w:hint="eastAsia"/>
          <w:color w:val="000000" w:themeColor="text1"/>
          <w:sz w:val="28"/>
          <w:szCs w:val="28"/>
          <w:lang w:val="en-US" w:eastAsia="zh-CN"/>
          <w14:textFill>
            <w14:solidFill>
              <w14:schemeClr w14:val="tx1"/>
            </w14:solidFill>
          </w14:textFill>
        </w:rPr>
        <w:t>次</w:t>
      </w:r>
    </w:p>
    <w:p w14:paraId="69A84C5F">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color w:val="000000" w:themeColor="text1"/>
          <w:sz w:val="28"/>
          <w:szCs w:val="28"/>
          <w14:textFill>
            <w14:solidFill>
              <w14:schemeClr w14:val="tx1"/>
            </w14:solidFill>
          </w14:textFill>
        </w:rPr>
        <w:fldChar w:fldCharType="begin"/>
      </w:r>
      <w:r>
        <w:rPr>
          <w:rFonts w:hint="eastAsia" w:ascii="方正公文小标宋" w:hAnsi="方正公文小标宋"/>
          <w:color w:val="000000" w:themeColor="text1"/>
          <w:sz w:val="28"/>
          <w:szCs w:val="28"/>
          <w14:textFill>
            <w14:solidFill>
              <w14:schemeClr w14:val="tx1"/>
            </w14:solidFill>
          </w14:textFill>
        </w:rPr>
        <w:instrText xml:space="preserve">TOC \o "1-2" \h \u </w:instrText>
      </w:r>
      <w:r>
        <w:rPr>
          <w:rFonts w:hint="eastAsia" w:ascii="方正公文小标宋" w:hAnsi="方正公文小标宋"/>
          <w:color w:val="000000" w:themeColor="text1"/>
          <w:sz w:val="28"/>
          <w:szCs w:val="28"/>
          <w14:textFill>
            <w14:solidFill>
              <w14:schemeClr w14:val="tx1"/>
            </w14:solidFill>
          </w14:textFill>
        </w:rPr>
        <w:fldChar w:fldCharType="separate"/>
      </w:r>
      <w:r>
        <w:rPr>
          <w:rFonts w:hint="eastAsia" w:ascii="方正公文小标宋" w:hAnsi="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b w:val="0"/>
          <w:bCs w:val="0"/>
          <w:color w:val="000000" w:themeColor="text1"/>
          <w:szCs w:val="28"/>
          <w14:textFill>
            <w14:solidFill>
              <w14:schemeClr w14:val="tx1"/>
            </w14:solidFill>
          </w14:textFill>
        </w:rPr>
        <w:instrText xml:space="preserve"> HYPERLINK \l _Toc18112 </w:instrText>
      </w:r>
      <w:r>
        <w:rPr>
          <w:rFonts w:hint="eastAsia" w:ascii="方正公文小标宋" w:hAnsi="方正公文小标宋"/>
          <w:b w:val="0"/>
          <w:bCs w:val="0"/>
          <w:color w:val="000000" w:themeColor="text1"/>
          <w:szCs w:val="28"/>
          <w14:textFill>
            <w14:solidFill>
              <w14:schemeClr w14:val="tx1"/>
            </w14:solidFill>
          </w14:textFill>
        </w:rPr>
        <w:fldChar w:fldCharType="separate"/>
      </w:r>
      <w:r>
        <w:rPr>
          <w:rFonts w:hint="eastAsia" w:ascii="黑体" w:hAnsi="黑体" w:eastAsia="黑体" w:cs="黑体"/>
          <w:b w:val="0"/>
          <w:bCs w:val="0"/>
          <w:color w:val="000000" w:themeColor="text1"/>
          <w:szCs w:val="24"/>
          <w14:textFill>
            <w14:solidFill>
              <w14:schemeClr w14:val="tx1"/>
            </w14:solidFill>
          </w14:textFill>
        </w:rPr>
        <w:t>1 总  则</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_Toc18112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1</w:t>
      </w:r>
      <w:r>
        <w:rPr>
          <w:b w:val="0"/>
          <w:bCs w:val="0"/>
          <w:color w:val="000000" w:themeColor="text1"/>
          <w14:textFill>
            <w14:solidFill>
              <w14:schemeClr w14:val="tx1"/>
            </w14:solidFill>
          </w14:textFill>
        </w:rPr>
        <w:fldChar w:fldCharType="end"/>
      </w:r>
      <w:r>
        <w:rPr>
          <w:rFonts w:hint="eastAsia" w:ascii="方正公文小标宋" w:hAnsi="方正公文小标宋"/>
          <w:b w:val="0"/>
          <w:bCs w:val="0"/>
          <w:color w:val="000000" w:themeColor="text1"/>
          <w:szCs w:val="28"/>
          <w14:textFill>
            <w14:solidFill>
              <w14:schemeClr w14:val="tx1"/>
            </w14:solidFill>
          </w14:textFill>
        </w:rPr>
        <w:fldChar w:fldCharType="end"/>
      </w:r>
    </w:p>
    <w:p w14:paraId="565BC200">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_Toc13690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黑体" w:hAnsi="黑体" w:eastAsia="黑体" w:cs="黑体"/>
          <w:b w:val="0"/>
          <w:bCs w:val="0"/>
          <w:color w:val="000000" w:themeColor="text1"/>
          <w:szCs w:val="24"/>
          <w14:textFill>
            <w14:solidFill>
              <w14:schemeClr w14:val="tx1"/>
            </w14:solidFill>
          </w14:textFill>
        </w:rPr>
        <w:t>2 术  语</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_Toc13690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4</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4FF5FA12">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_Toc1335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黑体" w:hAnsi="黑体" w:eastAsia="黑体" w:cs="黑体"/>
          <w:b w:val="0"/>
          <w:bCs w:val="0"/>
          <w:color w:val="000000" w:themeColor="text1"/>
          <w:szCs w:val="24"/>
          <w14:textFill>
            <w14:solidFill>
              <w14:schemeClr w14:val="tx1"/>
            </w14:solidFill>
          </w14:textFill>
        </w:rPr>
        <w:t>3 基本规定</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_Toc1335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5</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5D7FFACE">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_Toc23858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黑体" w:hAnsi="黑体" w:eastAsia="黑体" w:cs="黑体"/>
          <w:b w:val="0"/>
          <w:bCs w:val="0"/>
          <w:color w:val="000000" w:themeColor="text1"/>
          <w:szCs w:val="24"/>
          <w14:textFill>
            <w14:solidFill>
              <w14:schemeClr w14:val="tx1"/>
            </w14:solidFill>
          </w14:textFill>
        </w:rPr>
        <w:t>4 规划选址</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_Toc23858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6</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7C78ED6A">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_Toc28380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4.1 一般规定</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_Toc28380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6</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7146A747">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_Toc24448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4.2 选址要求</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_Toc24448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6</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2B1C3131">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_Toc1374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4.3 规划</w:t>
      </w:r>
      <w:r>
        <w:rPr>
          <w:rFonts w:hint="eastAsia" w:ascii="宋体" w:hAnsi="宋体" w:eastAsia="宋体" w:cs="宋体"/>
          <w:b w:val="0"/>
          <w:bCs w:val="0"/>
          <w:color w:val="000000" w:themeColor="text1"/>
          <w:szCs w:val="24"/>
          <w:lang w:val="en-US" w:eastAsia="zh-CN"/>
          <w14:textFill>
            <w14:solidFill>
              <w14:schemeClr w14:val="tx1"/>
            </w14:solidFill>
          </w14:textFill>
        </w:rPr>
        <w:t>布局</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_Toc1374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6</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16E4843C">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_Toc12889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4.4 场地设计</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_Toc12889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8</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5DA689C6">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_Toc32214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黑体" w:hAnsi="黑体" w:eastAsia="黑体" w:cs="黑体"/>
          <w:b w:val="0"/>
          <w:bCs w:val="0"/>
          <w:color w:val="000000" w:themeColor="text1"/>
          <w:szCs w:val="24"/>
          <w14:textFill>
            <w14:solidFill>
              <w14:schemeClr w14:val="tx1"/>
            </w14:solidFill>
          </w14:textFill>
        </w:rPr>
        <w:t>5 设 计</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_Toc32214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10</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61A33D28">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_Toc22915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5.1 一般规定</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_Toc22915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10</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3C10D167">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_Toc11199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5.2 建筑设计</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_Toc11199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10</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2B211B4E">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_Toc26160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5.3 结构设计</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_Toc26160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13</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3D2391C8">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_Toc16540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5.4 给排水设计</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_Toc16540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13</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09B4121A">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_Toc31884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5.5 暖通空调设计</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_Toc31884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16</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168DE403">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_Toc28119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5.</w:t>
      </w:r>
      <w:r>
        <w:rPr>
          <w:rFonts w:hint="eastAsia" w:ascii="宋体" w:hAnsi="宋体" w:eastAsia="宋体" w:cs="宋体"/>
          <w:b w:val="0"/>
          <w:bCs w:val="0"/>
          <w:color w:val="000000" w:themeColor="text1"/>
          <w:szCs w:val="24"/>
          <w:lang w:val="en-US" w:eastAsia="zh-CN"/>
          <w14:textFill>
            <w14:solidFill>
              <w14:schemeClr w14:val="tx1"/>
            </w14:solidFill>
          </w14:textFill>
        </w:rPr>
        <w:t>6</w:t>
      </w:r>
      <w:r>
        <w:rPr>
          <w:rFonts w:hint="eastAsia" w:ascii="宋体" w:hAnsi="宋体" w:eastAsia="宋体" w:cs="宋体"/>
          <w:b w:val="0"/>
          <w:bCs w:val="0"/>
          <w:color w:val="000000" w:themeColor="text1"/>
          <w:szCs w:val="24"/>
          <w14:textFill>
            <w14:solidFill>
              <w14:schemeClr w14:val="tx1"/>
            </w14:solidFill>
          </w14:textFill>
        </w:rPr>
        <w:t xml:space="preserve"> </w:t>
      </w:r>
      <w:r>
        <w:rPr>
          <w:rFonts w:hint="eastAsia" w:ascii="宋体" w:hAnsi="宋体" w:eastAsia="宋体" w:cs="宋体"/>
          <w:b w:val="0"/>
          <w:bCs w:val="0"/>
          <w:color w:val="000000" w:themeColor="text1"/>
          <w:szCs w:val="24"/>
          <w:lang w:val="en-US" w:eastAsia="zh-CN"/>
          <w14:textFill>
            <w14:solidFill>
              <w14:schemeClr w14:val="tx1"/>
            </w14:solidFill>
          </w14:textFill>
        </w:rPr>
        <w:t>燃气</w:t>
      </w:r>
      <w:r>
        <w:rPr>
          <w:rFonts w:hint="eastAsia" w:ascii="宋体" w:hAnsi="宋体" w:eastAsia="宋体" w:cs="宋体"/>
          <w:b w:val="0"/>
          <w:bCs w:val="0"/>
          <w:color w:val="000000" w:themeColor="text1"/>
          <w:szCs w:val="24"/>
          <w14:textFill>
            <w14:solidFill>
              <w14:schemeClr w14:val="tx1"/>
            </w14:solidFill>
          </w14:textFill>
        </w:rPr>
        <w:t>设计</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_Toc28119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17</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11E3DABC">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_Toc22166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5.</w:t>
      </w:r>
      <w:r>
        <w:rPr>
          <w:rFonts w:hint="eastAsia" w:ascii="宋体" w:hAnsi="宋体" w:eastAsia="宋体" w:cs="宋体"/>
          <w:b w:val="0"/>
          <w:bCs w:val="0"/>
          <w:color w:val="000000" w:themeColor="text1"/>
          <w:szCs w:val="24"/>
          <w:lang w:val="en-US" w:eastAsia="zh-CN"/>
          <w14:textFill>
            <w14:solidFill>
              <w14:schemeClr w14:val="tx1"/>
            </w14:solidFill>
          </w14:textFill>
        </w:rPr>
        <w:t>7</w:t>
      </w:r>
      <w:r>
        <w:rPr>
          <w:rFonts w:hint="eastAsia" w:ascii="宋体" w:hAnsi="宋体" w:eastAsia="宋体" w:cs="宋体"/>
          <w:b w:val="0"/>
          <w:bCs w:val="0"/>
          <w:color w:val="000000" w:themeColor="text1"/>
          <w:szCs w:val="24"/>
          <w14:textFill>
            <w14:solidFill>
              <w14:schemeClr w14:val="tx1"/>
            </w14:solidFill>
          </w14:textFill>
        </w:rPr>
        <w:t xml:space="preserve"> 供配电设计</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_Toc22166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18</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1768AEE6">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_Toc8868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5.</w:t>
      </w:r>
      <w:r>
        <w:rPr>
          <w:rFonts w:hint="eastAsia" w:ascii="宋体" w:hAnsi="宋体" w:eastAsia="宋体" w:cs="宋体"/>
          <w:b w:val="0"/>
          <w:bCs w:val="0"/>
          <w:color w:val="000000" w:themeColor="text1"/>
          <w:szCs w:val="24"/>
          <w:lang w:val="en-US" w:eastAsia="zh-CN"/>
          <w14:textFill>
            <w14:solidFill>
              <w14:schemeClr w14:val="tx1"/>
            </w14:solidFill>
          </w14:textFill>
        </w:rPr>
        <w:t>8</w:t>
      </w:r>
      <w:r>
        <w:rPr>
          <w:rFonts w:hint="eastAsia" w:ascii="宋体" w:hAnsi="宋体" w:eastAsia="宋体" w:cs="宋体"/>
          <w:b w:val="0"/>
          <w:bCs w:val="0"/>
          <w:color w:val="000000" w:themeColor="text1"/>
          <w:szCs w:val="24"/>
          <w14:textFill>
            <w14:solidFill>
              <w14:schemeClr w14:val="tx1"/>
            </w14:solidFill>
          </w14:textFill>
        </w:rPr>
        <w:t xml:space="preserve"> 智能化设计</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_Toc8868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18</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07976419">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_Toc14087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5.</w:t>
      </w:r>
      <w:r>
        <w:rPr>
          <w:rFonts w:hint="eastAsia" w:ascii="宋体" w:hAnsi="宋体" w:eastAsia="宋体" w:cs="宋体"/>
          <w:b w:val="0"/>
          <w:bCs w:val="0"/>
          <w:color w:val="000000" w:themeColor="text1"/>
          <w:szCs w:val="24"/>
          <w:lang w:val="en-US" w:eastAsia="zh-CN"/>
          <w14:textFill>
            <w14:solidFill>
              <w14:schemeClr w14:val="tx1"/>
            </w14:solidFill>
          </w14:textFill>
        </w:rPr>
        <w:t>9</w:t>
      </w:r>
      <w:r>
        <w:rPr>
          <w:rFonts w:hint="eastAsia" w:ascii="宋体" w:hAnsi="宋体" w:eastAsia="宋体" w:cs="宋体"/>
          <w:b w:val="0"/>
          <w:bCs w:val="0"/>
          <w:color w:val="000000" w:themeColor="text1"/>
          <w:szCs w:val="24"/>
          <w14:textFill>
            <w14:solidFill>
              <w14:schemeClr w14:val="tx1"/>
            </w14:solidFill>
          </w14:textFill>
        </w:rPr>
        <w:t xml:space="preserve"> 室内环境及装饰装修设计</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_Toc14087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22</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7207B917">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_Toc11754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5.</w:t>
      </w:r>
      <w:r>
        <w:rPr>
          <w:rFonts w:hint="eastAsia" w:ascii="宋体" w:hAnsi="宋体" w:eastAsia="宋体" w:cs="宋体"/>
          <w:b w:val="0"/>
          <w:bCs w:val="0"/>
          <w:color w:val="000000" w:themeColor="text1"/>
          <w:szCs w:val="24"/>
          <w:lang w:val="en-US" w:eastAsia="zh-CN"/>
          <w14:textFill>
            <w14:solidFill>
              <w14:schemeClr w14:val="tx1"/>
            </w14:solidFill>
          </w14:textFill>
        </w:rPr>
        <w:t xml:space="preserve">10 </w:t>
      </w:r>
      <w:r>
        <w:rPr>
          <w:rFonts w:hint="eastAsia" w:ascii="宋体" w:hAnsi="宋体" w:eastAsia="宋体" w:cs="宋体"/>
          <w:b w:val="0"/>
          <w:bCs w:val="0"/>
          <w:color w:val="000000" w:themeColor="text1"/>
          <w:szCs w:val="24"/>
          <w14:textFill>
            <w14:solidFill>
              <w14:schemeClr w14:val="tx1"/>
            </w14:solidFill>
          </w14:textFill>
        </w:rPr>
        <w:t>可再生能源利用</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_Toc11754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23</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1064F1DE">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_Toc5130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黑体" w:hAnsi="黑体" w:eastAsia="黑体" w:cs="黑体"/>
          <w:b w:val="0"/>
          <w:bCs w:val="0"/>
          <w:color w:val="000000" w:themeColor="text1"/>
          <w:szCs w:val="24"/>
          <w14:textFill>
            <w14:solidFill>
              <w14:schemeClr w14:val="tx1"/>
            </w14:solidFill>
          </w14:textFill>
        </w:rPr>
        <w:t>6 建造</w:t>
      </w:r>
      <w:r>
        <w:rPr>
          <w:rFonts w:hint="eastAsia" w:ascii="黑体" w:hAnsi="黑体" w:eastAsia="黑体" w:cs="黑体"/>
          <w:b w:val="0"/>
          <w:bCs w:val="0"/>
          <w:color w:val="000000" w:themeColor="text1"/>
          <w:szCs w:val="24"/>
          <w:lang w:val="en-US" w:eastAsia="zh-CN"/>
          <w14:textFill>
            <w14:solidFill>
              <w14:schemeClr w14:val="tx1"/>
            </w14:solidFill>
          </w14:textFill>
        </w:rPr>
        <w:t>与验收</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_Toc5130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24</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7FD38D6F">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_Toc3200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6.1 一般规定</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_Toc3200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24</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6258AB14">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_Toc16655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6.2</w:t>
      </w:r>
      <w:r>
        <w:rPr>
          <w:rFonts w:hint="eastAsia" w:ascii="宋体" w:hAnsi="宋体" w:eastAsia="宋体" w:cs="宋体"/>
          <w:b w:val="0"/>
          <w:bCs w:val="0"/>
          <w:color w:val="000000" w:themeColor="text1"/>
          <w:szCs w:val="24"/>
          <w:lang w:val="en-US" w:eastAsia="zh-CN"/>
          <w14:textFill>
            <w14:solidFill>
              <w14:schemeClr w14:val="tx1"/>
            </w14:solidFill>
          </w14:textFill>
        </w:rPr>
        <w:t xml:space="preserve"> </w:t>
      </w:r>
      <w:r>
        <w:rPr>
          <w:rFonts w:hint="eastAsia" w:ascii="宋体" w:hAnsi="宋体" w:eastAsia="宋体" w:cs="宋体"/>
          <w:b w:val="0"/>
          <w:bCs w:val="0"/>
          <w:color w:val="000000" w:themeColor="text1"/>
          <w:szCs w:val="24"/>
          <w14:textFill>
            <w14:solidFill>
              <w14:schemeClr w14:val="tx1"/>
            </w14:solidFill>
          </w14:textFill>
        </w:rPr>
        <w:t>材料与设备</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_Toc16655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24</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7F1892A6">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_Toc11837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6.3</w:t>
      </w:r>
      <w:r>
        <w:rPr>
          <w:rFonts w:hint="eastAsia" w:ascii="宋体" w:hAnsi="宋体" w:eastAsia="宋体" w:cs="宋体"/>
          <w:b w:val="0"/>
          <w:bCs w:val="0"/>
          <w:color w:val="000000" w:themeColor="text1"/>
          <w:szCs w:val="24"/>
          <w:lang w:val="en-US" w:eastAsia="zh-CN"/>
          <w14:textFill>
            <w14:solidFill>
              <w14:schemeClr w14:val="tx1"/>
            </w14:solidFill>
          </w14:textFill>
        </w:rPr>
        <w:t xml:space="preserve"> </w:t>
      </w:r>
      <w:r>
        <w:rPr>
          <w:rFonts w:hint="eastAsia" w:ascii="宋体" w:hAnsi="宋体" w:eastAsia="宋体" w:cs="宋体"/>
          <w:b w:val="0"/>
          <w:bCs w:val="0"/>
          <w:color w:val="000000" w:themeColor="text1"/>
          <w:szCs w:val="24"/>
          <w14:textFill>
            <w14:solidFill>
              <w14:schemeClr w14:val="tx1"/>
            </w14:solidFill>
          </w14:textFill>
        </w:rPr>
        <w:t>施工管理</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_Toc11837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25</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4E67F1FA">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_Toc22543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lang w:val="en-US" w:eastAsia="zh-CN"/>
          <w14:textFill>
            <w14:solidFill>
              <w14:schemeClr w14:val="tx1"/>
            </w14:solidFill>
          </w14:textFill>
        </w:rPr>
        <w:t>6.4 绿色施工</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_Toc22543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26</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4C6977BD">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_Toc4275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lang w:val="en-US" w:eastAsia="zh-CN"/>
          <w14:textFill>
            <w14:solidFill>
              <w14:schemeClr w14:val="tx1"/>
            </w14:solidFill>
          </w14:textFill>
        </w:rPr>
        <w:t>6.5 质量控制与验收</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_Toc4275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27</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65769785">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_Toc26092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黑体" w:hAnsi="黑体" w:eastAsia="黑体" w:cs="黑体"/>
          <w:b w:val="0"/>
          <w:bCs w:val="0"/>
          <w:color w:val="000000" w:themeColor="text1"/>
          <w:szCs w:val="24"/>
          <w14:textFill>
            <w14:solidFill>
              <w14:schemeClr w14:val="tx1"/>
            </w14:solidFill>
          </w14:textFill>
        </w:rPr>
        <w:t>7 运</w:t>
      </w:r>
      <w:r>
        <w:rPr>
          <w:rFonts w:hint="eastAsia" w:ascii="黑体" w:hAnsi="黑体" w:eastAsia="黑体" w:cs="黑体"/>
          <w:b w:val="0"/>
          <w:bCs w:val="0"/>
          <w:color w:val="000000" w:themeColor="text1"/>
          <w:szCs w:val="24"/>
          <w:lang w:val="en-US" w:eastAsia="zh-CN"/>
          <w14:textFill>
            <w14:solidFill>
              <w14:schemeClr w14:val="tx1"/>
            </w14:solidFill>
          </w14:textFill>
        </w:rPr>
        <w:t>维</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_Toc26092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34</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0DAADD30">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_Toc17542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lang w:val="en-US" w:eastAsia="zh-CN"/>
          <w14:textFill>
            <w14:solidFill>
              <w14:schemeClr w14:val="tx1"/>
            </w14:solidFill>
          </w14:textFill>
        </w:rPr>
        <w:t>7.1 一般规定</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_Toc17542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34</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3CA9C0D7">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_Toc15061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lang w:val="en-US" w:eastAsia="zh-CN"/>
          <w14:textFill>
            <w14:solidFill>
              <w14:schemeClr w14:val="tx1"/>
            </w14:solidFill>
          </w14:textFill>
        </w:rPr>
        <w:t>7.2 物业管理</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_Toc15061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34</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1AC3F673">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_Toc23235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lang w:val="en-US" w:eastAsia="zh-CN"/>
          <w14:textFill>
            <w14:solidFill>
              <w14:schemeClr w14:val="tx1"/>
            </w14:solidFill>
          </w14:textFill>
        </w:rPr>
        <w:t>7.3 共用管理</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_Toc23235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34</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3CC6B130">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_Toc1754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lang w:val="en-US" w:eastAsia="zh-CN"/>
          <w14:textFill>
            <w14:solidFill>
              <w14:schemeClr w14:val="tx1"/>
            </w14:solidFill>
          </w14:textFill>
        </w:rPr>
        <w:t>7.4 智慧化建设</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_Toc1754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36</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41917530">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_Toc24993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lang w:val="en-US" w:eastAsia="zh-CN"/>
          <w14:textFill>
            <w14:solidFill>
              <w14:schemeClr w14:val="tx1"/>
            </w14:solidFill>
          </w14:textFill>
        </w:rPr>
        <w:t>7.5 社区服务</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_Toc24993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36</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5ADC8F8D">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_Toc27669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lang w:val="en-US" w:eastAsia="zh-CN"/>
          <w14:textFill>
            <w14:solidFill>
              <w14:schemeClr w14:val="tx1"/>
            </w14:solidFill>
          </w14:textFill>
        </w:rPr>
        <w:t>7.6 生活服务</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_Toc27669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37</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0FE26682">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_Toc5263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黑体" w:hAnsi="黑体" w:eastAsia="黑体" w:cs="黑体"/>
          <w:b w:val="0"/>
          <w:bCs w:val="0"/>
          <w:color w:val="000000" w:themeColor="text1"/>
          <w:szCs w:val="24"/>
          <w14:textFill>
            <w14:solidFill>
              <w14:schemeClr w14:val="tx1"/>
            </w14:solidFill>
          </w14:textFill>
        </w:rPr>
        <w:t>8 既有建筑改造</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_Toc5263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38</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344483FE">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_Toc15116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lang w:val="en-US" w:eastAsia="zh-CN"/>
          <w14:textFill>
            <w14:solidFill>
              <w14:schemeClr w14:val="tx1"/>
            </w14:solidFill>
          </w14:textFill>
        </w:rPr>
        <w:t>8.1 基本规定</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_Toc15116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38</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003441E1">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_Toc16772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lang w:val="en-US" w:eastAsia="zh-CN"/>
          <w14:textFill>
            <w14:solidFill>
              <w14:schemeClr w14:val="tx1"/>
            </w14:solidFill>
          </w14:textFill>
        </w:rPr>
        <w:t>8.2 改造建筑全流程技术规定</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_Toc16772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38</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06D3A3BC">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_Toc29501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黑体" w:hAnsi="黑体" w:eastAsia="黑体" w:cs="黑体"/>
          <w:b w:val="0"/>
          <w:bCs w:val="0"/>
          <w:color w:val="000000" w:themeColor="text1"/>
          <w:szCs w:val="24"/>
          <w:lang w:val="en-US" w:eastAsia="zh-CN"/>
          <w14:textFill>
            <w14:solidFill>
              <w14:schemeClr w14:val="tx1"/>
            </w14:solidFill>
          </w14:textFill>
        </w:rPr>
        <w:t>9</w:t>
      </w:r>
      <w:r>
        <w:rPr>
          <w:rFonts w:hint="eastAsia" w:ascii="黑体" w:hAnsi="黑体" w:eastAsia="黑体" w:cs="黑体"/>
          <w:b w:val="0"/>
          <w:bCs w:val="0"/>
          <w:color w:val="000000" w:themeColor="text1"/>
          <w:szCs w:val="24"/>
          <w14:textFill>
            <w14:solidFill>
              <w14:schemeClr w14:val="tx1"/>
            </w14:solidFill>
          </w14:textFill>
        </w:rPr>
        <w:t xml:space="preserve"> </w:t>
      </w:r>
      <w:r>
        <w:rPr>
          <w:rFonts w:hint="eastAsia" w:ascii="黑体" w:hAnsi="黑体" w:eastAsia="黑体" w:cs="黑体"/>
          <w:b w:val="0"/>
          <w:bCs w:val="0"/>
          <w:color w:val="000000" w:themeColor="text1"/>
          <w:szCs w:val="24"/>
          <w:lang w:val="en-US" w:eastAsia="zh-CN"/>
          <w14:textFill>
            <w14:solidFill>
              <w14:schemeClr w14:val="tx1"/>
            </w14:solidFill>
          </w14:textFill>
        </w:rPr>
        <w:t>等级评价</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_Toc29501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40</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0F9B5464">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_Toc13795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黑体" w:hAnsi="黑体" w:eastAsia="黑体" w:cs="黑体"/>
          <w:b w:val="0"/>
          <w:bCs w:val="0"/>
          <w:color w:val="000000" w:themeColor="text1"/>
          <w14:textFill>
            <w14:solidFill>
              <w14:schemeClr w14:val="tx1"/>
            </w14:solidFill>
          </w14:textFill>
        </w:rPr>
        <w:t>本标准用词说明</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_Toc13795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46</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18FD20DC">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_Toc12529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黑体" w:hAnsi="黑体" w:eastAsia="黑体" w:cs="黑体"/>
          <w:b w:val="0"/>
          <w:bCs w:val="0"/>
          <w:color w:val="000000" w:themeColor="text1"/>
          <w14:textFill>
            <w14:solidFill>
              <w14:schemeClr w14:val="tx1"/>
            </w14:solidFill>
          </w14:textFill>
        </w:rPr>
        <w:t>引用标准名录</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_Toc12529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47</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043B6EE9">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_Toc22389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黑体" w:hAnsi="黑体" w:eastAsia="黑体" w:cs="黑体"/>
          <w:b w:val="0"/>
          <w:bCs w:val="0"/>
          <w:color w:val="000000" w:themeColor="text1"/>
          <w:szCs w:val="44"/>
          <w14:textFill>
            <w14:solidFill>
              <w14:schemeClr w14:val="tx1"/>
            </w14:solidFill>
          </w14:textFill>
        </w:rPr>
        <w:t>条 文 说 明</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_Toc22389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48</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52B50BD5">
      <w:pPr>
        <w:snapToGrid w:val="0"/>
        <w:spacing w:line="480" w:lineRule="exact"/>
        <w:ind w:firstLine="640"/>
        <w:outlineLvl w:val="2"/>
        <w:rPr>
          <w:rFonts w:hint="default" w:ascii="方正公文小标宋" w:hAnsi="方正公文小标宋" w:eastAsia="方正公文小标宋" w:cs="方正公文小标宋"/>
          <w:color w:val="000000" w:themeColor="text1"/>
          <w:sz w:val="24"/>
          <w:szCs w:val="24"/>
          <w:lang w:val="en-US" w:eastAsia="zh-CN"/>
          <w14:textFill>
            <w14:solidFill>
              <w14:schemeClr w14:val="tx1"/>
            </w14:solidFill>
          </w14:textFill>
        </w:rPr>
        <w:sectPr>
          <w:footerReference r:id="rId5" w:type="default"/>
          <w:pgSz w:w="11906" w:h="16838"/>
          <w:pgMar w:top="1440" w:right="1800" w:bottom="1440" w:left="1800" w:header="851" w:footer="907" w:gutter="0"/>
          <w:pgBorders>
            <w:top w:val="none" w:sz="0" w:space="0"/>
            <w:left w:val="none" w:sz="0" w:space="0"/>
            <w:bottom w:val="none" w:sz="0" w:space="0"/>
            <w:right w:val="none" w:sz="0" w:space="0"/>
          </w:pgBorders>
          <w:cols w:space="720" w:num="1"/>
          <w:docGrid w:type="linesAndChars" w:linePitch="312" w:charSpace="0"/>
        </w:sectPr>
      </w:pPr>
      <w:r>
        <w:rPr>
          <w:rFonts w:hint="eastAsia" w:ascii="方正公文小标宋" w:hAnsi="方正公文小标宋" w:eastAsia="方正公文小标宋" w:cs="方正公文小标宋"/>
          <w:color w:val="000000" w:themeColor="text1"/>
          <w:szCs w:val="28"/>
          <w14:textFill>
            <w14:solidFill>
              <w14:schemeClr w14:val="tx1"/>
            </w14:solidFill>
          </w14:textFill>
        </w:rPr>
        <w:fldChar w:fldCharType="end"/>
      </w:r>
    </w:p>
    <w:p w14:paraId="780583F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方正公文小标宋" w:cs="Franklin Gothic Demi" w:asciiTheme="minorAscii" w:hAnsiTheme="minorAscii"/>
          <w:color w:val="000000" w:themeColor="text1"/>
          <w:kern w:val="2"/>
          <w:sz w:val="28"/>
          <w:szCs w:val="28"/>
          <w:lang w:val="en-US" w:eastAsia="zh-CN" w:bidi="ar-SA"/>
          <w14:textFill>
            <w14:solidFill>
              <w14:schemeClr w14:val="tx1"/>
            </w14:solidFill>
          </w14:textFill>
        </w:rPr>
      </w:pPr>
      <w:bookmarkStart w:id="9" w:name="_Toc18112"/>
      <w:r>
        <w:rPr>
          <w:rFonts w:hint="default" w:eastAsia="方正公文小标宋" w:cs="Franklin Gothic Demi" w:asciiTheme="minorAscii" w:hAnsiTheme="minorAscii"/>
          <w:color w:val="000000" w:themeColor="text1"/>
          <w:kern w:val="2"/>
          <w:sz w:val="28"/>
          <w:szCs w:val="28"/>
          <w:lang w:val="en-US" w:eastAsia="zh-CN" w:bidi="ar-SA"/>
          <w14:textFill>
            <w14:solidFill>
              <w14:schemeClr w14:val="tx1"/>
            </w14:solidFill>
          </w14:textFill>
        </w:rPr>
        <w:t>Contents</w:t>
      </w:r>
    </w:p>
    <w:p w14:paraId="4957A58F">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998" w:leftChars="0" w:hanging="998" w:hangingChars="416"/>
        <w:jc w:val="left"/>
        <w:textAlignment w:val="auto"/>
        <w:rPr>
          <w:rFonts w:hint="default" w:eastAsia="Segoe UI" w:cs="Franklin Gothic Demi" w:asciiTheme="minorAscii" w:hAnsiTheme="minorAscii"/>
          <w:i w:val="0"/>
          <w:iCs w:val="0"/>
          <w:caps w:val="0"/>
          <w:color w:val="000000" w:themeColor="text1"/>
          <w:spacing w:val="0"/>
          <w:sz w:val="24"/>
          <w:szCs w:val="24"/>
          <w:shd w:val="clear" w:fill="FFFFFF"/>
          <w14:textFill>
            <w14:solidFill>
              <w14:schemeClr w14:val="tx1"/>
            </w14:solidFill>
          </w14:textFill>
        </w:rPr>
      </w:pPr>
      <w:r>
        <w:rPr>
          <w:rFonts w:hint="default" w:eastAsia="Segoe UI" w:cs="Franklin Gothic Demi" w:asciiTheme="minorAscii" w:hAnsiTheme="minorAscii"/>
          <w:b/>
          <w:bCs/>
          <w:i w:val="0"/>
          <w:iCs w:val="0"/>
          <w:caps w:val="0"/>
          <w:color w:val="000000" w:themeColor="text1"/>
          <w:spacing w:val="0"/>
          <w:sz w:val="24"/>
          <w:szCs w:val="24"/>
          <w:shd w:val="clear" w:fill="FFFFFF"/>
          <w14:textFill>
            <w14:solidFill>
              <w14:schemeClr w14:val="tx1"/>
            </w14:solidFill>
          </w14:textFill>
        </w:rPr>
        <w:t>1 General Provisions</w:t>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ab/>
      </w:r>
      <w:r>
        <w:rPr>
          <w:rFonts w:hint="default" w:eastAsia="Segoe UI" w:cs="Franklin Gothic Demi" w:asciiTheme="minorAscii" w:hAnsiTheme="minorAscii"/>
          <w:i w:val="0"/>
          <w:iCs w:val="0"/>
          <w:caps w:val="0"/>
          <w:color w:val="000000" w:themeColor="text1"/>
          <w:spacing w:val="0"/>
          <w:sz w:val="24"/>
          <w:szCs w:val="24"/>
          <w:shd w:val="clear" w:fill="FFFFFF"/>
          <w14:textFill>
            <w14:solidFill>
              <w14:schemeClr w14:val="tx1"/>
            </w14:solidFill>
          </w14:textFill>
        </w:rPr>
        <w:t xml:space="preserve"> 1</w:t>
      </w:r>
    </w:p>
    <w:p w14:paraId="272E22BE">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0" w:firstLineChars="0"/>
        <w:jc w:val="left"/>
        <w:textAlignment w:val="auto"/>
        <w:rPr>
          <w:rFonts w:hint="eastAsia" w:eastAsia="宋体" w:cs="Franklin Gothic Demi" w:asciiTheme="minorAscii" w:hAnsiTheme="minorAscii"/>
          <w:i w:val="0"/>
          <w:iCs w:val="0"/>
          <w:caps w:val="0"/>
          <w:color w:val="000000" w:themeColor="text1"/>
          <w:spacing w:val="0"/>
          <w:sz w:val="24"/>
          <w:szCs w:val="24"/>
          <w:shd w:val="clear" w:fill="FFFFFF"/>
          <w:lang w:eastAsia="zh-CN"/>
          <w14:textFill>
            <w14:solidFill>
              <w14:schemeClr w14:val="tx1"/>
            </w14:solidFill>
          </w14:textFill>
        </w:rPr>
      </w:pPr>
      <w:r>
        <w:rPr>
          <w:rFonts w:hint="default" w:eastAsia="Segoe UI" w:cs="Franklin Gothic Demi" w:asciiTheme="minorAscii" w:hAnsiTheme="minorAscii"/>
          <w:b/>
          <w:bCs/>
          <w:i w:val="0"/>
          <w:iCs w:val="0"/>
          <w:caps w:val="0"/>
          <w:color w:val="000000" w:themeColor="text1"/>
          <w:spacing w:val="0"/>
          <w:sz w:val="24"/>
          <w:szCs w:val="24"/>
          <w:shd w:val="clear" w:fill="FFFFFF"/>
          <w14:textFill>
            <w14:solidFill>
              <w14:schemeClr w14:val="tx1"/>
            </w14:solidFill>
          </w14:textFill>
        </w:rPr>
        <w:t>2 Terms</w:t>
      </w:r>
      <w:r>
        <w:rPr>
          <w:rFonts w:hint="eastAsia" w:eastAsia="宋体" w:cs="Franklin Gothic Demi" w:asciiTheme="minorAscii" w:hAnsiTheme="minorAscii"/>
          <w:b/>
          <w:bCs/>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eastAsia="宋体" w:cs="Franklin Gothic Demi" w:asciiTheme="minorAscii" w:hAnsiTheme="minorAscii"/>
          <w:b/>
          <w:bCs/>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4</w:t>
      </w:r>
    </w:p>
    <w:p w14:paraId="4558DA11">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0" w:firstLineChars="0"/>
        <w:jc w:val="left"/>
        <w:textAlignment w:val="auto"/>
        <w:rPr>
          <w:rFonts w:hint="eastAsia" w:eastAsia="宋体" w:cs="Franklin Gothic Demi" w:asciiTheme="minorAscii" w:hAnsiTheme="minorAscii"/>
          <w:i w:val="0"/>
          <w:iCs w:val="0"/>
          <w:caps w:val="0"/>
          <w:color w:val="000000" w:themeColor="text1"/>
          <w:spacing w:val="0"/>
          <w:sz w:val="24"/>
          <w:szCs w:val="24"/>
          <w:shd w:val="clear" w:fill="FFFFFF"/>
          <w:lang w:eastAsia="zh-CN"/>
          <w14:textFill>
            <w14:solidFill>
              <w14:schemeClr w14:val="tx1"/>
            </w14:solidFill>
          </w14:textFill>
        </w:rPr>
      </w:pPr>
      <w:r>
        <w:rPr>
          <w:rFonts w:hint="default" w:eastAsia="Segoe UI" w:cs="Franklin Gothic Demi" w:asciiTheme="minorAscii" w:hAnsiTheme="minorAscii"/>
          <w:b/>
          <w:bCs/>
          <w:i w:val="0"/>
          <w:iCs w:val="0"/>
          <w:caps w:val="0"/>
          <w:color w:val="000000" w:themeColor="text1"/>
          <w:spacing w:val="0"/>
          <w:sz w:val="24"/>
          <w:szCs w:val="24"/>
          <w:shd w:val="clear" w:fill="FFFFFF"/>
          <w14:textFill>
            <w14:solidFill>
              <w14:schemeClr w14:val="tx1"/>
            </w14:solidFill>
          </w14:textFill>
        </w:rPr>
        <w:t xml:space="preserve">3 Basic </w:t>
      </w:r>
      <w:r>
        <w:rPr>
          <w:rFonts w:hint="eastAsia" w:eastAsia="宋体" w:cs="Franklin Gothic Demi" w:asciiTheme="minorAscii" w:hAnsiTheme="minorAscii"/>
          <w:b/>
          <w:bCs/>
          <w:i w:val="0"/>
          <w:iCs w:val="0"/>
          <w:caps w:val="0"/>
          <w:color w:val="000000" w:themeColor="text1"/>
          <w:spacing w:val="0"/>
          <w:sz w:val="24"/>
          <w:szCs w:val="24"/>
          <w:shd w:val="clear" w:fill="FFFFFF"/>
          <w:lang w:val="en-US" w:eastAsia="zh-CN"/>
          <w14:textFill>
            <w14:solidFill>
              <w14:schemeClr w14:val="tx1"/>
            </w14:solidFill>
          </w14:textFill>
        </w:rPr>
        <w:t>Provisions</w:t>
      </w:r>
      <w:r>
        <w:rPr>
          <w:rFonts w:hint="eastAsia" w:eastAsia="宋体" w:cs="Franklin Gothic Demi" w:asciiTheme="minorAscii" w:hAnsiTheme="minorAscii"/>
          <w:b/>
          <w:bCs/>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eastAsia="宋体" w:cs="Franklin Gothic Demi" w:asciiTheme="minorAscii" w:hAnsiTheme="minorAscii"/>
          <w:b/>
          <w:bCs/>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5</w:t>
      </w:r>
    </w:p>
    <w:p w14:paraId="4D2057B7">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0" w:firstLineChars="0"/>
        <w:jc w:val="left"/>
        <w:textAlignment w:val="auto"/>
        <w:rPr>
          <w:rFonts w:hint="default" w:eastAsia="Segoe UI" w:cs="Franklin Gothic Demi" w:asciiTheme="minorAscii" w:hAnsiTheme="minorAscii"/>
          <w:i w:val="0"/>
          <w:iCs w:val="0"/>
          <w:caps w:val="0"/>
          <w:color w:val="000000" w:themeColor="text1"/>
          <w:spacing w:val="0"/>
          <w:sz w:val="24"/>
          <w:szCs w:val="24"/>
          <w:shd w:val="clear" w:fill="FFFFFF"/>
          <w14:textFill>
            <w14:solidFill>
              <w14:schemeClr w14:val="tx1"/>
            </w14:solidFill>
          </w14:textFill>
        </w:rPr>
      </w:pPr>
      <w:r>
        <w:rPr>
          <w:rFonts w:hint="default" w:eastAsia="Segoe UI" w:cs="Franklin Gothic Demi" w:asciiTheme="minorAscii" w:hAnsiTheme="minorAscii"/>
          <w:b/>
          <w:bCs/>
          <w:i w:val="0"/>
          <w:iCs w:val="0"/>
          <w:caps w:val="0"/>
          <w:color w:val="000000" w:themeColor="text1"/>
          <w:spacing w:val="0"/>
          <w:sz w:val="24"/>
          <w:szCs w:val="24"/>
          <w:shd w:val="clear" w:fill="FFFFFF"/>
          <w14:textFill>
            <w14:solidFill>
              <w14:schemeClr w14:val="tx1"/>
            </w14:solidFill>
          </w14:textFill>
        </w:rPr>
        <w:t>4 Planning and Site Selection</w:t>
      </w:r>
      <w:r>
        <w:rPr>
          <w:rFonts w:hint="default" w:eastAsia="Segoe UI" w:cs="Franklin Gothic Demi" w:asciiTheme="minorAscii" w:hAnsiTheme="minorAscii"/>
          <w:i w:val="0"/>
          <w:iCs w:val="0"/>
          <w:caps w:val="0"/>
          <w:color w:val="000000" w:themeColor="text1"/>
          <w:spacing w:val="0"/>
          <w:sz w:val="24"/>
          <w:szCs w:val="24"/>
          <w:shd w:val="clear" w:fill="FFFFFF"/>
          <w14:textFill>
            <w14:solidFill>
              <w14:schemeClr w14:val="tx1"/>
            </w14:solidFill>
          </w14:textFill>
        </w:rPr>
        <w:t xml:space="preserve"> </w:t>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ab/>
      </w:r>
      <w:r>
        <w:rPr>
          <w:rFonts w:hint="default" w:eastAsia="Segoe UI" w:cs="Franklin Gothic Demi" w:asciiTheme="minorAscii" w:hAnsiTheme="minorAscii"/>
          <w:i w:val="0"/>
          <w:iCs w:val="0"/>
          <w:caps w:val="0"/>
          <w:color w:val="000000" w:themeColor="text1"/>
          <w:spacing w:val="0"/>
          <w:sz w:val="24"/>
          <w:szCs w:val="24"/>
          <w:shd w:val="clear" w:fill="FFFFFF"/>
          <w14:textFill>
            <w14:solidFill>
              <w14:schemeClr w14:val="tx1"/>
            </w14:solidFill>
          </w14:textFill>
        </w:rPr>
        <w:t>6</w:t>
      </w:r>
    </w:p>
    <w:p w14:paraId="602605A5">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210" w:firstLineChars="100"/>
        <w:jc w:val="left"/>
        <w:textAlignment w:val="auto"/>
        <w:rPr>
          <w:rFonts w:hint="default" w:eastAsia="Segoe UI" w:cs="Franklin Gothic Demi" w:asciiTheme="minorAscii" w:hAnsiTheme="minorAscii"/>
          <w:i w:val="0"/>
          <w:iCs w:val="0"/>
          <w:caps w:val="0"/>
          <w:color w:val="000000" w:themeColor="text1"/>
          <w:spacing w:val="0"/>
          <w:sz w:val="24"/>
          <w:szCs w:val="24"/>
          <w:shd w:val="clear" w:fill="FFFFFF"/>
          <w14:textFill>
            <w14:solidFill>
              <w14:schemeClr w14:val="tx1"/>
            </w14:solidFill>
          </w14:textFill>
        </w:rPr>
      </w:pP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 xml:space="preserve">4.1 General </w:t>
      </w:r>
      <w:r>
        <w:rPr>
          <w:rFonts w:hint="eastAsia"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Provisions</w:t>
      </w:r>
      <w:r>
        <w:rPr>
          <w:rFonts w:hint="default" w:eastAsia="Segoe UI" w:cs="Franklin Gothic Demi" w:asciiTheme="minorAscii" w:hAnsiTheme="minorAscii"/>
          <w:i w:val="0"/>
          <w:iCs w:val="0"/>
          <w:caps w:val="0"/>
          <w:color w:val="000000" w:themeColor="text1"/>
          <w:spacing w:val="0"/>
          <w:sz w:val="24"/>
          <w:szCs w:val="24"/>
          <w:shd w:val="clear" w:fill="FFFFFF"/>
          <w14:textFill>
            <w14:solidFill>
              <w14:schemeClr w14:val="tx1"/>
            </w14:solidFill>
          </w14:textFill>
        </w:rPr>
        <w:t xml:space="preserve"> </w:t>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ab/>
      </w:r>
      <w:r>
        <w:rPr>
          <w:rFonts w:hint="default" w:eastAsia="Segoe UI" w:cs="Franklin Gothic Demi" w:asciiTheme="minorAscii" w:hAnsiTheme="minorAscii"/>
          <w:i w:val="0"/>
          <w:iCs w:val="0"/>
          <w:caps w:val="0"/>
          <w:color w:val="000000" w:themeColor="text1"/>
          <w:spacing w:val="0"/>
          <w:sz w:val="24"/>
          <w:szCs w:val="24"/>
          <w:shd w:val="clear" w:fill="FFFFFF"/>
          <w14:textFill>
            <w14:solidFill>
              <w14:schemeClr w14:val="tx1"/>
            </w14:solidFill>
          </w14:textFill>
        </w:rPr>
        <w:t xml:space="preserve"> 6</w:t>
      </w:r>
    </w:p>
    <w:p w14:paraId="4ADB65B0">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210" w:firstLineChars="100"/>
        <w:jc w:val="left"/>
        <w:textAlignment w:val="auto"/>
        <w:rPr>
          <w:rFonts w:hint="default" w:eastAsia="Segoe UI" w:cs="Franklin Gothic Demi" w:asciiTheme="minorAscii" w:hAnsiTheme="minorAscii"/>
          <w:i w:val="0"/>
          <w:iCs w:val="0"/>
          <w:caps w:val="0"/>
          <w:color w:val="000000" w:themeColor="text1"/>
          <w:spacing w:val="0"/>
          <w:sz w:val="24"/>
          <w:szCs w:val="24"/>
          <w:shd w:val="clear" w:fill="FFFFFF"/>
          <w14:textFill>
            <w14:solidFill>
              <w14:schemeClr w14:val="tx1"/>
            </w14:solidFill>
          </w14:textFill>
        </w:rPr>
      </w:pP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 xml:space="preserve">4.2 Site Selection Requirements </w:t>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ab/>
      </w:r>
      <w:r>
        <w:rPr>
          <w:rFonts w:hint="default" w:eastAsia="Segoe UI" w:cs="Franklin Gothic Demi" w:asciiTheme="minorAscii" w:hAnsiTheme="minorAscii"/>
          <w:i w:val="0"/>
          <w:iCs w:val="0"/>
          <w:caps w:val="0"/>
          <w:color w:val="000000" w:themeColor="text1"/>
          <w:spacing w:val="0"/>
          <w:sz w:val="24"/>
          <w:szCs w:val="24"/>
          <w:shd w:val="clear" w:fill="FFFFFF"/>
          <w14:textFill>
            <w14:solidFill>
              <w14:schemeClr w14:val="tx1"/>
            </w14:solidFill>
          </w14:textFill>
        </w:rPr>
        <w:t>6</w:t>
      </w:r>
    </w:p>
    <w:p w14:paraId="6CB8CF30">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210" w:firstLineChars="100"/>
        <w:jc w:val="left"/>
        <w:textAlignment w:val="auto"/>
        <w:rPr>
          <w:rFonts w:hint="eastAsia" w:eastAsia="宋体" w:cs="Franklin Gothic Demi" w:asciiTheme="minorAscii" w:hAnsiTheme="minorAscii"/>
          <w:i w:val="0"/>
          <w:iCs w:val="0"/>
          <w:caps w:val="0"/>
          <w:color w:val="000000" w:themeColor="text1"/>
          <w:spacing w:val="0"/>
          <w:sz w:val="24"/>
          <w:szCs w:val="24"/>
          <w:shd w:val="clear" w:fill="FFFFFF"/>
          <w:lang w:eastAsia="zh-CN"/>
          <w14:textFill>
            <w14:solidFill>
              <w14:schemeClr w14:val="tx1"/>
            </w14:solidFill>
          </w14:textFill>
        </w:rPr>
      </w:pP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4.3 Planning Layout</w:t>
      </w:r>
      <w:r>
        <w:rPr>
          <w:rFonts w:hint="default" w:eastAsia="Segoe UI" w:cs="Franklin Gothic Demi" w:asciiTheme="minorAscii" w:hAnsiTheme="minorAscii"/>
          <w:i w:val="0"/>
          <w:iCs w:val="0"/>
          <w:caps w:val="0"/>
          <w:color w:val="000000" w:themeColor="text1"/>
          <w:spacing w:val="0"/>
          <w:sz w:val="24"/>
          <w:szCs w:val="24"/>
          <w:shd w:val="clear" w:fill="FFFFFF"/>
          <w14:textFill>
            <w14:solidFill>
              <w14:schemeClr w14:val="tx1"/>
            </w14:solidFill>
          </w14:textFill>
        </w:rPr>
        <w:t xml:space="preserve"> </w:t>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6</w:t>
      </w:r>
    </w:p>
    <w:p w14:paraId="24ED8C03">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210" w:firstLineChars="100"/>
        <w:jc w:val="left"/>
        <w:textAlignment w:val="auto"/>
        <w:rPr>
          <w:rFonts w:hint="default" w:eastAsia="Segoe UI" w:cs="Franklin Gothic Demi" w:asciiTheme="minorAscii" w:hAnsiTheme="minorAscii"/>
          <w:i w:val="0"/>
          <w:iCs w:val="0"/>
          <w:caps w:val="0"/>
          <w:color w:val="000000" w:themeColor="text1"/>
          <w:spacing w:val="0"/>
          <w:sz w:val="24"/>
          <w:szCs w:val="24"/>
          <w:shd w:val="clear" w:fill="FFFFFF"/>
          <w:lang w:val="en-US"/>
          <w14:textFill>
            <w14:solidFill>
              <w14:schemeClr w14:val="tx1"/>
            </w14:solidFill>
          </w14:textFill>
        </w:rPr>
      </w:pP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4.4 Site Design</w:t>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8</w:t>
      </w:r>
    </w:p>
    <w:p w14:paraId="10147B5D">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0" w:firstLineChars="0"/>
        <w:jc w:val="left"/>
        <w:textAlignment w:val="auto"/>
        <w:rPr>
          <w:rFonts w:hint="eastAsia" w:eastAsia="宋体" w:cs="Franklin Gothic Demi" w:asciiTheme="minorAscii" w:hAnsiTheme="minorAscii"/>
          <w:i w:val="0"/>
          <w:iCs w:val="0"/>
          <w:caps w:val="0"/>
          <w:color w:val="000000" w:themeColor="text1"/>
          <w:spacing w:val="0"/>
          <w:sz w:val="24"/>
          <w:szCs w:val="24"/>
          <w:shd w:val="clear" w:fill="FFFFFF"/>
          <w:lang w:eastAsia="zh-CN"/>
          <w14:textFill>
            <w14:solidFill>
              <w14:schemeClr w14:val="tx1"/>
            </w14:solidFill>
          </w14:textFill>
        </w:rPr>
      </w:pPr>
      <w:r>
        <w:rPr>
          <w:rFonts w:hint="default" w:eastAsia="Segoe UI" w:cs="Franklin Gothic Demi" w:asciiTheme="minorAscii" w:hAnsiTheme="minorAscii"/>
          <w:b/>
          <w:bCs/>
          <w:i w:val="0"/>
          <w:iCs w:val="0"/>
          <w:caps w:val="0"/>
          <w:color w:val="000000" w:themeColor="text1"/>
          <w:spacing w:val="0"/>
          <w:sz w:val="24"/>
          <w:szCs w:val="24"/>
          <w:shd w:val="clear" w:fill="FFFFFF"/>
          <w14:textFill>
            <w14:solidFill>
              <w14:schemeClr w14:val="tx1"/>
            </w14:solidFill>
          </w14:textFill>
        </w:rPr>
        <w:t>5 Design</w:t>
      </w:r>
      <w:r>
        <w:rPr>
          <w:rFonts w:hint="default" w:eastAsia="Segoe UI" w:cs="Franklin Gothic Demi" w:asciiTheme="minorAscii" w:hAnsiTheme="minorAscii"/>
          <w:i w:val="0"/>
          <w:iCs w:val="0"/>
          <w:caps w:val="0"/>
          <w:color w:val="000000" w:themeColor="text1"/>
          <w:spacing w:val="0"/>
          <w:sz w:val="24"/>
          <w:szCs w:val="24"/>
          <w:shd w:val="clear" w:fill="FFFFFF"/>
          <w14:textFill>
            <w14:solidFill>
              <w14:schemeClr w14:val="tx1"/>
            </w14:solidFill>
          </w14:textFill>
        </w:rPr>
        <w:t xml:space="preserve"> </w:t>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ab/>
      </w:r>
      <w:r>
        <w:rPr>
          <w:rFonts w:hint="default" w:eastAsia="Segoe UI" w:cs="Franklin Gothic Demi" w:asciiTheme="minorAscii" w:hAnsiTheme="minorAscii"/>
          <w:i w:val="0"/>
          <w:iCs w:val="0"/>
          <w:caps w:val="0"/>
          <w:color w:val="000000" w:themeColor="text1"/>
          <w:spacing w:val="0"/>
          <w:sz w:val="24"/>
          <w:szCs w:val="24"/>
          <w:shd w:val="clear" w:fill="FFFFFF"/>
          <w14:textFill>
            <w14:solidFill>
              <w14:schemeClr w14:val="tx1"/>
            </w14:solidFill>
          </w14:textFill>
        </w:rPr>
        <w:t>1</w:t>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0</w:t>
      </w:r>
    </w:p>
    <w:p w14:paraId="68973410">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210" w:firstLineChars="100"/>
        <w:jc w:val="left"/>
        <w:textAlignment w:val="auto"/>
        <w:rPr>
          <w:rFonts w:hint="eastAsia" w:eastAsia="宋体" w:cs="Franklin Gothic Demi" w:asciiTheme="minorAscii" w:hAnsiTheme="minorAscii"/>
          <w:i w:val="0"/>
          <w:iCs w:val="0"/>
          <w:caps w:val="0"/>
          <w:color w:val="000000" w:themeColor="text1"/>
          <w:spacing w:val="0"/>
          <w:sz w:val="24"/>
          <w:szCs w:val="24"/>
          <w:shd w:val="clear" w:fill="FFFFFF"/>
          <w:lang w:eastAsia="zh-CN"/>
          <w14:textFill>
            <w14:solidFill>
              <w14:schemeClr w14:val="tx1"/>
            </w14:solidFill>
          </w14:textFill>
        </w:rPr>
      </w:pP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 xml:space="preserve">5.1 General </w:t>
      </w:r>
      <w:r>
        <w:rPr>
          <w:rFonts w:hint="eastAsia"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Provisions</w:t>
      </w: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 xml:space="preserve"> </w:t>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ab/>
      </w:r>
      <w:r>
        <w:rPr>
          <w:rFonts w:hint="default" w:eastAsia="Segoe UI" w:cs="Franklin Gothic Demi" w:asciiTheme="minorAscii" w:hAnsiTheme="minorAscii"/>
          <w:i w:val="0"/>
          <w:iCs w:val="0"/>
          <w:caps w:val="0"/>
          <w:color w:val="000000" w:themeColor="text1"/>
          <w:spacing w:val="0"/>
          <w:sz w:val="24"/>
          <w:szCs w:val="24"/>
          <w:shd w:val="clear" w:fill="FFFFFF"/>
          <w14:textFill>
            <w14:solidFill>
              <w14:schemeClr w14:val="tx1"/>
            </w14:solidFill>
          </w14:textFill>
        </w:rPr>
        <w:t>1</w:t>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0</w:t>
      </w:r>
    </w:p>
    <w:p w14:paraId="57A5D412">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210" w:firstLineChars="100"/>
        <w:jc w:val="left"/>
        <w:textAlignment w:val="auto"/>
        <w:rPr>
          <w:rFonts w:hint="eastAsia" w:eastAsia="宋体" w:cs="Franklin Gothic Demi" w:asciiTheme="minorAscii" w:hAnsiTheme="minorAscii"/>
          <w:i w:val="0"/>
          <w:iCs w:val="0"/>
          <w:caps w:val="0"/>
          <w:color w:val="000000" w:themeColor="text1"/>
          <w:spacing w:val="0"/>
          <w:sz w:val="24"/>
          <w:szCs w:val="24"/>
          <w:shd w:val="clear" w:fill="FFFFFF"/>
          <w:lang w:eastAsia="zh-CN"/>
          <w14:textFill>
            <w14:solidFill>
              <w14:schemeClr w14:val="tx1"/>
            </w14:solidFill>
          </w14:textFill>
        </w:rPr>
      </w:pP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5.2 Architectural Design</w:t>
      </w:r>
      <w:r>
        <w:rPr>
          <w:rFonts w:hint="default" w:eastAsia="Segoe UI" w:cs="Franklin Gothic Demi" w:asciiTheme="minorAscii" w:hAnsiTheme="minorAscii"/>
          <w:i w:val="0"/>
          <w:iCs w:val="0"/>
          <w:caps w:val="0"/>
          <w:color w:val="000000" w:themeColor="text1"/>
          <w:spacing w:val="0"/>
          <w:sz w:val="24"/>
          <w:szCs w:val="24"/>
          <w:shd w:val="clear" w:fill="FFFFFF"/>
          <w14:textFill>
            <w14:solidFill>
              <w14:schemeClr w14:val="tx1"/>
            </w14:solidFill>
          </w14:textFill>
        </w:rPr>
        <w:t xml:space="preserve"> </w:t>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ab/>
      </w:r>
      <w:r>
        <w:rPr>
          <w:rFonts w:hint="default" w:eastAsia="Segoe UI" w:cs="Franklin Gothic Demi" w:asciiTheme="minorAscii" w:hAnsiTheme="minorAscii"/>
          <w:i w:val="0"/>
          <w:iCs w:val="0"/>
          <w:caps w:val="0"/>
          <w:color w:val="000000" w:themeColor="text1"/>
          <w:spacing w:val="0"/>
          <w:sz w:val="24"/>
          <w:szCs w:val="24"/>
          <w:shd w:val="clear" w:fill="FFFFFF"/>
          <w14:textFill>
            <w14:solidFill>
              <w14:schemeClr w14:val="tx1"/>
            </w14:solidFill>
          </w14:textFill>
        </w:rPr>
        <w:t>1</w:t>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0</w:t>
      </w:r>
    </w:p>
    <w:p w14:paraId="6D4796AF">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210" w:firstLineChars="100"/>
        <w:jc w:val="left"/>
        <w:textAlignment w:val="auto"/>
        <w:rPr>
          <w:rFonts w:hint="default"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pP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5.3 Structural Design</w:t>
      </w:r>
      <w:r>
        <w:rPr>
          <w:rFonts w:hint="eastAsia" w:eastAsia="宋体"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tab/>
      </w:r>
      <w:r>
        <w:rPr>
          <w:rFonts w:hint="eastAsia" w:eastAsia="宋体"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tab/>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13</w:t>
      </w:r>
    </w:p>
    <w:p w14:paraId="6C4406A6">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210" w:firstLineChars="100"/>
        <w:jc w:val="left"/>
        <w:textAlignment w:val="auto"/>
        <w:rPr>
          <w:rFonts w:hint="default" w:eastAsia="宋体"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pP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 xml:space="preserve">5.4 Water Supply and Drainage Design </w:t>
      </w:r>
      <w:r>
        <w:rPr>
          <w:rFonts w:hint="eastAsia" w:eastAsia="Segoe UI"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tab/>
      </w: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 xml:space="preserve"> </w:t>
      </w:r>
      <w:r>
        <w:rPr>
          <w:rFonts w:hint="eastAsia" w:eastAsia="宋体"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t>13</w:t>
      </w:r>
    </w:p>
    <w:p w14:paraId="45BD87B0">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210" w:firstLineChars="100"/>
        <w:jc w:val="left"/>
        <w:textAlignment w:val="auto"/>
        <w:rPr>
          <w:rFonts w:hint="default" w:eastAsia="宋体"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pP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 xml:space="preserve">5.5 HVAC Design </w:t>
      </w:r>
      <w:r>
        <w:rPr>
          <w:rFonts w:hint="eastAsia" w:eastAsia="Segoe UI"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tab/>
      </w:r>
      <w:r>
        <w:rPr>
          <w:rFonts w:hint="eastAsia" w:eastAsia="Segoe UI"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tab/>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16</w:t>
      </w:r>
    </w:p>
    <w:p w14:paraId="6E77DF55">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210" w:firstLineChars="100"/>
        <w:jc w:val="left"/>
        <w:textAlignment w:val="auto"/>
        <w:rPr>
          <w:rFonts w:hint="default" w:eastAsia="宋体"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pP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 xml:space="preserve">5.6 Gas System Design </w:t>
      </w:r>
      <w:r>
        <w:rPr>
          <w:rFonts w:hint="eastAsia" w:eastAsia="Segoe UI"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tab/>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17</w:t>
      </w:r>
    </w:p>
    <w:p w14:paraId="5A201E79">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210" w:firstLineChars="100"/>
        <w:jc w:val="left"/>
        <w:textAlignment w:val="auto"/>
        <w:rPr>
          <w:rFonts w:hint="default" w:eastAsia="宋体"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pP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 xml:space="preserve">5.7 Electrical Power Supply Design </w:t>
      </w:r>
      <w:r>
        <w:rPr>
          <w:rFonts w:hint="eastAsia" w:eastAsia="Segoe UI"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tab/>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18</w:t>
      </w:r>
    </w:p>
    <w:p w14:paraId="52DE62F8">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210" w:firstLineChars="100"/>
        <w:jc w:val="left"/>
        <w:textAlignment w:val="auto"/>
        <w:rPr>
          <w:rFonts w:hint="default"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pP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 xml:space="preserve">5.8 Intelligent System Design </w:t>
      </w:r>
      <w:r>
        <w:rPr>
          <w:rFonts w:hint="eastAsia" w:eastAsia="Segoe UI"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tab/>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18</w:t>
      </w:r>
    </w:p>
    <w:p w14:paraId="01994D5B">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210" w:firstLineChars="100"/>
        <w:jc w:val="left"/>
        <w:textAlignment w:val="auto"/>
        <w:rPr>
          <w:rFonts w:hint="default" w:eastAsia="宋体"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pP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 xml:space="preserve">5.9 Indoor Environment and Decoration Design </w:t>
      </w:r>
      <w:r>
        <w:rPr>
          <w:rFonts w:hint="eastAsia" w:eastAsia="Segoe UI"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tab/>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22</w:t>
      </w:r>
    </w:p>
    <w:p w14:paraId="4A4DFFFC">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210" w:firstLineChars="100"/>
        <w:jc w:val="left"/>
        <w:textAlignment w:val="auto"/>
        <w:rPr>
          <w:rFonts w:hint="default"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pP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 xml:space="preserve">5.10 Renewable Energy Utilization </w:t>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23</w:t>
      </w:r>
    </w:p>
    <w:p w14:paraId="04A47A9B">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0" w:firstLineChars="0"/>
        <w:jc w:val="left"/>
        <w:textAlignment w:val="auto"/>
        <w:rPr>
          <w:rFonts w:hint="default"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pPr>
      <w:r>
        <w:rPr>
          <w:rFonts w:hint="default" w:eastAsia="Segoe UI" w:cs="Franklin Gothic Demi" w:asciiTheme="minorAscii" w:hAnsiTheme="minorAscii"/>
          <w:b/>
          <w:bCs/>
          <w:i w:val="0"/>
          <w:iCs w:val="0"/>
          <w:caps w:val="0"/>
          <w:color w:val="000000" w:themeColor="text1"/>
          <w:spacing w:val="0"/>
          <w:sz w:val="24"/>
          <w:szCs w:val="24"/>
          <w:shd w:val="clear" w:fill="FFFFFF"/>
          <w14:textFill>
            <w14:solidFill>
              <w14:schemeClr w14:val="tx1"/>
            </w14:solidFill>
          </w14:textFill>
        </w:rPr>
        <w:t>6 Construction and Acceptance</w:t>
      </w:r>
      <w:r>
        <w:rPr>
          <w:rFonts w:hint="default" w:eastAsia="Segoe UI" w:cs="Franklin Gothic Demi" w:asciiTheme="minorAscii" w:hAnsiTheme="minorAscii"/>
          <w:i w:val="0"/>
          <w:iCs w:val="0"/>
          <w:caps w:val="0"/>
          <w:color w:val="000000" w:themeColor="text1"/>
          <w:spacing w:val="0"/>
          <w:sz w:val="24"/>
          <w:szCs w:val="24"/>
          <w:shd w:val="clear" w:fill="FFFFFF"/>
          <w14:textFill>
            <w14:solidFill>
              <w14:schemeClr w14:val="tx1"/>
            </w14:solidFill>
          </w14:textFill>
        </w:rPr>
        <w:t xml:space="preserve"> </w:t>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24</w:t>
      </w:r>
    </w:p>
    <w:p w14:paraId="6A66DE01">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210" w:firstLineChars="100"/>
        <w:jc w:val="left"/>
        <w:textAlignment w:val="auto"/>
        <w:rPr>
          <w:rFonts w:hint="default" w:eastAsia="宋体"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pP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 xml:space="preserve">6.1 General </w:t>
      </w:r>
      <w:r>
        <w:rPr>
          <w:rFonts w:hint="eastAsia"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Provisions</w:t>
      </w: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 xml:space="preserve"> </w:t>
      </w:r>
      <w:r>
        <w:rPr>
          <w:rFonts w:hint="eastAsia" w:eastAsia="Segoe UI"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tab/>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24</w:t>
      </w:r>
    </w:p>
    <w:p w14:paraId="7275614F">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210" w:firstLineChars="100"/>
        <w:jc w:val="left"/>
        <w:textAlignment w:val="auto"/>
        <w:rPr>
          <w:rFonts w:hint="default" w:eastAsia="宋体"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pP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 xml:space="preserve">6.2 Materials and Equipment </w:t>
      </w:r>
      <w:r>
        <w:rPr>
          <w:rFonts w:hint="eastAsia" w:eastAsia="Segoe UI"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tab/>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24</w:t>
      </w:r>
    </w:p>
    <w:p w14:paraId="69AE3C82">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210" w:firstLineChars="100"/>
        <w:jc w:val="left"/>
        <w:textAlignment w:val="auto"/>
        <w:rPr>
          <w:rFonts w:hint="default" w:eastAsia="宋体"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pP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6.3 Construction Management</w:t>
      </w:r>
      <w:r>
        <w:rPr>
          <w:rFonts w:hint="eastAsia" w:eastAsia="Segoe UI"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tab/>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25</w:t>
      </w:r>
    </w:p>
    <w:p w14:paraId="44B0E9C0">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210" w:firstLineChars="100"/>
        <w:jc w:val="left"/>
        <w:textAlignment w:val="auto"/>
        <w:rPr>
          <w:rFonts w:hint="default" w:eastAsia="宋体"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pP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6.4 Green Construction</w:t>
      </w:r>
      <w:r>
        <w:rPr>
          <w:rFonts w:hint="eastAsia" w:eastAsia="Segoe UI"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tab/>
      </w: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 xml:space="preserve"> </w:t>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26</w:t>
      </w:r>
    </w:p>
    <w:p w14:paraId="54A26176">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210" w:firstLineChars="100"/>
        <w:jc w:val="left"/>
        <w:textAlignment w:val="auto"/>
        <w:rPr>
          <w:rFonts w:hint="default" w:eastAsia="宋体"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pP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 xml:space="preserve">6.5 Quality Control and Acceptance </w:t>
      </w:r>
      <w:r>
        <w:rPr>
          <w:rFonts w:hint="eastAsia" w:eastAsia="Segoe UI"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tab/>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27</w:t>
      </w:r>
    </w:p>
    <w:p w14:paraId="6E62830F">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0" w:firstLineChars="0"/>
        <w:jc w:val="left"/>
        <w:textAlignment w:val="auto"/>
        <w:rPr>
          <w:rFonts w:hint="default"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pPr>
      <w:r>
        <w:rPr>
          <w:rFonts w:hint="default" w:eastAsia="Segoe UI" w:cs="Franklin Gothic Demi" w:asciiTheme="minorAscii" w:hAnsiTheme="minorAscii"/>
          <w:b/>
          <w:bCs/>
          <w:i w:val="0"/>
          <w:iCs w:val="0"/>
          <w:caps w:val="0"/>
          <w:color w:val="000000" w:themeColor="text1"/>
          <w:spacing w:val="0"/>
          <w:sz w:val="24"/>
          <w:szCs w:val="24"/>
          <w:shd w:val="clear" w:fill="FFFFFF"/>
          <w14:textFill>
            <w14:solidFill>
              <w14:schemeClr w14:val="tx1"/>
            </w14:solidFill>
          </w14:textFill>
        </w:rPr>
        <w:t>7 Operation and Maintenance</w:t>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ab/>
      </w:r>
      <w:r>
        <w:rPr>
          <w:rFonts w:hint="default" w:eastAsia="Segoe UI" w:cs="Franklin Gothic Demi" w:asciiTheme="minorAscii" w:hAnsiTheme="minorAscii"/>
          <w:i w:val="0"/>
          <w:iCs w:val="0"/>
          <w:caps w:val="0"/>
          <w:color w:val="000000" w:themeColor="text1"/>
          <w:spacing w:val="0"/>
          <w:sz w:val="24"/>
          <w:szCs w:val="24"/>
          <w:shd w:val="clear" w:fill="FFFFFF"/>
          <w14:textFill>
            <w14:solidFill>
              <w14:schemeClr w14:val="tx1"/>
            </w14:solidFill>
          </w14:textFill>
        </w:rPr>
        <w:t xml:space="preserve"> </w:t>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34</w:t>
      </w:r>
    </w:p>
    <w:p w14:paraId="18ACDEB7">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210" w:firstLineChars="100"/>
        <w:jc w:val="left"/>
        <w:textAlignment w:val="auto"/>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pP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 xml:space="preserve">7.1 General </w:t>
      </w:r>
      <w:r>
        <w:rPr>
          <w:rFonts w:hint="eastAsia"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Provisions</w:t>
      </w: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 xml:space="preserve"> </w:t>
      </w:r>
      <w:r>
        <w:rPr>
          <w:rFonts w:hint="eastAsia" w:eastAsia="Segoe UI"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tab/>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3</w:t>
      </w:r>
      <w:r>
        <w:rPr>
          <w:rFonts w:hint="default" w:eastAsia="Segoe UI" w:cs="Franklin Gothic Demi" w:asciiTheme="minorAscii" w:hAnsiTheme="minorAscii"/>
          <w:i w:val="0"/>
          <w:iCs w:val="0"/>
          <w:caps w:val="0"/>
          <w:color w:val="000000" w:themeColor="text1"/>
          <w:spacing w:val="0"/>
          <w:sz w:val="24"/>
          <w:szCs w:val="24"/>
          <w:shd w:val="clear" w:fill="FFFFFF"/>
          <w14:textFill>
            <w14:solidFill>
              <w14:schemeClr w14:val="tx1"/>
            </w14:solidFill>
          </w14:textFill>
        </w:rPr>
        <w:t>4</w:t>
      </w:r>
    </w:p>
    <w:p w14:paraId="7112B997">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210" w:firstLineChars="100"/>
        <w:jc w:val="left"/>
        <w:textAlignment w:val="auto"/>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pP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 xml:space="preserve">7.2 Property Management </w:t>
      </w:r>
      <w:r>
        <w:rPr>
          <w:rFonts w:hint="eastAsia" w:eastAsia="Segoe UI"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tab/>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3</w:t>
      </w:r>
      <w:r>
        <w:rPr>
          <w:rFonts w:hint="default" w:eastAsia="Segoe UI" w:cs="Franklin Gothic Demi" w:asciiTheme="minorAscii" w:hAnsiTheme="minorAscii"/>
          <w:i w:val="0"/>
          <w:iCs w:val="0"/>
          <w:caps w:val="0"/>
          <w:color w:val="000000" w:themeColor="text1"/>
          <w:spacing w:val="0"/>
          <w:sz w:val="24"/>
          <w:szCs w:val="24"/>
          <w:shd w:val="clear" w:fill="FFFFFF"/>
          <w14:textFill>
            <w14:solidFill>
              <w14:schemeClr w14:val="tx1"/>
            </w14:solidFill>
          </w14:textFill>
        </w:rPr>
        <w:t>4</w:t>
      </w:r>
    </w:p>
    <w:p w14:paraId="24F9A8E7">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210" w:firstLineChars="100"/>
        <w:jc w:val="left"/>
        <w:textAlignment w:val="auto"/>
        <w:rPr>
          <w:rFonts w:hint="default" w:eastAsia="宋体"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pP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 xml:space="preserve">7.3 Shared Facilities Management </w:t>
      </w:r>
      <w:r>
        <w:rPr>
          <w:rFonts w:hint="eastAsia" w:eastAsia="Segoe UI"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tab/>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34</w:t>
      </w:r>
    </w:p>
    <w:p w14:paraId="360FEEB0">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210" w:firstLineChars="100"/>
        <w:jc w:val="left"/>
        <w:textAlignment w:val="auto"/>
        <w:rPr>
          <w:rFonts w:hint="default" w:eastAsia="宋体"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pP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 xml:space="preserve">7.4 </w:t>
      </w:r>
      <w:r>
        <w:rPr>
          <w:rFonts w:hint="eastAsia"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 xml:space="preserve">Intelligent </w:t>
      </w: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 xml:space="preserve">Construction </w:t>
      </w:r>
      <w:r>
        <w:rPr>
          <w:rFonts w:hint="eastAsia" w:eastAsia="Segoe UI"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tab/>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36</w:t>
      </w:r>
    </w:p>
    <w:p w14:paraId="2018ABC2">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210" w:firstLineChars="100"/>
        <w:jc w:val="left"/>
        <w:textAlignment w:val="auto"/>
        <w:rPr>
          <w:rFonts w:hint="default" w:eastAsia="宋体"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pP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 xml:space="preserve">7.5 Community Services </w:t>
      </w:r>
      <w:r>
        <w:rPr>
          <w:rFonts w:hint="eastAsia" w:eastAsia="Segoe UI"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tab/>
      </w: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 xml:space="preserve"> </w:t>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36</w:t>
      </w:r>
    </w:p>
    <w:p w14:paraId="31917397">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210" w:firstLineChars="100"/>
        <w:jc w:val="left"/>
        <w:textAlignment w:val="auto"/>
        <w:rPr>
          <w:rFonts w:hint="default"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pP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 xml:space="preserve">7.6 Living Services </w:t>
      </w:r>
      <w:r>
        <w:rPr>
          <w:rFonts w:hint="eastAsia" w:eastAsia="Segoe UI"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tab/>
      </w:r>
      <w:r>
        <w:rPr>
          <w:rFonts w:hint="eastAsia" w:eastAsia="Segoe UI"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tab/>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37</w:t>
      </w:r>
    </w:p>
    <w:p w14:paraId="1B53084D">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0" w:firstLineChars="0"/>
        <w:jc w:val="left"/>
        <w:textAlignment w:val="auto"/>
        <w:rPr>
          <w:rFonts w:hint="default"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pPr>
      <w:r>
        <w:rPr>
          <w:rFonts w:hint="default" w:eastAsia="Segoe UI" w:cs="Franklin Gothic Demi" w:asciiTheme="minorAscii" w:hAnsiTheme="minorAscii"/>
          <w:b/>
          <w:bCs/>
          <w:i w:val="0"/>
          <w:iCs w:val="0"/>
          <w:caps w:val="0"/>
          <w:color w:val="000000" w:themeColor="text1"/>
          <w:spacing w:val="0"/>
          <w:sz w:val="24"/>
          <w:szCs w:val="24"/>
          <w:shd w:val="clear" w:fill="FFFFFF"/>
          <w14:textFill>
            <w14:solidFill>
              <w14:schemeClr w14:val="tx1"/>
            </w14:solidFill>
          </w14:textFill>
        </w:rPr>
        <w:t>8 Renovation of Existing Buildings</w:t>
      </w:r>
      <w:r>
        <w:rPr>
          <w:rFonts w:hint="default" w:eastAsia="Segoe UI" w:cs="Franklin Gothic Demi" w:asciiTheme="minorAscii" w:hAnsiTheme="minorAscii"/>
          <w:i w:val="0"/>
          <w:iCs w:val="0"/>
          <w:caps w:val="0"/>
          <w:color w:val="000000" w:themeColor="text1"/>
          <w:spacing w:val="0"/>
          <w:sz w:val="24"/>
          <w:szCs w:val="24"/>
          <w:shd w:val="clear" w:fill="FFFFFF"/>
          <w14:textFill>
            <w14:solidFill>
              <w14:schemeClr w14:val="tx1"/>
            </w14:solidFill>
          </w14:textFill>
        </w:rPr>
        <w:t xml:space="preserve"> </w:t>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ab/>
      </w:r>
      <w:r>
        <w:rPr>
          <w:rFonts w:hint="default" w:eastAsia="Segoe UI" w:cs="Franklin Gothic Demi" w:asciiTheme="minorAscii" w:hAnsiTheme="minorAscii"/>
          <w:i w:val="0"/>
          <w:iCs w:val="0"/>
          <w:caps w:val="0"/>
          <w:color w:val="000000" w:themeColor="text1"/>
          <w:spacing w:val="0"/>
          <w:sz w:val="24"/>
          <w:szCs w:val="24"/>
          <w:shd w:val="clear" w:fill="FFFFFF"/>
          <w14:textFill>
            <w14:solidFill>
              <w14:schemeClr w14:val="tx1"/>
            </w14:solidFill>
          </w14:textFill>
        </w:rPr>
        <w:t xml:space="preserve"> </w:t>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38</w:t>
      </w:r>
    </w:p>
    <w:p w14:paraId="6489F51C">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210" w:firstLineChars="100"/>
        <w:jc w:val="left"/>
        <w:textAlignment w:val="auto"/>
        <w:rPr>
          <w:rFonts w:hint="default" w:eastAsia="宋体"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pP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 xml:space="preserve">8.1 Basic </w:t>
      </w:r>
      <w:r>
        <w:rPr>
          <w:rFonts w:hint="eastAsia"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Provisions</w:t>
      </w:r>
      <w:r>
        <w:rPr>
          <w:rFonts w:hint="eastAsia" w:eastAsia="宋体"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tab/>
      </w: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 xml:space="preserve"> </w:t>
      </w:r>
      <w:r>
        <w:rPr>
          <w:rFonts w:hint="eastAsia" w:eastAsia="Segoe UI"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tab/>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38</w:t>
      </w:r>
    </w:p>
    <w:p w14:paraId="5707F2A8">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210" w:firstLineChars="100"/>
        <w:jc w:val="left"/>
        <w:textAlignment w:val="auto"/>
        <w:rPr>
          <w:rFonts w:hint="default" w:eastAsia="宋体"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pP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 xml:space="preserve">8.2 Technical Provisions for Full Process of Building Renovation </w:t>
      </w:r>
      <w:r>
        <w:rPr>
          <w:rFonts w:hint="eastAsia" w:eastAsia="Segoe UI" w:cs="Franklin Gothic Demi" w:asciiTheme="minorAscii" w:hAnsiTheme="minorAscii"/>
          <w:i w:val="0"/>
          <w:iCs w:val="0"/>
          <w:caps w:val="0"/>
          <w:color w:val="000000" w:themeColor="text1"/>
          <w:spacing w:val="0"/>
          <w:sz w:val="21"/>
          <w:szCs w:val="21"/>
          <w:shd w:val="clear" w:fill="FFFFFF"/>
          <w:lang w:val="en-US" w:eastAsia="zh-CN"/>
          <w14:textFill>
            <w14:solidFill>
              <w14:schemeClr w14:val="tx1"/>
            </w14:solidFill>
          </w14:textFill>
        </w:rPr>
        <w:tab/>
      </w:r>
      <w:r>
        <w:rPr>
          <w:rFonts w:hint="default" w:eastAsia="Segoe UI" w:cs="Franklin Gothic Demi" w:asciiTheme="minorAscii" w:hAnsiTheme="minorAscii"/>
          <w:i w:val="0"/>
          <w:iCs w:val="0"/>
          <w:caps w:val="0"/>
          <w:color w:val="000000" w:themeColor="text1"/>
          <w:spacing w:val="0"/>
          <w:sz w:val="21"/>
          <w:szCs w:val="21"/>
          <w:shd w:val="clear" w:fill="FFFFFF"/>
          <w14:textFill>
            <w14:solidFill>
              <w14:schemeClr w14:val="tx1"/>
            </w14:solidFill>
          </w14:textFill>
        </w:rPr>
        <w:t xml:space="preserve"> </w:t>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38</w:t>
      </w:r>
    </w:p>
    <w:p w14:paraId="4A11374E">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0" w:firstLineChars="0"/>
        <w:jc w:val="left"/>
        <w:textAlignment w:val="auto"/>
        <w:rPr>
          <w:rFonts w:hint="default"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pPr>
      <w:r>
        <w:rPr>
          <w:rFonts w:hint="default" w:eastAsia="Segoe UI" w:cs="Franklin Gothic Demi" w:asciiTheme="minorAscii" w:hAnsiTheme="minorAscii"/>
          <w:b/>
          <w:bCs/>
          <w:i w:val="0"/>
          <w:iCs w:val="0"/>
          <w:caps w:val="0"/>
          <w:color w:val="000000" w:themeColor="text1"/>
          <w:spacing w:val="0"/>
          <w:sz w:val="24"/>
          <w:szCs w:val="24"/>
          <w:shd w:val="clear" w:fill="FFFFFF"/>
          <w14:textFill>
            <w14:solidFill>
              <w14:schemeClr w14:val="tx1"/>
            </w14:solidFill>
          </w14:textFill>
        </w:rPr>
        <w:t xml:space="preserve">9 Rating and Evaluation </w:t>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40</w:t>
      </w:r>
    </w:p>
    <w:p w14:paraId="0BA18F0E">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0" w:firstLineChars="0"/>
        <w:jc w:val="left"/>
        <w:textAlignment w:val="auto"/>
        <w:rPr>
          <w:rFonts w:hint="default"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pPr>
      <w:r>
        <w:rPr>
          <w:rFonts w:hint="default" w:eastAsia="Segoe UI" w:cs="Franklin Gothic Demi" w:asciiTheme="minorAscii" w:hAnsiTheme="minorAscii"/>
          <w:b/>
          <w:bCs/>
          <w:i w:val="0"/>
          <w:iCs w:val="0"/>
          <w:caps w:val="0"/>
          <w:color w:val="000000" w:themeColor="text1"/>
          <w:spacing w:val="0"/>
          <w:sz w:val="24"/>
          <w:szCs w:val="24"/>
          <w:shd w:val="clear" w:fill="FFFFFF"/>
          <w14:textFill>
            <w14:solidFill>
              <w14:schemeClr w14:val="tx1"/>
            </w14:solidFill>
          </w14:textFill>
        </w:rPr>
        <w:t xml:space="preserve">Explanation of Wording in </w:t>
      </w:r>
      <w:r>
        <w:rPr>
          <w:rFonts w:hint="eastAsia" w:eastAsia="宋体" w:cs="Franklin Gothic Demi" w:asciiTheme="minorAscii" w:hAnsiTheme="minorAscii"/>
          <w:b/>
          <w:bCs/>
          <w:i w:val="0"/>
          <w:iCs w:val="0"/>
          <w:caps w:val="0"/>
          <w:color w:val="000000" w:themeColor="text1"/>
          <w:spacing w:val="0"/>
          <w:sz w:val="24"/>
          <w:szCs w:val="24"/>
          <w:shd w:val="clear" w:fill="FFFFFF"/>
          <w:lang w:val="en-US" w:eastAsia="zh-CN"/>
          <w14:textFill>
            <w14:solidFill>
              <w14:schemeClr w14:val="tx1"/>
            </w14:solidFill>
          </w14:textFill>
        </w:rPr>
        <w:t>t</w:t>
      </w:r>
      <w:bookmarkStart w:id="133" w:name="_GoBack"/>
      <w:bookmarkEnd w:id="133"/>
      <w:r>
        <w:rPr>
          <w:rFonts w:hint="default" w:eastAsia="Segoe UI" w:cs="Franklin Gothic Demi" w:asciiTheme="minorAscii" w:hAnsiTheme="minorAscii"/>
          <w:b/>
          <w:bCs/>
          <w:i w:val="0"/>
          <w:iCs w:val="0"/>
          <w:caps w:val="0"/>
          <w:color w:val="000000" w:themeColor="text1"/>
          <w:spacing w:val="0"/>
          <w:sz w:val="24"/>
          <w:szCs w:val="24"/>
          <w:shd w:val="clear" w:fill="FFFFFF"/>
          <w14:textFill>
            <w14:solidFill>
              <w14:schemeClr w14:val="tx1"/>
            </w14:solidFill>
          </w14:textFill>
        </w:rPr>
        <w:t>his Standard</w:t>
      </w:r>
      <w:r>
        <w:rPr>
          <w:rFonts w:hint="default" w:eastAsia="Segoe UI" w:cs="Franklin Gothic Demi" w:asciiTheme="minorAscii" w:hAnsiTheme="minorAscii"/>
          <w:i w:val="0"/>
          <w:iCs w:val="0"/>
          <w:caps w:val="0"/>
          <w:color w:val="000000" w:themeColor="text1"/>
          <w:spacing w:val="0"/>
          <w:sz w:val="24"/>
          <w:szCs w:val="24"/>
          <w:shd w:val="clear" w:fill="FFFFFF"/>
          <w14:textFill>
            <w14:solidFill>
              <w14:schemeClr w14:val="tx1"/>
            </w14:solidFill>
          </w14:textFill>
        </w:rPr>
        <w:t xml:space="preserve"> </w:t>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46</w:t>
      </w:r>
    </w:p>
    <w:p w14:paraId="43973CC7">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0" w:firstLineChars="0"/>
        <w:jc w:val="left"/>
        <w:textAlignment w:val="auto"/>
        <w:rPr>
          <w:rFonts w:hint="default"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pPr>
      <w:r>
        <w:rPr>
          <w:rFonts w:hint="default" w:eastAsia="Segoe UI" w:cs="Franklin Gothic Demi" w:asciiTheme="minorAscii" w:hAnsiTheme="minorAscii"/>
          <w:b/>
          <w:bCs/>
          <w:i w:val="0"/>
          <w:iCs w:val="0"/>
          <w:caps w:val="0"/>
          <w:color w:val="000000" w:themeColor="text1"/>
          <w:spacing w:val="0"/>
          <w:sz w:val="24"/>
          <w:szCs w:val="24"/>
          <w:shd w:val="clear" w:fill="FFFFFF"/>
          <w14:textFill>
            <w14:solidFill>
              <w14:schemeClr w14:val="tx1"/>
            </w14:solidFill>
          </w14:textFill>
        </w:rPr>
        <w:t xml:space="preserve">List of Quoted Standards </w:t>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ab/>
      </w:r>
      <w:r>
        <w:rPr>
          <w:rFonts w:hint="default" w:eastAsia="Segoe UI" w:cs="Franklin Gothic Demi" w:asciiTheme="minorAscii" w:hAnsiTheme="minorAscii"/>
          <w:i w:val="0"/>
          <w:iCs w:val="0"/>
          <w:caps w:val="0"/>
          <w:color w:val="000000" w:themeColor="text1"/>
          <w:spacing w:val="0"/>
          <w:sz w:val="24"/>
          <w:szCs w:val="24"/>
          <w:shd w:val="clear" w:fill="FFFFFF"/>
          <w14:textFill>
            <w14:solidFill>
              <w14:schemeClr w14:val="tx1"/>
            </w14:solidFill>
          </w14:textFill>
        </w:rPr>
        <w:t xml:space="preserve"> </w:t>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47</w:t>
      </w:r>
    </w:p>
    <w:p w14:paraId="7CED5A4E">
      <w:pPr>
        <w:keepNext w:val="0"/>
        <w:keepLines w:val="0"/>
        <w:pageBreakBefore w:val="0"/>
        <w:widowControl w:val="0"/>
        <w:tabs>
          <w:tab w:val="right" w:leader="middleDot" w:pos="2100"/>
          <w:tab w:val="right" w:leader="middleDot" w:pos="7980"/>
          <w:tab w:val="right" w:pos="10500"/>
        </w:tabs>
        <w:kinsoku/>
        <w:wordWrap/>
        <w:overflowPunct/>
        <w:topLinePunct w:val="0"/>
        <w:autoSpaceDE/>
        <w:autoSpaceDN/>
        <w:bidi w:val="0"/>
        <w:adjustRightInd/>
        <w:snapToGrid/>
        <w:spacing w:line="360" w:lineRule="auto"/>
        <w:ind w:left="0" w:leftChars="0" w:firstLine="0" w:firstLineChars="0"/>
        <w:jc w:val="left"/>
        <w:textAlignment w:val="auto"/>
        <w:rPr>
          <w:rFonts w:hint="eastAsia" w:ascii="黑体" w:hAnsi="黑体" w:eastAsia="黑体" w:cs="黑体"/>
          <w:color w:val="000000" w:themeColor="text1"/>
          <w:sz w:val="24"/>
          <w:szCs w:val="24"/>
          <w14:textFill>
            <w14:solidFill>
              <w14:schemeClr w14:val="tx1"/>
            </w14:solidFill>
          </w14:textFill>
        </w:rPr>
      </w:pPr>
      <w:r>
        <w:rPr>
          <w:rFonts w:hint="default" w:eastAsia="Segoe UI" w:cs="Franklin Gothic Demi" w:asciiTheme="minorAscii" w:hAnsiTheme="minorAscii"/>
          <w:b/>
          <w:bCs/>
          <w:i w:val="0"/>
          <w:iCs w:val="0"/>
          <w:caps w:val="0"/>
          <w:color w:val="000000" w:themeColor="text1"/>
          <w:spacing w:val="0"/>
          <w:sz w:val="24"/>
          <w:szCs w:val="24"/>
          <w:shd w:val="clear" w:fill="FFFFFF"/>
          <w14:textFill>
            <w14:solidFill>
              <w14:schemeClr w14:val="tx1"/>
            </w14:solidFill>
          </w14:textFill>
        </w:rPr>
        <w:t>Explanation of</w:t>
      </w:r>
      <w:r>
        <w:rPr>
          <w:rFonts w:hint="eastAsia" w:eastAsia="宋体" w:cs="Franklin Gothic Demi" w:asciiTheme="minorAscii" w:hAnsiTheme="minorAscii"/>
          <w:b/>
          <w:bCs/>
          <w:i w:val="0"/>
          <w:iCs w:val="0"/>
          <w:caps w:val="0"/>
          <w:color w:val="000000" w:themeColor="text1"/>
          <w:spacing w:val="0"/>
          <w:sz w:val="24"/>
          <w:szCs w:val="24"/>
          <w:shd w:val="clear" w:fill="FFFFFF"/>
          <w:lang w:val="en-US" w:eastAsia="zh-CN"/>
          <w14:textFill>
            <w14:solidFill>
              <w14:schemeClr w14:val="tx1"/>
            </w14:solidFill>
          </w14:textFill>
        </w:rPr>
        <w:t xml:space="preserve"> the</w:t>
      </w:r>
      <w:r>
        <w:rPr>
          <w:rFonts w:hint="default" w:eastAsia="Segoe UI" w:cs="Franklin Gothic Demi" w:asciiTheme="minorAscii" w:hAnsiTheme="minorAscii"/>
          <w:b/>
          <w:bCs/>
          <w:i w:val="0"/>
          <w:iCs w:val="0"/>
          <w:caps w:val="0"/>
          <w:color w:val="000000" w:themeColor="text1"/>
          <w:spacing w:val="0"/>
          <w:sz w:val="24"/>
          <w:szCs w:val="24"/>
          <w:shd w:val="clear" w:fill="FFFFFF"/>
          <w14:textFill>
            <w14:solidFill>
              <w14:schemeClr w14:val="tx1"/>
            </w14:solidFill>
          </w14:textFill>
        </w:rPr>
        <w:t xml:space="preserve"> Provisions</w:t>
      </w:r>
      <w:r>
        <w:rPr>
          <w:rFonts w:hint="default" w:eastAsia="Segoe UI" w:cs="Franklin Gothic Demi" w:asciiTheme="minorAscii" w:hAnsiTheme="minorAscii"/>
          <w:i w:val="0"/>
          <w:iCs w:val="0"/>
          <w:caps w:val="0"/>
          <w:color w:val="000000" w:themeColor="text1"/>
          <w:spacing w:val="0"/>
          <w:sz w:val="24"/>
          <w:szCs w:val="24"/>
          <w:shd w:val="clear" w:fill="FFFFFF"/>
          <w14:textFill>
            <w14:solidFill>
              <w14:schemeClr w14:val="tx1"/>
            </w14:solidFill>
          </w14:textFill>
        </w:rPr>
        <w:t xml:space="preserve"> </w:t>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eastAsia="宋体" w:cs="Franklin Gothic Demi" w:asciiTheme="minorAscii" w:hAnsiTheme="minorAscii"/>
          <w:i w:val="0"/>
          <w:iCs w:val="0"/>
          <w:caps w:val="0"/>
          <w:color w:val="000000" w:themeColor="text1"/>
          <w:spacing w:val="0"/>
          <w:sz w:val="24"/>
          <w:szCs w:val="24"/>
          <w:shd w:val="clear" w:fill="FFFFFF"/>
          <w:lang w:val="en-US" w:eastAsia="zh-CN"/>
          <w14:textFill>
            <w14:solidFill>
              <w14:schemeClr w14:val="tx1"/>
            </w14:solidFill>
          </w14:textFill>
        </w:rPr>
        <w:t>48</w:t>
      </w:r>
      <w:r>
        <w:rPr>
          <w:rFonts w:hint="eastAsia" w:ascii="黑体" w:hAnsi="黑体" w:eastAsia="黑体" w:cs="黑体"/>
          <w:color w:val="000000" w:themeColor="text1"/>
          <w:sz w:val="24"/>
          <w:szCs w:val="24"/>
          <w14:textFill>
            <w14:solidFill>
              <w14:schemeClr w14:val="tx1"/>
            </w14:solidFill>
          </w14:textFill>
        </w:rPr>
        <w:br w:type="page"/>
      </w:r>
    </w:p>
    <w:p w14:paraId="046BD232">
      <w:pPr>
        <w:pStyle w:val="2"/>
        <w:ind w:firstLine="643"/>
        <w:jc w:val="center"/>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1 总  则</w:t>
      </w:r>
      <w:bookmarkEnd w:id="9"/>
    </w:p>
    <w:p w14:paraId="0202E11B">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p>
    <w:p w14:paraId="126D7C74">
      <w:pPr>
        <w:snapToGrid w:val="0"/>
        <w:spacing w:line="360" w:lineRule="auto"/>
        <w:ind w:firstLine="0" w:firstLineChars="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1.0.1 为推动山西省住宅建设高质量发展，满足居民对健康舒适、绿色低碳、智能便捷、安全耐久居住环境的需求，制定本标准。</w:t>
      </w:r>
    </w:p>
    <w:p w14:paraId="3254AD56">
      <w:pPr>
        <w:snapToGrid w:val="0"/>
        <w:spacing w:line="360" w:lineRule="auto"/>
        <w:ind w:firstLine="0" w:firstLineChars="0"/>
        <w:rPr>
          <w:rFonts w:hint="eastAsia" w:ascii="方正公文小标宋" w:hAnsi="方正公文小标宋" w:eastAsia="方正公文小标宋" w:cs="方正公文小标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1.0.2 本标准适用于山西省行政区域内新建</w:t>
      </w:r>
      <w:r>
        <w:rPr>
          <w:rFonts w:hint="eastAsia" w:ascii="仿宋" w:hAnsi="仿宋" w:cs="仿宋"/>
          <w:color w:val="000000" w:themeColor="text1"/>
          <w:sz w:val="24"/>
          <w:szCs w:val="24"/>
          <w:lang w:val="en-US" w:eastAsia="zh-CN"/>
          <w14:textFill>
            <w14:solidFill>
              <w14:schemeClr w14:val="tx1"/>
            </w14:solidFill>
          </w14:textFill>
        </w:rPr>
        <w:t>好房子</w:t>
      </w:r>
      <w:r>
        <w:rPr>
          <w:rFonts w:hint="eastAsia" w:ascii="仿宋" w:hAnsi="仿宋" w:cs="仿宋"/>
          <w:color w:val="000000" w:themeColor="text1"/>
          <w:sz w:val="24"/>
          <w:szCs w:val="24"/>
          <w14:textFill>
            <w14:solidFill>
              <w14:schemeClr w14:val="tx1"/>
            </w14:solidFill>
          </w14:textFill>
        </w:rPr>
        <w:t>和既有建筑改造</w:t>
      </w:r>
      <w:r>
        <w:rPr>
          <w:rFonts w:hint="eastAsia" w:ascii="仿宋" w:hAnsi="仿宋" w:cs="仿宋"/>
          <w:color w:val="000000" w:themeColor="text1"/>
          <w:sz w:val="24"/>
          <w:szCs w:val="24"/>
          <w:lang w:val="en-US" w:eastAsia="zh-CN"/>
          <w14:textFill>
            <w14:solidFill>
              <w14:schemeClr w14:val="tx1"/>
            </w14:solidFill>
          </w14:textFill>
        </w:rPr>
        <w:t>为好房子的</w:t>
      </w:r>
      <w:r>
        <w:rPr>
          <w:rFonts w:hint="eastAsia" w:ascii="仿宋" w:hAnsi="仿宋" w:cs="仿宋"/>
          <w:color w:val="000000" w:themeColor="text1"/>
          <w:sz w:val="24"/>
          <w:szCs w:val="24"/>
          <w14:textFill>
            <w14:solidFill>
              <w14:schemeClr w14:val="tx1"/>
            </w14:solidFill>
          </w14:textFill>
        </w:rPr>
        <w:t>住宅项目的规划、设计、建造、运</w:t>
      </w:r>
      <w:r>
        <w:rPr>
          <w:rFonts w:hint="eastAsia" w:ascii="仿宋" w:hAnsi="仿宋" w:cs="仿宋"/>
          <w:color w:val="000000" w:themeColor="text1"/>
          <w:sz w:val="24"/>
          <w:szCs w:val="24"/>
          <w:lang w:val="en-US" w:eastAsia="zh-CN"/>
          <w14:textFill>
            <w14:solidFill>
              <w14:schemeClr w14:val="tx1"/>
            </w14:solidFill>
          </w14:textFill>
        </w:rPr>
        <w:t>维</w:t>
      </w:r>
      <w:r>
        <w:rPr>
          <w:rFonts w:hint="eastAsia" w:ascii="仿宋" w:hAnsi="仿宋" w:cs="仿宋"/>
          <w:color w:val="000000" w:themeColor="text1"/>
          <w:sz w:val="24"/>
          <w:szCs w:val="24"/>
          <w14:textFill>
            <w14:solidFill>
              <w14:schemeClr w14:val="tx1"/>
            </w14:solidFill>
          </w14:textFill>
        </w:rPr>
        <w:t>全过程</w:t>
      </w:r>
      <w:r>
        <w:rPr>
          <w:rFonts w:hint="eastAsia" w:ascii="仿宋" w:hAnsi="仿宋" w:cs="仿宋"/>
          <w:color w:val="000000" w:themeColor="text1"/>
          <w:sz w:val="24"/>
          <w:szCs w:val="24"/>
          <w:lang w:val="en-US" w:eastAsia="zh-CN"/>
          <w14:textFill>
            <w14:solidFill>
              <w14:schemeClr w14:val="tx1"/>
            </w14:solidFill>
          </w14:textFill>
        </w:rPr>
        <w:t>及</w:t>
      </w:r>
      <w:r>
        <w:rPr>
          <w:rFonts w:hint="eastAsia" w:ascii="仿宋" w:hAnsi="仿宋" w:cs="仿宋"/>
          <w:color w:val="000000" w:themeColor="text1"/>
          <w:sz w:val="24"/>
          <w:szCs w:val="24"/>
          <w14:textFill>
            <w14:solidFill>
              <w14:schemeClr w14:val="tx1"/>
            </w14:solidFill>
          </w14:textFill>
        </w:rPr>
        <w:t>新建</w:t>
      </w:r>
      <w:r>
        <w:rPr>
          <w:rFonts w:hint="eastAsia" w:ascii="仿宋" w:hAnsi="仿宋" w:cs="仿宋"/>
          <w:color w:val="000000" w:themeColor="text1"/>
          <w:sz w:val="24"/>
          <w:szCs w:val="24"/>
          <w:lang w:val="en-US" w:eastAsia="zh-CN"/>
          <w14:textFill>
            <w14:solidFill>
              <w14:schemeClr w14:val="tx1"/>
            </w14:solidFill>
          </w14:textFill>
        </w:rPr>
        <w:t>好房子的等级评价</w:t>
      </w:r>
      <w:r>
        <w:rPr>
          <w:rFonts w:hint="eastAsia" w:ascii="仿宋" w:hAnsi="仿宋" w:cs="仿宋"/>
          <w:color w:val="000000" w:themeColor="text1"/>
          <w:sz w:val="24"/>
          <w:szCs w:val="24"/>
          <w14:textFill>
            <w14:solidFill>
              <w14:schemeClr w14:val="tx1"/>
            </w14:solidFill>
          </w14:textFill>
        </w:rPr>
        <w:t>。</w:t>
      </w:r>
    </w:p>
    <w:p w14:paraId="34A584A2">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1.0.3 好房子建设除应符合本标准外，尚应符合国家及山西省现行有关标准的规定。</w:t>
      </w:r>
    </w:p>
    <w:p w14:paraId="0F5926A0">
      <w:pPr>
        <w:snapToGrid w:val="0"/>
        <w:spacing w:line="360" w:lineRule="auto"/>
        <w:ind w:firstLine="64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br w:type="page"/>
      </w:r>
    </w:p>
    <w:p w14:paraId="489839BB">
      <w:pPr>
        <w:pStyle w:val="2"/>
        <w:ind w:firstLine="643"/>
        <w:jc w:val="center"/>
        <w:rPr>
          <w:rFonts w:hint="eastAsia" w:ascii="黑体" w:hAnsi="黑体" w:eastAsia="黑体" w:cs="黑体"/>
          <w:color w:val="000000" w:themeColor="text1"/>
          <w:sz w:val="24"/>
          <w:szCs w:val="24"/>
          <w14:textFill>
            <w14:solidFill>
              <w14:schemeClr w14:val="tx1"/>
            </w14:solidFill>
          </w14:textFill>
        </w:rPr>
      </w:pPr>
      <w:bookmarkStart w:id="10" w:name="_Toc13690"/>
      <w:bookmarkStart w:id="11" w:name="_Toc15474"/>
      <w:bookmarkStart w:id="12" w:name="_Toc12793"/>
      <w:r>
        <w:rPr>
          <w:rFonts w:hint="eastAsia" w:ascii="黑体" w:hAnsi="黑体" w:eastAsia="黑体" w:cs="黑体"/>
          <w:color w:val="000000" w:themeColor="text1"/>
          <w:sz w:val="24"/>
          <w:szCs w:val="24"/>
          <w14:textFill>
            <w14:solidFill>
              <w14:schemeClr w14:val="tx1"/>
            </w14:solidFill>
          </w14:textFill>
        </w:rPr>
        <w:t>2 术  语</w:t>
      </w:r>
      <w:bookmarkEnd w:id="10"/>
      <w:bookmarkEnd w:id="11"/>
      <w:bookmarkEnd w:id="12"/>
    </w:p>
    <w:p w14:paraId="58EE40A2">
      <w:pPr>
        <w:snapToGrid w:val="0"/>
        <w:spacing w:line="360" w:lineRule="auto"/>
        <w:ind w:firstLine="643"/>
        <w:rPr>
          <w:rFonts w:hint="eastAsia" w:ascii="仿宋" w:hAnsi="仿宋" w:cs="仿宋"/>
          <w:color w:val="000000" w:themeColor="text1"/>
          <w:sz w:val="24"/>
          <w:szCs w:val="24"/>
          <w14:textFill>
            <w14:solidFill>
              <w14:schemeClr w14:val="tx1"/>
            </w14:solidFill>
          </w14:textFill>
        </w:rPr>
      </w:pPr>
    </w:p>
    <w:p w14:paraId="2794D685">
      <w:pPr>
        <w:snapToGrid w:val="0"/>
        <w:spacing w:line="360" w:lineRule="auto"/>
        <w:ind w:firstLine="0" w:firstLineChars="0"/>
        <w:rPr>
          <w:rFonts w:hint="default"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2.0.1 好房子</w:t>
      </w:r>
      <w:r>
        <w:rPr>
          <w:rFonts w:hint="eastAsia" w:ascii="仿宋" w:hAnsi="仿宋" w:cs="仿宋"/>
          <w:color w:val="000000" w:themeColor="text1"/>
          <w:sz w:val="24"/>
          <w:szCs w:val="24"/>
          <w:lang w:val="en-US" w:eastAsia="zh-CN"/>
          <w14:textFill>
            <w14:solidFill>
              <w14:schemeClr w14:val="tx1"/>
            </w14:solidFill>
          </w14:textFill>
        </w:rPr>
        <w:t xml:space="preserve"> </w:t>
      </w:r>
      <w:r>
        <w:rPr>
          <w:rFonts w:hint="eastAsia" w:ascii="仿宋" w:hAnsi="仿宋" w:cs="仿宋"/>
          <w:color w:val="000000" w:themeColor="text1"/>
          <w:sz w:val="24"/>
          <w:szCs w:val="24"/>
          <w:lang w:val="en-US" w:eastAsia="zh-CN"/>
          <w14:textFill>
            <w14:solidFill>
              <w14:schemeClr w14:val="tx1"/>
            </w14:solidFill>
          </w14:textFill>
        </w:rPr>
        <w:t>better</w:t>
      </w:r>
      <w:r>
        <w:rPr>
          <w:rFonts w:hint="eastAsia" w:ascii="仿宋" w:hAnsi="仿宋" w:cs="仿宋"/>
          <w:color w:val="000000" w:themeColor="text1"/>
          <w:sz w:val="24"/>
          <w:szCs w:val="24"/>
          <w:lang w:val="en-US" w:eastAsia="zh-CN"/>
          <w14:textFill>
            <w14:solidFill>
              <w14:schemeClr w14:val="tx1"/>
            </w14:solidFill>
          </w14:textFill>
        </w:rPr>
        <w:t xml:space="preserve"> housing</w:t>
      </w:r>
    </w:p>
    <w:p w14:paraId="433618CA">
      <w:pPr>
        <w:snapToGrid w:val="0"/>
        <w:spacing w:line="360" w:lineRule="auto"/>
        <w:ind w:firstLine="480" w:firstLineChars="200"/>
        <w:rPr>
          <w:rFonts w:hint="eastAsia" w:ascii="仿宋" w:hAnsi="仿宋" w:cs="仿宋"/>
          <w:color w:val="000000" w:themeColor="text1"/>
          <w:spacing w:val="10"/>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立足新时代住房高质量发展和人民群众对美好生活的需求在具备住房基本性能基础上，满足舒适、绿色、</w:t>
      </w:r>
      <w:r>
        <w:rPr>
          <w:rFonts w:hint="eastAsia" w:ascii="仿宋" w:hAnsi="仿宋" w:cs="仿宋"/>
          <w:color w:val="000000" w:themeColor="text1"/>
          <w:sz w:val="24"/>
          <w:szCs w:val="24"/>
          <w:lang w:val="en-US" w:eastAsia="zh-CN"/>
          <w14:textFill>
            <w14:solidFill>
              <w14:schemeClr w14:val="tx1"/>
            </w14:solidFill>
          </w14:textFill>
        </w:rPr>
        <w:t>智慧</w:t>
      </w:r>
      <w:r>
        <w:rPr>
          <w:rFonts w:hint="eastAsia" w:ascii="仿宋" w:hAnsi="仿宋" w:cs="仿宋"/>
          <w:color w:val="000000" w:themeColor="text1"/>
          <w:sz w:val="24"/>
          <w:szCs w:val="24"/>
          <w14:textFill>
            <w14:solidFill>
              <w14:schemeClr w14:val="tx1"/>
            </w14:solidFill>
          </w14:textFill>
        </w:rPr>
        <w:t>、安全目标要求的住房。</w:t>
      </w:r>
    </w:p>
    <w:p w14:paraId="2BBEC704">
      <w:pPr>
        <w:snapToGrid w:val="0"/>
        <w:spacing w:line="360" w:lineRule="auto"/>
        <w:ind w:firstLine="0" w:firstLineChars="0"/>
        <w:rPr>
          <w:rFonts w:hint="default"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pacing w:val="10"/>
          <w:sz w:val="24"/>
          <w:szCs w:val="24"/>
          <w14:textFill>
            <w14:solidFill>
              <w14:schemeClr w14:val="tx1"/>
            </w14:solidFill>
          </w14:textFill>
        </w:rPr>
        <w:t>2.0.</w:t>
      </w:r>
      <w:r>
        <w:rPr>
          <w:rFonts w:hint="eastAsia" w:ascii="仿宋" w:hAnsi="仿宋" w:cs="仿宋"/>
          <w:color w:val="000000" w:themeColor="text1"/>
          <w:spacing w:val="10"/>
          <w:sz w:val="24"/>
          <w:szCs w:val="24"/>
          <w:lang w:val="en-US" w:eastAsia="zh-CN"/>
          <w14:textFill>
            <w14:solidFill>
              <w14:schemeClr w14:val="tx1"/>
            </w14:solidFill>
          </w14:textFill>
        </w:rPr>
        <w:t>2</w:t>
      </w:r>
      <w:r>
        <w:rPr>
          <w:rFonts w:hint="eastAsia" w:ascii="仿宋" w:hAnsi="仿宋" w:cs="仿宋"/>
          <w:color w:val="000000" w:themeColor="text1"/>
          <w:spacing w:val="10"/>
          <w:sz w:val="24"/>
          <w:szCs w:val="24"/>
          <w14:textFill>
            <w14:solidFill>
              <w14:schemeClr w14:val="tx1"/>
            </w14:solidFill>
          </w14:textFill>
        </w:rPr>
        <w:t xml:space="preserve"> </w:t>
      </w:r>
      <w:r>
        <w:rPr>
          <w:rFonts w:hint="eastAsia" w:ascii="仿宋" w:hAnsi="仿宋" w:cs="仿宋"/>
          <w:color w:val="000000" w:themeColor="text1"/>
          <w:sz w:val="24"/>
          <w:szCs w:val="24"/>
          <w14:textFill>
            <w14:solidFill>
              <w14:schemeClr w14:val="tx1"/>
            </w14:solidFill>
          </w14:textFill>
        </w:rPr>
        <w:t>灵活</w:t>
      </w:r>
      <w:r>
        <w:rPr>
          <w:rFonts w:hint="eastAsia" w:ascii="仿宋" w:hAnsi="仿宋" w:cs="仿宋"/>
          <w:color w:val="000000" w:themeColor="text1"/>
          <w:sz w:val="24"/>
          <w:szCs w:val="24"/>
          <w:lang w:val="en-US" w:eastAsia="zh-CN"/>
          <w14:textFill>
            <w14:solidFill>
              <w14:schemeClr w14:val="tx1"/>
            </w14:solidFill>
          </w14:textFill>
        </w:rPr>
        <w:t>可变 Flexible and changeable</w:t>
      </w:r>
    </w:p>
    <w:p w14:paraId="206B2D74">
      <w:pPr>
        <w:snapToGrid w:val="0"/>
        <w:spacing w:line="360" w:lineRule="auto"/>
        <w:ind w:firstLine="68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0"/>
          <w:sz w:val="24"/>
          <w:szCs w:val="24"/>
          <w14:textFill>
            <w14:solidFill>
              <w14:schemeClr w14:val="tx1"/>
            </w14:solidFill>
          </w14:textFill>
        </w:rPr>
        <w:t>建筑在全寿命期内，满足空间可变、功能更新、维修方便等持续居住需求的能力。</w:t>
      </w:r>
    </w:p>
    <w:p w14:paraId="7D3DEFBF">
      <w:pPr>
        <w:snapToGrid w:val="0"/>
        <w:spacing w:line="360" w:lineRule="auto"/>
        <w:ind w:firstLine="0" w:firstLineChars="0"/>
        <w:rPr>
          <w:rFonts w:hint="default" w:ascii="仿宋" w:hAnsi="仿宋" w:eastAsia="仿宋" w:cs="仿宋"/>
          <w:color w:val="000000" w:themeColor="text1"/>
          <w:spacing w:val="10"/>
          <w:sz w:val="24"/>
          <w:szCs w:val="24"/>
          <w:lang w:val="en-US" w:eastAsia="zh-CN"/>
          <w14:textFill>
            <w14:solidFill>
              <w14:schemeClr w14:val="tx1"/>
            </w14:solidFill>
          </w14:textFill>
        </w:rPr>
      </w:pPr>
      <w:r>
        <w:rPr>
          <w:rFonts w:hint="eastAsia" w:ascii="仿宋" w:hAnsi="仿宋" w:cs="仿宋"/>
          <w:color w:val="000000" w:themeColor="text1"/>
          <w:spacing w:val="10"/>
          <w:sz w:val="24"/>
          <w:szCs w:val="24"/>
          <w14:textFill>
            <w14:solidFill>
              <w14:schemeClr w14:val="tx1"/>
            </w14:solidFill>
          </w14:textFill>
        </w:rPr>
        <w:t>2.0.</w:t>
      </w:r>
      <w:r>
        <w:rPr>
          <w:rFonts w:hint="eastAsia" w:ascii="仿宋" w:hAnsi="仿宋" w:cs="仿宋"/>
          <w:color w:val="000000" w:themeColor="text1"/>
          <w:spacing w:val="10"/>
          <w:sz w:val="24"/>
          <w:szCs w:val="24"/>
          <w:lang w:val="en-US" w:eastAsia="zh-CN"/>
          <w14:textFill>
            <w14:solidFill>
              <w14:schemeClr w14:val="tx1"/>
            </w14:solidFill>
          </w14:textFill>
        </w:rPr>
        <w:t>3</w:t>
      </w:r>
      <w:r>
        <w:rPr>
          <w:rFonts w:hint="eastAsia" w:ascii="仿宋" w:hAnsi="仿宋" w:cs="仿宋"/>
          <w:color w:val="000000" w:themeColor="text1"/>
          <w:spacing w:val="10"/>
          <w:sz w:val="24"/>
          <w:szCs w:val="24"/>
          <w14:textFill>
            <w14:solidFill>
              <w14:schemeClr w14:val="tx1"/>
            </w14:solidFill>
          </w14:textFill>
        </w:rPr>
        <w:t xml:space="preserve"> </w:t>
      </w:r>
      <w:r>
        <w:rPr>
          <w:rFonts w:hint="eastAsia" w:ascii="仿宋" w:hAnsi="仿宋" w:cs="仿宋"/>
          <w:color w:val="000000" w:themeColor="text1"/>
          <w:spacing w:val="10"/>
          <w:sz w:val="24"/>
          <w:szCs w:val="24"/>
          <w:lang w:val="en-US" w:eastAsia="zh-CN"/>
          <w14:textFill>
            <w14:solidFill>
              <w14:schemeClr w14:val="tx1"/>
            </w14:solidFill>
          </w14:textFill>
        </w:rPr>
        <w:t>全龄友好 age-friendly</w:t>
      </w:r>
    </w:p>
    <w:p w14:paraId="5DB2471B">
      <w:pPr>
        <w:snapToGrid w:val="0"/>
        <w:spacing w:line="360" w:lineRule="auto"/>
        <w:ind w:firstLine="68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0"/>
          <w:sz w:val="24"/>
          <w:szCs w:val="24"/>
          <w:u w:val="none"/>
          <w14:textFill>
            <w14:solidFill>
              <w14:schemeClr w14:val="tx1"/>
            </w14:solidFill>
          </w14:textFill>
        </w:rPr>
        <w:t>针对老年、青壮年</w:t>
      </w:r>
      <w:r>
        <w:rPr>
          <w:rFonts w:hint="eastAsia" w:ascii="仿宋" w:hAnsi="仿宋" w:cs="仿宋"/>
          <w:color w:val="000000" w:themeColor="text1"/>
          <w:spacing w:val="10"/>
          <w:sz w:val="24"/>
          <w:szCs w:val="24"/>
          <w:u w:val="none"/>
          <w:lang w:eastAsia="zh-CN"/>
          <w14:textFill>
            <w14:solidFill>
              <w14:schemeClr w14:val="tx1"/>
            </w14:solidFill>
          </w14:textFill>
        </w:rPr>
        <w:t>、</w:t>
      </w:r>
      <w:r>
        <w:rPr>
          <w:rFonts w:hint="eastAsia" w:ascii="仿宋" w:hAnsi="仿宋" w:cs="仿宋"/>
          <w:color w:val="000000" w:themeColor="text1"/>
          <w:spacing w:val="10"/>
          <w:sz w:val="24"/>
          <w:szCs w:val="24"/>
          <w:u w:val="none"/>
          <w:lang w:val="en-US" w:eastAsia="zh-CN"/>
          <w14:textFill>
            <w14:solidFill>
              <w14:schemeClr w14:val="tx1"/>
            </w14:solidFill>
          </w14:textFill>
        </w:rPr>
        <w:t>青</w:t>
      </w:r>
      <w:r>
        <w:rPr>
          <w:rFonts w:hint="eastAsia" w:ascii="仿宋" w:hAnsi="仿宋" w:cs="仿宋"/>
          <w:color w:val="000000" w:themeColor="text1"/>
          <w:spacing w:val="10"/>
          <w:sz w:val="24"/>
          <w:szCs w:val="24"/>
          <w:u w:val="none"/>
          <w14:textFill>
            <w14:solidFill>
              <w14:schemeClr w14:val="tx1"/>
            </w14:solidFill>
          </w14:textFill>
        </w:rPr>
        <w:t>少年、儿童等各个年龄段的特点，提供相应</w:t>
      </w:r>
      <w:r>
        <w:rPr>
          <w:rFonts w:hint="eastAsia" w:ascii="仿宋" w:hAnsi="仿宋" w:cs="仿宋"/>
          <w:color w:val="000000" w:themeColor="text1"/>
          <w:spacing w:val="10"/>
          <w:sz w:val="24"/>
          <w:szCs w:val="24"/>
          <w14:textFill>
            <w14:solidFill>
              <w14:schemeClr w14:val="tx1"/>
            </w14:solidFill>
          </w14:textFill>
        </w:rPr>
        <w:t>的人性化设计与服务设施，满足不同年龄层次人群出行、健身、交流等方面的需求。</w:t>
      </w:r>
    </w:p>
    <w:p w14:paraId="77E0CD97">
      <w:pPr>
        <w:snapToGrid w:val="0"/>
        <w:spacing w:line="360" w:lineRule="auto"/>
        <w:ind w:firstLine="0" w:firstLineChars="0"/>
        <w:rPr>
          <w:rFonts w:hint="eastAsia" w:ascii="仿宋" w:hAnsi="仿宋" w:cs="仿宋"/>
          <w:color w:val="000000" w:themeColor="text1"/>
          <w:spacing w:val="10"/>
          <w:sz w:val="24"/>
          <w:szCs w:val="24"/>
          <w:lang w:val="en-US" w:eastAsia="zh-CN"/>
          <w14:textFill>
            <w14:solidFill>
              <w14:schemeClr w14:val="tx1"/>
            </w14:solidFill>
          </w14:textFill>
        </w:rPr>
      </w:pPr>
      <w:r>
        <w:rPr>
          <w:rFonts w:hint="eastAsia" w:ascii="仿宋" w:hAnsi="仿宋" w:cs="仿宋"/>
          <w:color w:val="000000" w:themeColor="text1"/>
          <w:spacing w:val="10"/>
          <w:sz w:val="24"/>
          <w:szCs w:val="24"/>
          <w14:textFill>
            <w14:solidFill>
              <w14:schemeClr w14:val="tx1"/>
            </w14:solidFill>
          </w14:textFill>
        </w:rPr>
        <w:t>2.0.</w:t>
      </w:r>
      <w:r>
        <w:rPr>
          <w:rFonts w:hint="eastAsia" w:ascii="仿宋" w:hAnsi="仿宋" w:cs="仿宋"/>
          <w:color w:val="000000" w:themeColor="text1"/>
          <w:spacing w:val="10"/>
          <w:sz w:val="24"/>
          <w:szCs w:val="24"/>
          <w:lang w:val="en-US" w:eastAsia="zh-CN"/>
          <w14:textFill>
            <w14:solidFill>
              <w14:schemeClr w14:val="tx1"/>
            </w14:solidFill>
          </w14:textFill>
        </w:rPr>
        <w:t>4</w:t>
      </w:r>
      <w:r>
        <w:rPr>
          <w:rFonts w:hint="eastAsia" w:ascii="仿宋" w:hAnsi="仿宋" w:cs="仿宋"/>
          <w:color w:val="000000" w:themeColor="text1"/>
          <w:spacing w:val="10"/>
          <w:sz w:val="24"/>
          <w:szCs w:val="24"/>
          <w14:textFill>
            <w14:solidFill>
              <w14:schemeClr w14:val="tx1"/>
            </w14:solidFill>
          </w14:textFill>
        </w:rPr>
        <w:t xml:space="preserve"> 数字家庭</w:t>
      </w:r>
      <w:r>
        <w:rPr>
          <w:rFonts w:hint="eastAsia" w:ascii="仿宋" w:hAnsi="仿宋" w:cs="仿宋"/>
          <w:color w:val="000000" w:themeColor="text1"/>
          <w:spacing w:val="10"/>
          <w:sz w:val="24"/>
          <w:szCs w:val="24"/>
          <w:lang w:val="en-US" w:eastAsia="zh-CN"/>
          <w14:textFill>
            <w14:solidFill>
              <w14:schemeClr w14:val="tx1"/>
            </w14:solidFill>
          </w14:textFill>
        </w:rPr>
        <w:t xml:space="preserve"> digital home</w:t>
      </w:r>
    </w:p>
    <w:p w14:paraId="510F44A1">
      <w:pPr>
        <w:snapToGrid w:val="0"/>
        <w:spacing w:line="360" w:lineRule="auto"/>
        <w:ind w:firstLine="680"/>
        <w:rPr>
          <w:rFonts w:hint="eastAsia" w:ascii="仿宋" w:hAnsi="仿宋" w:cs="仿宋"/>
          <w:color w:val="000000" w:themeColor="text1"/>
          <w:spacing w:val="10"/>
          <w:sz w:val="24"/>
          <w:szCs w:val="24"/>
          <w14:textFill>
            <w14:solidFill>
              <w14:schemeClr w14:val="tx1"/>
            </w14:solidFill>
          </w14:textFill>
        </w:rPr>
      </w:pPr>
      <w:r>
        <w:rPr>
          <w:rFonts w:hint="eastAsia" w:ascii="仿宋" w:hAnsi="仿宋" w:cs="仿宋"/>
          <w:color w:val="000000" w:themeColor="text1"/>
          <w:spacing w:val="10"/>
          <w:sz w:val="24"/>
          <w:szCs w:val="24"/>
          <w14:textFill>
            <w14:solidFill>
              <w14:schemeClr w14:val="tx1"/>
            </w14:solidFill>
          </w14:textFill>
        </w:rPr>
        <w:t>以住房为载体，利用物联网、云计算、大数据、移动通信、人工智能等新一代信息技术，实现系统平台、家居产品的互联互通，满足用户信息获取和使用的数字化家庭生活服务系统。</w:t>
      </w:r>
    </w:p>
    <w:p w14:paraId="69E0E27F">
      <w:pPr>
        <w:snapToGrid w:val="0"/>
        <w:spacing w:line="360" w:lineRule="auto"/>
        <w:ind w:firstLine="0" w:firstLineChars="0"/>
        <w:rPr>
          <w:rFonts w:hint="eastAsia" w:ascii="仿宋" w:hAnsi="仿宋" w:cs="仿宋"/>
          <w:color w:val="000000" w:themeColor="text1"/>
          <w:spacing w:val="10"/>
          <w:sz w:val="24"/>
          <w:szCs w:val="24"/>
          <w:lang w:val="en-US" w:eastAsia="zh-CN"/>
          <w14:textFill>
            <w14:solidFill>
              <w14:schemeClr w14:val="tx1"/>
            </w14:solidFill>
          </w14:textFill>
        </w:rPr>
      </w:pPr>
      <w:r>
        <w:rPr>
          <w:rFonts w:hint="eastAsia" w:ascii="仿宋" w:hAnsi="仿宋" w:cs="仿宋"/>
          <w:color w:val="000000" w:themeColor="text1"/>
          <w:spacing w:val="10"/>
          <w:sz w:val="24"/>
          <w:szCs w:val="24"/>
          <w14:textFill>
            <w14:solidFill>
              <w14:schemeClr w14:val="tx1"/>
            </w14:solidFill>
          </w14:textFill>
        </w:rPr>
        <w:t>2.0.</w:t>
      </w:r>
      <w:r>
        <w:rPr>
          <w:rFonts w:hint="eastAsia" w:ascii="仿宋" w:hAnsi="仿宋" w:cs="仿宋"/>
          <w:color w:val="000000" w:themeColor="text1"/>
          <w:spacing w:val="10"/>
          <w:sz w:val="24"/>
          <w:szCs w:val="24"/>
          <w:lang w:val="en-US" w:eastAsia="zh-CN"/>
          <w14:textFill>
            <w14:solidFill>
              <w14:schemeClr w14:val="tx1"/>
            </w14:solidFill>
          </w14:textFill>
        </w:rPr>
        <w:t>5</w:t>
      </w:r>
      <w:r>
        <w:rPr>
          <w:rFonts w:hint="eastAsia" w:ascii="仿宋" w:hAnsi="仿宋" w:cs="仿宋"/>
          <w:color w:val="000000" w:themeColor="text1"/>
          <w:spacing w:val="10"/>
          <w:sz w:val="24"/>
          <w:szCs w:val="24"/>
          <w14:textFill>
            <w14:solidFill>
              <w14:schemeClr w14:val="tx1"/>
            </w14:solidFill>
          </w14:textFill>
        </w:rPr>
        <w:t xml:space="preserve"> 智慧物业</w:t>
      </w:r>
      <w:r>
        <w:rPr>
          <w:rFonts w:hint="eastAsia" w:ascii="仿宋" w:hAnsi="仿宋" w:cs="仿宋"/>
          <w:color w:val="000000" w:themeColor="text1"/>
          <w:spacing w:val="10"/>
          <w:sz w:val="24"/>
          <w:szCs w:val="24"/>
          <w:lang w:val="en-US" w:eastAsia="zh-CN"/>
          <w14:textFill>
            <w14:solidFill>
              <w14:schemeClr w14:val="tx1"/>
            </w14:solidFill>
          </w14:textFill>
        </w:rPr>
        <w:t xml:space="preserve"> Smart Property Management</w:t>
      </w:r>
    </w:p>
    <w:p w14:paraId="05AB5AC3">
      <w:pPr>
        <w:snapToGrid w:val="0"/>
        <w:spacing w:line="360" w:lineRule="auto"/>
        <w:ind w:firstLine="680"/>
        <w:rPr>
          <w:rFonts w:hint="eastAsia" w:ascii="仿宋" w:hAnsi="仿宋" w:cs="仿宋"/>
          <w:color w:val="000000" w:themeColor="text1"/>
          <w:spacing w:val="10"/>
          <w:sz w:val="24"/>
          <w:szCs w:val="24"/>
          <w14:textFill>
            <w14:solidFill>
              <w14:schemeClr w14:val="tx1"/>
            </w14:solidFill>
          </w14:textFill>
        </w:rPr>
      </w:pPr>
      <w:r>
        <w:rPr>
          <w:rFonts w:hint="eastAsia" w:ascii="仿宋" w:hAnsi="仿宋" w:cs="仿宋"/>
          <w:color w:val="000000" w:themeColor="text1"/>
          <w:spacing w:val="10"/>
          <w:sz w:val="24"/>
          <w:szCs w:val="24"/>
          <w14:textFill>
            <w14:solidFill>
              <w14:schemeClr w14:val="tx1"/>
            </w14:solidFill>
          </w14:textFill>
        </w:rPr>
        <w:t>运用5G、互联网、物联网、大数据、云计算、区块链和人工</w:t>
      </w:r>
      <w:r>
        <w:rPr>
          <w:rFonts w:hint="eastAsia" w:ascii="仿宋" w:hAnsi="仿宋" w:cs="仿宋"/>
          <w:color w:val="000000" w:themeColor="text1"/>
          <w:spacing w:val="10"/>
          <w:sz w:val="24"/>
          <w:szCs w:val="24"/>
          <w14:textFill>
            <w14:solidFill>
              <w14:schemeClr w14:val="tx1"/>
            </w14:solidFill>
          </w14:textFill>
        </w:rPr>
        <w:t>智</w:t>
      </w:r>
      <w:r>
        <w:rPr>
          <w:rFonts w:hint="eastAsia" w:ascii="仿宋" w:hAnsi="仿宋" w:cs="仿宋"/>
          <w:color w:val="000000" w:themeColor="text1"/>
          <w:spacing w:val="10"/>
          <w:sz w:val="24"/>
          <w:szCs w:val="24"/>
          <w:lang w:eastAsia="zh-CN"/>
          <w14:textFill>
            <w14:solidFill>
              <w14:schemeClr w14:val="tx1"/>
            </w14:solidFill>
          </w14:textFill>
        </w:rPr>
        <w:t>能等</w:t>
      </w:r>
      <w:r>
        <w:rPr>
          <w:rFonts w:hint="eastAsia" w:ascii="仿宋" w:hAnsi="仿宋" w:cs="仿宋"/>
          <w:color w:val="000000" w:themeColor="text1"/>
          <w:spacing w:val="10"/>
          <w:sz w:val="24"/>
          <w:szCs w:val="24"/>
          <w14:textFill>
            <w14:solidFill>
              <w14:schemeClr w14:val="tx1"/>
            </w14:solidFill>
          </w14:textFill>
        </w:rPr>
        <w:t>技术</w:t>
      </w:r>
      <w:r>
        <w:rPr>
          <w:rFonts w:hint="eastAsia" w:ascii="仿宋" w:hAnsi="仿宋" w:cs="仿宋"/>
          <w:color w:val="000000" w:themeColor="text1"/>
          <w:spacing w:val="10"/>
          <w:sz w:val="24"/>
          <w:szCs w:val="24"/>
          <w14:textFill>
            <w14:solidFill>
              <w14:schemeClr w14:val="tx1"/>
            </w14:solidFill>
          </w14:textFill>
        </w:rPr>
        <w:t>，通过统一管理服务平台将物业管理、政务服务、公共服务和生活服务等部门和资源进行对接整合、互联互通，并对相关服务数据资源收集、整理和利用。</w:t>
      </w:r>
    </w:p>
    <w:p w14:paraId="277E0485">
      <w:pPr>
        <w:snapToGrid w:val="0"/>
        <w:spacing w:line="360" w:lineRule="auto"/>
        <w:ind w:firstLine="0" w:firstLineChars="0"/>
        <w:rPr>
          <w:rFonts w:hint="eastAsia" w:ascii="仿宋" w:hAnsi="仿宋" w:eastAsia="仿宋" w:cs="仿宋"/>
          <w:color w:val="000000" w:themeColor="text1"/>
          <w:spacing w:val="10"/>
          <w:sz w:val="24"/>
          <w:szCs w:val="24"/>
          <w:lang w:val="en-US" w:eastAsia="zh-CN"/>
          <w14:textFill>
            <w14:solidFill>
              <w14:schemeClr w14:val="tx1"/>
            </w14:solidFill>
          </w14:textFill>
        </w:rPr>
      </w:pPr>
      <w:r>
        <w:rPr>
          <w:rFonts w:hint="eastAsia" w:ascii="仿宋" w:hAnsi="仿宋" w:cs="仿宋"/>
          <w:color w:val="000000" w:themeColor="text1"/>
          <w:spacing w:val="10"/>
          <w:sz w:val="24"/>
          <w:szCs w:val="24"/>
          <w14:textFill>
            <w14:solidFill>
              <w14:schemeClr w14:val="tx1"/>
            </w14:solidFill>
          </w14:textFill>
        </w:rPr>
        <w:t>2.0.</w:t>
      </w:r>
      <w:r>
        <w:rPr>
          <w:rFonts w:hint="eastAsia" w:ascii="仿宋" w:hAnsi="仿宋" w:cs="仿宋"/>
          <w:color w:val="000000" w:themeColor="text1"/>
          <w:spacing w:val="10"/>
          <w:sz w:val="24"/>
          <w:szCs w:val="24"/>
          <w:lang w:val="en-US" w:eastAsia="zh-CN"/>
          <w14:textFill>
            <w14:solidFill>
              <w14:schemeClr w14:val="tx1"/>
            </w14:solidFill>
          </w14:textFill>
        </w:rPr>
        <w:t xml:space="preserve">6 </w:t>
      </w:r>
      <w:r>
        <w:rPr>
          <w:rFonts w:hint="eastAsia" w:ascii="仿宋" w:hAnsi="仿宋" w:cs="仿宋"/>
          <w:color w:val="000000" w:themeColor="text1"/>
          <w:spacing w:val="10"/>
          <w:sz w:val="24"/>
          <w:szCs w:val="24"/>
          <w14:textFill>
            <w14:solidFill>
              <w14:schemeClr w14:val="tx1"/>
            </w14:solidFill>
          </w14:textFill>
        </w:rPr>
        <w:t>全装修</w:t>
      </w:r>
      <w:r>
        <w:rPr>
          <w:rFonts w:hint="eastAsia" w:ascii="仿宋" w:hAnsi="仿宋" w:cs="仿宋"/>
          <w:color w:val="000000" w:themeColor="text1"/>
          <w:spacing w:val="10"/>
          <w:sz w:val="24"/>
          <w:szCs w:val="24"/>
          <w:lang w:val="en-US" w:eastAsia="zh-CN"/>
          <w14:textFill>
            <w14:solidFill>
              <w14:schemeClr w14:val="tx1"/>
            </w14:solidFill>
          </w14:textFill>
        </w:rPr>
        <w:t xml:space="preserve"> decorated building</w:t>
      </w:r>
    </w:p>
    <w:p w14:paraId="2803A785">
      <w:pPr>
        <w:snapToGrid w:val="0"/>
        <w:spacing w:line="360" w:lineRule="auto"/>
        <w:ind w:firstLine="680"/>
        <w:rPr>
          <w:rFonts w:hint="eastAsia" w:ascii="仿宋" w:hAnsi="仿宋" w:cs="仿宋"/>
          <w:color w:val="000000" w:themeColor="text1"/>
          <w:spacing w:val="10"/>
          <w:sz w:val="24"/>
          <w:szCs w:val="24"/>
          <w14:textFill>
            <w14:solidFill>
              <w14:schemeClr w14:val="tx1"/>
            </w14:solidFill>
          </w14:textFill>
        </w:rPr>
      </w:pPr>
      <w:r>
        <w:rPr>
          <w:rFonts w:hint="eastAsia" w:ascii="仿宋" w:hAnsi="仿宋" w:cs="仿宋"/>
          <w:color w:val="000000" w:themeColor="text1"/>
          <w:spacing w:val="10"/>
          <w:sz w:val="24"/>
          <w:szCs w:val="24"/>
          <w14:textFill>
            <w14:solidFill>
              <w14:schemeClr w14:val="tx1"/>
            </w14:solidFill>
          </w14:textFill>
        </w:rPr>
        <w:t>在交付前，住宅建筑内部墙面、顶面、地面全部铺贴、粉刷完成，门窗、固定家具、设备管线、开关插座及厨房、卫生间固定设施安装到位。</w:t>
      </w:r>
    </w:p>
    <w:p w14:paraId="1D6DF38C">
      <w:pPr>
        <w:snapToGrid w:val="0"/>
        <w:spacing w:line="360" w:lineRule="auto"/>
        <w:ind w:firstLine="0" w:firstLineChars="0"/>
        <w:rPr>
          <w:rFonts w:hint="eastAsia" w:ascii="仿宋" w:hAnsi="仿宋" w:cs="仿宋"/>
          <w:color w:val="000000" w:themeColor="text1"/>
          <w:spacing w:val="10"/>
          <w:sz w:val="24"/>
          <w:szCs w:val="24"/>
          <w14:textFill>
            <w14:solidFill>
              <w14:schemeClr w14:val="tx1"/>
            </w14:solidFill>
          </w14:textFill>
        </w:rPr>
      </w:pPr>
      <w:r>
        <w:rPr>
          <w:rFonts w:hint="eastAsia" w:ascii="仿宋" w:hAnsi="仿宋" w:cs="仿宋"/>
          <w:color w:val="000000" w:themeColor="text1"/>
          <w:spacing w:val="10"/>
          <w:sz w:val="24"/>
          <w:szCs w:val="24"/>
          <w14:textFill>
            <w14:solidFill>
              <w14:schemeClr w14:val="tx1"/>
            </w14:solidFill>
          </w14:textFill>
        </w:rPr>
        <w:t>2.0.</w:t>
      </w:r>
      <w:r>
        <w:rPr>
          <w:rFonts w:hint="eastAsia" w:ascii="仿宋" w:hAnsi="仿宋" w:cs="仿宋"/>
          <w:color w:val="000000" w:themeColor="text1"/>
          <w:spacing w:val="10"/>
          <w:sz w:val="24"/>
          <w:szCs w:val="24"/>
          <w:lang w:val="en-US" w:eastAsia="zh-CN"/>
          <w14:textFill>
            <w14:solidFill>
              <w14:schemeClr w14:val="tx1"/>
            </w14:solidFill>
          </w14:textFill>
        </w:rPr>
        <w:t xml:space="preserve">7 </w:t>
      </w:r>
      <w:r>
        <w:rPr>
          <w:rFonts w:hint="eastAsia" w:ascii="仿宋" w:hAnsi="仿宋" w:cs="仿宋"/>
          <w:color w:val="000000" w:themeColor="text1"/>
          <w:spacing w:val="10"/>
          <w:sz w:val="24"/>
          <w:szCs w:val="24"/>
          <w14:textFill>
            <w14:solidFill>
              <w14:schemeClr w14:val="tx1"/>
            </w14:solidFill>
          </w14:textFill>
        </w:rPr>
        <w:t>装配式装修</w:t>
      </w:r>
      <w:r>
        <w:rPr>
          <w:rFonts w:hint="eastAsia" w:ascii="仿宋" w:hAnsi="仿宋" w:cs="仿宋"/>
          <w:color w:val="000000" w:themeColor="text1"/>
          <w:spacing w:val="10"/>
          <w:sz w:val="24"/>
          <w:szCs w:val="24"/>
          <w:lang w:val="en-US" w:eastAsia="zh-CN"/>
          <w14:textFill>
            <w14:solidFill>
              <w14:schemeClr w14:val="tx1"/>
            </w14:solidFill>
          </w14:textFill>
        </w:rPr>
        <w:t xml:space="preserve"> </w:t>
      </w:r>
      <w:r>
        <w:rPr>
          <w:rFonts w:hint="eastAsia" w:ascii="仿宋" w:hAnsi="仿宋" w:cs="仿宋"/>
          <w:color w:val="000000" w:themeColor="text1"/>
          <w:spacing w:val="10"/>
          <w:sz w:val="24"/>
          <w:szCs w:val="24"/>
          <w14:textFill>
            <w14:solidFill>
              <w14:schemeClr w14:val="tx1"/>
            </w14:solidFill>
          </w14:textFill>
        </w:rPr>
        <w:t>assembled decoration</w:t>
      </w:r>
    </w:p>
    <w:p w14:paraId="43C63411">
      <w:pPr>
        <w:snapToGrid w:val="0"/>
        <w:spacing w:line="360" w:lineRule="auto"/>
        <w:ind w:firstLine="680"/>
        <w:rPr>
          <w:rFonts w:hint="eastAsia" w:ascii="仿宋" w:hAnsi="仿宋" w:cs="仿宋"/>
          <w:color w:val="000000" w:themeColor="text1"/>
          <w:spacing w:val="10"/>
          <w:sz w:val="24"/>
          <w:szCs w:val="24"/>
          <w14:textFill>
            <w14:solidFill>
              <w14:schemeClr w14:val="tx1"/>
            </w14:solidFill>
          </w14:textFill>
        </w:rPr>
      </w:pPr>
      <w:r>
        <w:rPr>
          <w:rFonts w:hint="eastAsia" w:ascii="仿宋" w:hAnsi="仿宋" w:cs="仿宋"/>
          <w:color w:val="000000" w:themeColor="text1"/>
          <w:spacing w:val="10"/>
          <w:sz w:val="24"/>
          <w:szCs w:val="24"/>
          <w14:textFill>
            <w14:solidFill>
              <w14:schemeClr w14:val="tx1"/>
            </w14:solidFill>
          </w14:textFill>
        </w:rPr>
        <w:t>采用干式工法，将工厂生产的装饰部品在现场进行组合安装的装修方式。</w:t>
      </w:r>
    </w:p>
    <w:p w14:paraId="01FF5413">
      <w:pPr>
        <w:snapToGrid w:val="0"/>
        <w:spacing w:line="360" w:lineRule="auto"/>
        <w:ind w:firstLine="68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pacing w:val="10"/>
          <w:sz w:val="24"/>
          <w:szCs w:val="24"/>
          <w14:textFill>
            <w14:solidFill>
              <w14:schemeClr w14:val="tx1"/>
            </w14:solidFill>
          </w14:textFill>
        </w:rPr>
        <w:br w:type="page"/>
      </w:r>
    </w:p>
    <w:p w14:paraId="6421FF69">
      <w:pPr>
        <w:pStyle w:val="2"/>
        <w:ind w:firstLine="643"/>
        <w:jc w:val="center"/>
        <w:rPr>
          <w:rFonts w:hint="eastAsia" w:ascii="黑体" w:hAnsi="黑体" w:eastAsia="黑体" w:cs="黑体"/>
          <w:color w:val="000000" w:themeColor="text1"/>
          <w:sz w:val="24"/>
          <w:szCs w:val="24"/>
          <w14:textFill>
            <w14:solidFill>
              <w14:schemeClr w14:val="tx1"/>
            </w14:solidFill>
          </w14:textFill>
        </w:rPr>
      </w:pPr>
      <w:bookmarkStart w:id="13" w:name="_Toc30918"/>
      <w:bookmarkStart w:id="14" w:name="_Toc1335"/>
      <w:bookmarkStart w:id="15" w:name="_Toc3562"/>
      <w:r>
        <w:rPr>
          <w:rFonts w:hint="eastAsia" w:ascii="黑体" w:hAnsi="黑体" w:eastAsia="黑体" w:cs="黑体"/>
          <w:color w:val="000000" w:themeColor="text1"/>
          <w:sz w:val="24"/>
          <w:szCs w:val="24"/>
          <w14:textFill>
            <w14:solidFill>
              <w14:schemeClr w14:val="tx1"/>
            </w14:solidFill>
          </w14:textFill>
        </w:rPr>
        <w:t>3 基本规定</w:t>
      </w:r>
      <w:bookmarkEnd w:id="13"/>
      <w:bookmarkEnd w:id="14"/>
      <w:bookmarkEnd w:id="15"/>
    </w:p>
    <w:p w14:paraId="518B52DC">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p>
    <w:p w14:paraId="2EE5F47D">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3.0.1好房子建设应以</w:t>
      </w:r>
      <w:r>
        <w:rPr>
          <w:rFonts w:hint="eastAsia" w:ascii="仿宋" w:hAnsi="仿宋" w:cs="仿宋"/>
          <w:color w:val="000000" w:themeColor="text1"/>
          <w:sz w:val="24"/>
          <w:szCs w:val="24"/>
          <w:lang w:val="en-US" w:eastAsia="zh-CN"/>
          <w14:textFill>
            <w14:solidFill>
              <w14:schemeClr w14:val="tx1"/>
            </w14:solidFill>
          </w14:textFill>
        </w:rPr>
        <w:t>安全、舒适、绿色、</w:t>
      </w:r>
      <w:r>
        <w:rPr>
          <w:rFonts w:hint="eastAsia" w:ascii="仿宋" w:hAnsi="仿宋" w:cs="仿宋"/>
          <w:color w:val="000000" w:themeColor="text1"/>
          <w:sz w:val="24"/>
          <w:szCs w:val="24"/>
          <w:lang w:val="en-US" w:eastAsia="zh-CN"/>
          <w14:textFill>
            <w14:solidFill>
              <w14:schemeClr w14:val="tx1"/>
            </w14:solidFill>
          </w14:textFill>
        </w:rPr>
        <w:t>智慧</w:t>
      </w:r>
      <w:r>
        <w:rPr>
          <w:rFonts w:hint="eastAsia" w:ascii="仿宋" w:hAnsi="仿宋" w:cs="仿宋"/>
          <w:color w:val="000000" w:themeColor="text1"/>
          <w:sz w:val="24"/>
          <w:szCs w:val="24"/>
          <w14:textFill>
            <w14:solidFill>
              <w14:schemeClr w14:val="tx1"/>
            </w14:solidFill>
          </w14:textFill>
        </w:rPr>
        <w:t>为</w:t>
      </w:r>
      <w:r>
        <w:rPr>
          <w:rFonts w:hint="eastAsia" w:ascii="仿宋" w:hAnsi="仿宋" w:cs="仿宋"/>
          <w:color w:val="000000" w:themeColor="text1"/>
          <w:sz w:val="24"/>
          <w:szCs w:val="24"/>
          <w:lang w:val="en-US" w:eastAsia="zh-CN"/>
          <w14:textFill>
            <w14:solidFill>
              <w14:schemeClr w14:val="tx1"/>
            </w14:solidFill>
          </w14:textFill>
        </w:rPr>
        <w:t>目标</w:t>
      </w:r>
      <w:r>
        <w:rPr>
          <w:rFonts w:hint="eastAsia" w:ascii="仿宋" w:hAnsi="仿宋" w:cs="仿宋"/>
          <w:color w:val="000000" w:themeColor="text1"/>
          <w:sz w:val="24"/>
          <w:szCs w:val="24"/>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同时</w:t>
      </w:r>
      <w:r>
        <w:rPr>
          <w:rFonts w:hint="eastAsia" w:ascii="仿宋" w:hAnsi="仿宋" w:cs="仿宋"/>
          <w:color w:val="000000" w:themeColor="text1"/>
          <w:sz w:val="24"/>
          <w:szCs w:val="24"/>
          <w14:textFill>
            <w14:solidFill>
              <w14:schemeClr w14:val="tx1"/>
            </w14:solidFill>
          </w14:textFill>
        </w:rPr>
        <w:t>结合山西省各地区气候、环境、资源、经济与文化等特点进行设计、建造、运维。</w:t>
      </w:r>
    </w:p>
    <w:p w14:paraId="7F0B41A6">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3.0.2好房子建设应注重</w:t>
      </w:r>
      <w:r>
        <w:rPr>
          <w:rFonts w:hint="eastAsia" w:ascii="仿宋" w:hAnsi="仿宋" w:cs="仿宋"/>
          <w:color w:val="000000" w:themeColor="text1"/>
          <w:spacing w:val="10"/>
          <w:sz w:val="24"/>
          <w:szCs w:val="24"/>
          <w14:textFill>
            <w14:solidFill>
              <w14:schemeClr w14:val="tx1"/>
            </w14:solidFill>
          </w14:textFill>
        </w:rPr>
        <w:t>全寿命期</w:t>
      </w:r>
      <w:r>
        <w:rPr>
          <w:rFonts w:hint="eastAsia" w:ascii="仿宋" w:hAnsi="仿宋" w:cs="仿宋"/>
          <w:color w:val="000000" w:themeColor="text1"/>
          <w:sz w:val="24"/>
          <w:szCs w:val="24"/>
          <w14:textFill>
            <w14:solidFill>
              <w14:schemeClr w14:val="tx1"/>
            </w14:solidFill>
          </w14:textFill>
        </w:rPr>
        <w:t>的管理，贯穿于规划设计、建材选用、施工建造、物业管理、维护保养等各个环节。</w:t>
      </w:r>
    </w:p>
    <w:p w14:paraId="5581B6C4">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3.0.3好房子住宅建筑应采取合理措施，提升室内健康性能，保障良好的室内空气质量和声环境、光环境、热湿环境水平。</w:t>
      </w:r>
    </w:p>
    <w:p w14:paraId="6C45769F">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3.0.4好房子住宅建筑应合理应用节能、节水和可再生能源等低碳技术，并应与建筑的工业化、数字化、绿色化相结合。</w:t>
      </w:r>
    </w:p>
    <w:p w14:paraId="5A76CA5A">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3.0.5好房子住宅建筑应实现结构安全、抗震安全、防火安全、防护安全、防疫安全、防洪安全等。</w:t>
      </w:r>
    </w:p>
    <w:p w14:paraId="754C836C">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3.0.6好房子住宅建筑应合理配备公共安全、建筑设备管理、信息设施等智慧化基础设施，充分利用5G通信、物联网、云平台、大数据等先进技术，有效联通建筑、小区、社区、城区等层级的有关信息，采用智慧运维管理技术保障建筑全生命周期的经济性和安全性。</w:t>
      </w:r>
    </w:p>
    <w:p w14:paraId="3F6DCEEE">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3.0.7新建的好房子住宅建筑应满足现行国家标准《绿色建筑评价标准》GB50378</w:t>
      </w:r>
      <w:r>
        <w:rPr>
          <w:rFonts w:hint="eastAsia" w:ascii="仿宋" w:hAnsi="仿宋" w:cs="仿宋"/>
          <w:color w:val="000000" w:themeColor="text1"/>
          <w:sz w:val="24"/>
          <w:szCs w:val="24"/>
          <w:lang w:val="en-US" w:eastAsia="zh-CN"/>
          <w14:textFill>
            <w14:solidFill>
              <w14:schemeClr w14:val="tx1"/>
            </w14:solidFill>
          </w14:textFill>
        </w:rPr>
        <w:t>二</w:t>
      </w:r>
      <w:r>
        <w:rPr>
          <w:rFonts w:hint="eastAsia" w:ascii="仿宋" w:hAnsi="仿宋" w:cs="仿宋"/>
          <w:color w:val="000000" w:themeColor="text1"/>
          <w:sz w:val="24"/>
          <w:szCs w:val="24"/>
          <w14:textFill>
            <w14:solidFill>
              <w14:schemeClr w14:val="tx1"/>
            </w14:solidFill>
          </w14:textFill>
        </w:rPr>
        <w:t>星级</w:t>
      </w:r>
      <w:r>
        <w:rPr>
          <w:rFonts w:hint="eastAsia" w:ascii="仿宋" w:hAnsi="仿宋" w:cs="仿宋"/>
          <w:color w:val="000000" w:themeColor="text1"/>
          <w:sz w:val="24"/>
          <w:szCs w:val="24"/>
          <w14:textFill>
            <w14:solidFill>
              <w14:schemeClr w14:val="tx1"/>
            </w14:solidFill>
          </w14:textFill>
        </w:rPr>
        <w:t>及以上要求，</w:t>
      </w:r>
      <w:r>
        <w:rPr>
          <w:rFonts w:hint="eastAsia" w:ascii="仿宋" w:hAnsi="仿宋" w:cs="仿宋"/>
          <w:color w:val="000000" w:themeColor="text1"/>
          <w:sz w:val="24"/>
          <w:szCs w:val="24"/>
          <w:lang w:val="en-US" w:eastAsia="zh-CN"/>
          <w14:textFill>
            <w14:solidFill>
              <w14:schemeClr w14:val="tx1"/>
            </w14:solidFill>
          </w14:textFill>
        </w:rPr>
        <w:t>宜满足</w:t>
      </w:r>
      <w:r>
        <w:rPr>
          <w:rFonts w:hint="eastAsia" w:ascii="仿宋" w:hAnsi="仿宋" w:cs="仿宋"/>
          <w:color w:val="000000" w:themeColor="text1"/>
          <w:sz w:val="24"/>
          <w:szCs w:val="24"/>
          <w14:textFill>
            <w14:solidFill>
              <w14:schemeClr w14:val="tx1"/>
            </w14:solidFill>
          </w14:textFill>
        </w:rPr>
        <w:t>超低能耗建筑标准。</w:t>
      </w:r>
    </w:p>
    <w:p w14:paraId="05762C1C">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3.0.8好房子住宅建筑的设计、生产、建造、交付、运行维护等，宜全过程采用建筑信息模型（BIM）技术。</w:t>
      </w:r>
    </w:p>
    <w:p w14:paraId="175AE6BB">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3.0.9当采集公民个人信息时应符合《中华人民共和国个人信息保护法》要求，信息应进行加密存储，不应通过系统展示或在公共区域公开展示，根据需要必须展示的信息应进行去标识化处理。采集人脸信息时应遵守《人脸识别技术应用安全管理办法》。</w:t>
      </w:r>
    </w:p>
    <w:p w14:paraId="05C66219">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br w:type="page"/>
      </w:r>
    </w:p>
    <w:p w14:paraId="05BE0E1E">
      <w:pPr>
        <w:pStyle w:val="2"/>
        <w:ind w:firstLine="643"/>
        <w:jc w:val="center"/>
        <w:rPr>
          <w:rFonts w:hint="eastAsia" w:ascii="黑体" w:hAnsi="黑体" w:eastAsia="黑体" w:cs="黑体"/>
          <w:color w:val="000000" w:themeColor="text1"/>
          <w:sz w:val="24"/>
          <w:szCs w:val="24"/>
          <w14:textFill>
            <w14:solidFill>
              <w14:schemeClr w14:val="tx1"/>
            </w14:solidFill>
          </w14:textFill>
        </w:rPr>
      </w:pPr>
      <w:bookmarkStart w:id="16" w:name="_Toc23858"/>
      <w:bookmarkStart w:id="17" w:name="_Toc27231"/>
      <w:bookmarkStart w:id="18" w:name="_Toc21096"/>
      <w:r>
        <w:rPr>
          <w:rFonts w:hint="eastAsia" w:ascii="黑体" w:hAnsi="黑体" w:eastAsia="黑体" w:cs="黑体"/>
          <w:color w:val="000000" w:themeColor="text1"/>
          <w:sz w:val="24"/>
          <w:szCs w:val="24"/>
          <w14:textFill>
            <w14:solidFill>
              <w14:schemeClr w14:val="tx1"/>
            </w14:solidFill>
          </w14:textFill>
        </w:rPr>
        <w:t>4 规划选址</w:t>
      </w:r>
      <w:bookmarkEnd w:id="16"/>
      <w:bookmarkEnd w:id="17"/>
      <w:bookmarkEnd w:id="18"/>
    </w:p>
    <w:p w14:paraId="741C4AD9">
      <w:pPr>
        <w:pStyle w:val="3"/>
        <w:ind w:firstLine="643"/>
        <w:jc w:val="center"/>
        <w:rPr>
          <w:rFonts w:hint="eastAsia"/>
          <w:color w:val="000000" w:themeColor="text1"/>
          <w:sz w:val="24"/>
          <w:szCs w:val="24"/>
          <w14:textFill>
            <w14:solidFill>
              <w14:schemeClr w14:val="tx1"/>
            </w14:solidFill>
          </w14:textFill>
        </w:rPr>
      </w:pPr>
      <w:bookmarkStart w:id="19" w:name="_Toc28380"/>
      <w:r>
        <w:rPr>
          <w:rFonts w:hint="eastAsia"/>
          <w:color w:val="000000" w:themeColor="text1"/>
          <w:sz w:val="24"/>
          <w:szCs w:val="24"/>
          <w14:textFill>
            <w14:solidFill>
              <w14:schemeClr w14:val="tx1"/>
            </w14:solidFill>
          </w14:textFill>
        </w:rPr>
        <w:t>4.1 一般规定</w:t>
      </w:r>
      <w:bookmarkEnd w:id="19"/>
    </w:p>
    <w:p w14:paraId="401597E4">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4.1.1 住宅建筑应根据所在地区气候、地质及地形地貌等自然条件，因地制宜、合理布局。</w:t>
      </w:r>
    </w:p>
    <w:p w14:paraId="534BE58F">
      <w:pPr>
        <w:snapToGrid w:val="0"/>
        <w:spacing w:line="360" w:lineRule="auto"/>
        <w:ind w:firstLine="0" w:firstLineChars="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4.1.2 住房的体量、高度、界面，色彩，材质等应与城乡规划相协调，满足城市设计控制要求。</w:t>
      </w:r>
    </w:p>
    <w:p w14:paraId="0F63BF6F">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4.1.3 住宅项目的配套设施应根据居住人口规模和设施服务半径综合确定，并应按所在居住区分级配置标准统筹配套、同步建设。</w:t>
      </w:r>
    </w:p>
    <w:p w14:paraId="69280950">
      <w:pPr>
        <w:snapToGrid w:val="0"/>
        <w:spacing w:line="360" w:lineRule="auto"/>
        <w:ind w:firstLine="0" w:firstLineChars="0"/>
        <w:rPr>
          <w:rFonts w:ascii="仿宋" w:hAnsi="仿宋" w:cs="仿宋"/>
          <w:color w:val="000000" w:themeColor="text1"/>
          <w:sz w:val="24"/>
          <w:szCs w:val="24"/>
          <w14:textFill>
            <w14:solidFill>
              <w14:schemeClr w14:val="tx1"/>
            </w14:solidFill>
          </w14:textFill>
        </w:rPr>
      </w:pPr>
    </w:p>
    <w:p w14:paraId="25237BFA">
      <w:pPr>
        <w:pStyle w:val="3"/>
        <w:ind w:firstLine="643"/>
        <w:jc w:val="center"/>
        <w:rPr>
          <w:rFonts w:hint="eastAsia"/>
          <w:color w:val="000000" w:themeColor="text1"/>
          <w:sz w:val="24"/>
          <w:szCs w:val="24"/>
          <w14:textFill>
            <w14:solidFill>
              <w14:schemeClr w14:val="tx1"/>
            </w14:solidFill>
          </w14:textFill>
        </w:rPr>
      </w:pPr>
      <w:bookmarkStart w:id="20" w:name="_Toc24448"/>
      <w:r>
        <w:rPr>
          <w:rFonts w:hint="eastAsia"/>
          <w:color w:val="000000" w:themeColor="text1"/>
          <w:sz w:val="24"/>
          <w:szCs w:val="24"/>
          <w14:textFill>
            <w14:solidFill>
              <w14:schemeClr w14:val="tx1"/>
            </w14:solidFill>
          </w14:textFill>
        </w:rPr>
        <w:t>4.2 选址要求</w:t>
      </w:r>
      <w:bookmarkEnd w:id="20"/>
    </w:p>
    <w:p w14:paraId="4919A274">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4.2.1 选址应避开自然灾害易发区、生态敏感和污染源，确保住宅区的环境安全和生态健康。</w:t>
      </w:r>
    </w:p>
    <w:p w14:paraId="69205373">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4.2.2 住区应选择交通便利的区域，便于居民出行和物资运输，同时应考虑公共交通的可达性和便利性。</w:t>
      </w:r>
    </w:p>
    <w:p w14:paraId="3A508A91">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4.2.3 住区应靠近或同步规划建设教育、医疗、商业、文化等公共服务设施，满足居民的日常生活需求。</w:t>
      </w:r>
    </w:p>
    <w:p w14:paraId="58F7511F">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p>
    <w:p w14:paraId="40271000">
      <w:pPr>
        <w:pStyle w:val="3"/>
        <w:ind w:firstLine="643"/>
        <w:jc w:val="center"/>
        <w:rPr>
          <w:rFonts w:hint="eastAsia" w:eastAsia="仿宋"/>
          <w:color w:val="000000" w:themeColor="text1"/>
          <w:sz w:val="24"/>
          <w:szCs w:val="24"/>
          <w:lang w:val="en-US" w:eastAsia="zh-CN"/>
          <w14:textFill>
            <w14:solidFill>
              <w14:schemeClr w14:val="tx1"/>
            </w14:solidFill>
          </w14:textFill>
        </w:rPr>
      </w:pPr>
      <w:bookmarkStart w:id="21" w:name="_Toc1374"/>
      <w:r>
        <w:rPr>
          <w:rFonts w:hint="eastAsia"/>
          <w:color w:val="000000" w:themeColor="text1"/>
          <w:sz w:val="24"/>
          <w:szCs w:val="24"/>
          <w14:textFill>
            <w14:solidFill>
              <w14:schemeClr w14:val="tx1"/>
            </w14:solidFill>
          </w14:textFill>
        </w:rPr>
        <w:t>4.3 规划</w:t>
      </w:r>
      <w:r>
        <w:rPr>
          <w:rFonts w:hint="eastAsia"/>
          <w:color w:val="000000" w:themeColor="text1"/>
          <w:sz w:val="24"/>
          <w:szCs w:val="24"/>
          <w:lang w:val="en-US" w:eastAsia="zh-CN"/>
          <w14:textFill>
            <w14:solidFill>
              <w14:schemeClr w14:val="tx1"/>
            </w14:solidFill>
          </w14:textFill>
        </w:rPr>
        <w:t>布局</w:t>
      </w:r>
      <w:bookmarkEnd w:id="21"/>
    </w:p>
    <w:p w14:paraId="3D98A7AC">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4.3.1 住宅和公共配套设施宜集中紧凑布置，并合理开发地下空间。</w:t>
      </w:r>
    </w:p>
    <w:p w14:paraId="1662FE6F">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4.3.2 住区建设强度应满足《城市居住区规划设计标准》GB50180中关于各级生活圈住区用地的指标控制要求。建筑高度应与消防救援能力相匹配，城市新建住房高度不应大于80m，县城新建住房最高不宜超过18层，确需建设18层以上的，应严格充分论证，并确保消防应急、市政配套设施等建设到位。新建住区用地容积率不宜大于2.8。</w:t>
      </w:r>
    </w:p>
    <w:p w14:paraId="7E0AF2BF">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 xml:space="preserve">4.3.3 </w:t>
      </w:r>
      <w:r>
        <w:rPr>
          <w:rFonts w:hint="eastAsia" w:ascii="仿宋" w:hAnsi="仿宋" w:cs="仿宋"/>
          <w:color w:val="000000" w:themeColor="text1"/>
          <w:sz w:val="24"/>
          <w:szCs w:val="24"/>
          <w14:textFill>
            <w14:solidFill>
              <w14:schemeClr w14:val="tx1"/>
            </w14:solidFill>
          </w14:textFill>
        </w:rPr>
        <w:t>住宅建筑应合理控制建筑高宽比，并应符合下列规</w:t>
      </w:r>
      <w:r>
        <w:rPr>
          <w:rFonts w:hint="eastAsia" w:ascii="仿宋" w:hAnsi="仿宋" w:cs="仿宋"/>
          <w:color w:val="000000" w:themeColor="text1"/>
          <w:sz w:val="24"/>
          <w:szCs w:val="24"/>
          <w14:textFill>
            <w14:solidFill>
              <w14:schemeClr w14:val="tx1"/>
            </w14:solidFill>
          </w14:textFill>
        </w:rPr>
        <w:t>定</w:t>
      </w:r>
      <w:r>
        <w:rPr>
          <w:rFonts w:hint="eastAsia" w:ascii="仿宋" w:hAnsi="仿宋" w:cs="仿宋"/>
          <w:color w:val="000000" w:themeColor="text1"/>
          <w:sz w:val="24"/>
          <w:szCs w:val="24"/>
          <w:lang w:eastAsia="zh-CN"/>
          <w14:textFill>
            <w14:solidFill>
              <w14:schemeClr w14:val="tx1"/>
            </w14:solidFill>
          </w14:textFill>
        </w:rPr>
        <w:t>：</w:t>
      </w:r>
    </w:p>
    <w:p w14:paraId="033F0452">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1 六</w:t>
      </w:r>
      <w:r>
        <w:rPr>
          <w:rFonts w:hint="eastAsia" w:ascii="仿宋" w:hAnsi="仿宋" w:cs="仿宋"/>
          <w:color w:val="000000" w:themeColor="text1"/>
          <w:sz w:val="24"/>
          <w:szCs w:val="24"/>
          <w14:textFill>
            <w14:solidFill>
              <w14:schemeClr w14:val="tx1"/>
            </w14:solidFill>
          </w14:textFill>
        </w:rPr>
        <w:t>层及以下住宅，建筑面宽不宜大于</w:t>
      </w:r>
      <w:r>
        <w:rPr>
          <w:rFonts w:hint="eastAsia" w:ascii="仿宋" w:hAnsi="仿宋" w:cs="仿宋"/>
          <w:color w:val="000000" w:themeColor="text1"/>
          <w:sz w:val="24"/>
          <w:szCs w:val="24"/>
          <w:lang w:val="en-US" w:eastAsia="zh-CN"/>
          <w14:textFill>
            <w14:solidFill>
              <w14:schemeClr w14:val="tx1"/>
            </w14:solidFill>
          </w14:textFill>
        </w:rPr>
        <w:t>7</w:t>
      </w:r>
      <w:r>
        <w:rPr>
          <w:rFonts w:hint="eastAsia" w:ascii="仿宋" w:hAnsi="仿宋" w:cs="仿宋"/>
          <w:color w:val="000000" w:themeColor="text1"/>
          <w:sz w:val="24"/>
          <w:szCs w:val="24"/>
          <w14:textFill>
            <w14:solidFill>
              <w14:schemeClr w14:val="tx1"/>
            </w14:solidFill>
          </w14:textFill>
        </w:rPr>
        <w:t>0m</w:t>
      </w:r>
      <w:r>
        <w:rPr>
          <w:rFonts w:hint="eastAsia" w:ascii="仿宋" w:hAnsi="仿宋" w:cs="仿宋"/>
          <w:color w:val="000000" w:themeColor="text1"/>
          <w:sz w:val="24"/>
          <w:szCs w:val="24"/>
          <w14:textFill>
            <w14:solidFill>
              <w14:schemeClr w14:val="tx1"/>
            </w14:solidFill>
          </w14:textFill>
        </w:rPr>
        <w:t>;</w:t>
      </w:r>
    </w:p>
    <w:p w14:paraId="58803098">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2 七</w:t>
      </w:r>
      <w:r>
        <w:rPr>
          <w:rFonts w:hint="eastAsia" w:ascii="仿宋" w:hAnsi="仿宋" w:cs="仿宋"/>
          <w:color w:val="000000" w:themeColor="text1"/>
          <w:sz w:val="24"/>
          <w:szCs w:val="24"/>
          <w14:textFill>
            <w14:solidFill>
              <w14:schemeClr w14:val="tx1"/>
            </w14:solidFill>
          </w14:textFill>
        </w:rPr>
        <w:t>层及以上住宅，建筑面宽不宜大于</w:t>
      </w:r>
      <w:r>
        <w:rPr>
          <w:rFonts w:hint="eastAsia" w:ascii="仿宋" w:hAnsi="仿宋" w:cs="仿宋"/>
          <w:color w:val="000000" w:themeColor="text1"/>
          <w:sz w:val="24"/>
          <w:szCs w:val="24"/>
          <w:lang w:val="en-US" w:eastAsia="zh-CN"/>
          <w14:textFill>
            <w14:solidFill>
              <w14:schemeClr w14:val="tx1"/>
            </w14:solidFill>
          </w14:textFill>
        </w:rPr>
        <w:t>6</w:t>
      </w:r>
      <w:r>
        <w:rPr>
          <w:rFonts w:hint="eastAsia" w:ascii="仿宋" w:hAnsi="仿宋" w:cs="仿宋"/>
          <w:color w:val="000000" w:themeColor="text1"/>
          <w:sz w:val="24"/>
          <w:szCs w:val="24"/>
          <w14:textFill>
            <w14:solidFill>
              <w14:schemeClr w14:val="tx1"/>
            </w14:solidFill>
          </w14:textFill>
        </w:rPr>
        <w:t>0m</w:t>
      </w:r>
      <w:r>
        <w:rPr>
          <w:rFonts w:hint="eastAsia" w:ascii="仿宋" w:hAnsi="仿宋" w:cs="仿宋"/>
          <w:color w:val="000000" w:themeColor="text1"/>
          <w:sz w:val="24"/>
          <w:szCs w:val="24"/>
          <w14:textFill>
            <w14:solidFill>
              <w14:schemeClr w14:val="tx1"/>
            </w14:solidFill>
          </w14:textFill>
        </w:rPr>
        <w:t>。</w:t>
      </w:r>
    </w:p>
    <w:p w14:paraId="37769482">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4.3.4</w:t>
      </w:r>
      <w:r>
        <w:rPr>
          <w:rFonts w:hint="eastAsia" w:ascii="仿宋" w:hAnsi="仿宋" w:cs="仿宋"/>
          <w:color w:val="000000" w:themeColor="text1"/>
          <w:sz w:val="24"/>
          <w:szCs w:val="24"/>
          <w14:textFill>
            <w14:solidFill>
              <w14:schemeClr w14:val="tx1"/>
            </w14:solidFill>
          </w14:textFill>
        </w:rPr>
        <w:t xml:space="preserve"> 住宅日照应满足以下要求：</w:t>
      </w:r>
    </w:p>
    <w:p w14:paraId="5A79571B">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 每套住宅应至少有1个居住空间满足当地日照标准要求；</w:t>
      </w:r>
    </w:p>
    <w:p w14:paraId="1ED59F88">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 满足日照要求的居住空间的窗洞开口宽度不应小于1.5m；</w:t>
      </w:r>
    </w:p>
    <w:p w14:paraId="70C3ED63">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 当住宅中居住空间总数为4个及以上时，应有2个及以上居住空间满足当地日照标准要求。</w:t>
      </w:r>
    </w:p>
    <w:p w14:paraId="34884C6D">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4.3.5 住区住房之间的建筑间距，在设计阶段应考虑下列影响因素：</w:t>
      </w:r>
    </w:p>
    <w:p w14:paraId="1B917FC7">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1 应根据当地气候条件，针对整个住区全年气流特点进行场地风环境模拟分析，优化建筑间距以有利于自然通风、避免冬季风速过大；</w:t>
      </w:r>
    </w:p>
    <w:p w14:paraId="70AFEDD0">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2 应对住区噪声源的干扰进行分析，通过建筑间距控制、整体平面排布、道路退距等方式，降低住房之间和周边</w:t>
      </w:r>
      <w:r>
        <w:rPr>
          <w:rFonts w:hint="eastAsia" w:ascii="仿宋" w:hAnsi="仿宋" w:cs="仿宋"/>
          <w:color w:val="000000" w:themeColor="text1"/>
          <w:sz w:val="24"/>
          <w:szCs w:val="24"/>
          <w:lang w:val="en-US" w:eastAsia="zh-CN"/>
          <w14:textFill>
            <w14:solidFill>
              <w14:schemeClr w14:val="tx1"/>
            </w14:solidFill>
          </w14:textFill>
        </w:rPr>
        <w:t>噪声源</w:t>
      </w:r>
      <w:r>
        <w:rPr>
          <w:rFonts w:hint="eastAsia" w:ascii="仿宋" w:hAnsi="仿宋" w:cs="仿宋"/>
          <w:color w:val="000000" w:themeColor="text1"/>
          <w:sz w:val="24"/>
          <w:szCs w:val="24"/>
          <w:lang w:val="en-US" w:eastAsia="zh-CN"/>
          <w14:textFill>
            <w14:solidFill>
              <w14:schemeClr w14:val="tx1"/>
            </w14:solidFill>
          </w14:textFill>
        </w:rPr>
        <w:t>的干扰；</w:t>
      </w:r>
    </w:p>
    <w:p w14:paraId="7D5B7C86">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3 应对住区内的住房规划布局进行空间分析，通过对建筑间距的调整，避免</w:t>
      </w:r>
      <w:r>
        <w:rPr>
          <w:rFonts w:hint="eastAsia" w:ascii="仿宋" w:hAnsi="仿宋" w:cs="仿宋"/>
          <w:color w:val="000000" w:themeColor="text1"/>
          <w:sz w:val="24"/>
          <w:szCs w:val="24"/>
          <w:lang w:val="en-US" w:eastAsia="zh-CN"/>
          <w14:textFill>
            <w14:solidFill>
              <w14:schemeClr w14:val="tx1"/>
            </w14:solidFill>
          </w14:textFill>
        </w:rPr>
        <w:t>卫生视距干扰</w:t>
      </w:r>
      <w:r>
        <w:rPr>
          <w:rFonts w:hint="eastAsia" w:ascii="仿宋" w:hAnsi="仿宋" w:cs="仿宋"/>
          <w:color w:val="000000" w:themeColor="text1"/>
          <w:sz w:val="24"/>
          <w:szCs w:val="24"/>
          <w:lang w:val="en-US" w:eastAsia="zh-CN"/>
          <w14:textFill>
            <w14:solidFill>
              <w14:schemeClr w14:val="tx1"/>
            </w14:solidFill>
          </w14:textFill>
        </w:rPr>
        <w:t>。楼栋之间主要居室直视距离不宜小于18m，不同住户对视距离不宜小于4m。</w:t>
      </w:r>
    </w:p>
    <w:p w14:paraId="7DCE2738">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4.3.</w:t>
      </w:r>
      <w:r>
        <w:rPr>
          <w:rFonts w:hint="eastAsia" w:ascii="仿宋" w:hAnsi="仿宋" w:cs="仿宋"/>
          <w:color w:val="000000" w:themeColor="text1"/>
          <w:sz w:val="24"/>
          <w:szCs w:val="24"/>
          <w:lang w:val="en-US" w:eastAsia="zh-CN"/>
          <w14:textFill>
            <w14:solidFill>
              <w14:schemeClr w14:val="tx1"/>
            </w14:solidFill>
          </w14:textFill>
        </w:rPr>
        <w:t>6</w:t>
      </w:r>
      <w:r>
        <w:rPr>
          <w:rFonts w:hint="eastAsia" w:ascii="仿宋" w:hAnsi="仿宋" w:cs="仿宋"/>
          <w:color w:val="000000" w:themeColor="text1"/>
          <w:sz w:val="24"/>
          <w:szCs w:val="24"/>
          <w14:textFill>
            <w14:solidFill>
              <w14:schemeClr w14:val="tx1"/>
            </w14:solidFill>
          </w14:textFill>
        </w:rPr>
        <w:t xml:space="preserve"> </w:t>
      </w:r>
      <w:r>
        <w:rPr>
          <w:color w:val="000000" w:themeColor="text1"/>
          <w:spacing w:val="3"/>
          <w:sz w:val="24"/>
          <w:szCs w:val="21"/>
          <w14:textFill>
            <w14:solidFill>
              <w14:schemeClr w14:val="tx1"/>
            </w14:solidFill>
          </w14:textFill>
        </w:rPr>
        <w:t>住区应设置休闲娱乐、体育健身等居民公</w:t>
      </w:r>
      <w:r>
        <w:rPr>
          <w:color w:val="000000" w:themeColor="text1"/>
          <w:spacing w:val="2"/>
          <w:sz w:val="24"/>
          <w:szCs w:val="21"/>
          <w14:textFill>
            <w14:solidFill>
              <w14:schemeClr w14:val="tx1"/>
            </w14:solidFill>
          </w14:textFill>
        </w:rPr>
        <w:t>共活动场所，重点规划老</w:t>
      </w:r>
      <w:r>
        <w:rPr>
          <w:color w:val="000000" w:themeColor="text1"/>
          <w:spacing w:val="3"/>
          <w:sz w:val="24"/>
          <w:szCs w:val="21"/>
          <w14:textFill>
            <w14:solidFill>
              <w14:schemeClr w14:val="tx1"/>
            </w14:solidFill>
          </w14:textFill>
        </w:rPr>
        <w:t>人活动、儿童游乐场所。老人和儿童室外活动场地应设置在阳光充足的区</w:t>
      </w:r>
      <w:r>
        <w:rPr>
          <w:color w:val="000000" w:themeColor="text1"/>
          <w:sz w:val="24"/>
          <w:szCs w:val="21"/>
          <w14:textFill>
            <w14:solidFill>
              <w14:schemeClr w14:val="tx1"/>
            </w14:solidFill>
          </w14:textFill>
        </w:rPr>
        <w:t>域，宜有不少于</w:t>
      </w:r>
      <w:r>
        <w:rPr>
          <w:rFonts w:hint="eastAsia" w:ascii="仿宋" w:hAnsi="仿宋" w:cs="仿宋"/>
          <w:color w:val="000000" w:themeColor="text1"/>
          <w:spacing w:val="-36"/>
          <w:sz w:val="24"/>
          <w:szCs w:val="21"/>
          <w14:textFill>
            <w14:solidFill>
              <w14:schemeClr w14:val="tx1"/>
            </w14:solidFill>
          </w14:textFill>
        </w:rPr>
        <w:t xml:space="preserve"> </w:t>
      </w:r>
      <w:r>
        <w:rPr>
          <w:rFonts w:hint="eastAsia" w:ascii="仿宋" w:hAnsi="仿宋" w:cs="仿宋"/>
          <w:color w:val="000000" w:themeColor="text1"/>
          <w:sz w:val="24"/>
          <w:szCs w:val="21"/>
          <w14:textFill>
            <w14:solidFill>
              <w14:schemeClr w14:val="tx1"/>
            </w14:solidFill>
          </w14:textFill>
        </w:rPr>
        <w:t>1/</w:t>
      </w:r>
      <w:r>
        <w:rPr>
          <w:rFonts w:hint="eastAsia" w:ascii="仿宋" w:hAnsi="仿宋" w:cs="仿宋"/>
          <w:color w:val="000000" w:themeColor="text1"/>
          <w:sz w:val="24"/>
          <w:szCs w:val="21"/>
          <w:lang w:val="en-US" w:eastAsia="zh-CN"/>
          <w14:textFill>
            <w14:solidFill>
              <w14:schemeClr w14:val="tx1"/>
            </w14:solidFill>
          </w14:textFill>
        </w:rPr>
        <w:t>2</w:t>
      </w:r>
      <w:r>
        <w:rPr>
          <w:rFonts w:hint="eastAsia" w:ascii="仿宋" w:hAnsi="仿宋" w:cs="仿宋"/>
          <w:color w:val="000000" w:themeColor="text1"/>
          <w:spacing w:val="-36"/>
          <w:sz w:val="24"/>
          <w:szCs w:val="21"/>
          <w14:textFill>
            <w14:solidFill>
              <w14:schemeClr w14:val="tx1"/>
            </w14:solidFill>
          </w14:textFill>
        </w:rPr>
        <w:t xml:space="preserve"> </w:t>
      </w:r>
      <w:r>
        <w:rPr>
          <w:color w:val="000000" w:themeColor="text1"/>
          <w:sz w:val="24"/>
          <w:szCs w:val="21"/>
          <w14:textFill>
            <w14:solidFill>
              <w14:schemeClr w14:val="tx1"/>
            </w14:solidFill>
          </w14:textFill>
        </w:rPr>
        <w:t>的活动场地满足大寒日不低于</w:t>
      </w:r>
      <w:r>
        <w:rPr>
          <w:rFonts w:hint="eastAsia" w:ascii="仿宋" w:hAnsi="仿宋" w:cs="仿宋"/>
          <w:color w:val="000000" w:themeColor="text1"/>
          <w:spacing w:val="-53"/>
          <w:sz w:val="24"/>
          <w:szCs w:val="21"/>
          <w14:textFill>
            <w14:solidFill>
              <w14:schemeClr w14:val="tx1"/>
            </w14:solidFill>
          </w14:textFill>
        </w:rPr>
        <w:t xml:space="preserve"> </w:t>
      </w:r>
      <w:r>
        <w:rPr>
          <w:rFonts w:hint="eastAsia" w:ascii="仿宋" w:hAnsi="仿宋" w:cs="仿宋"/>
          <w:color w:val="000000" w:themeColor="text1"/>
          <w:sz w:val="24"/>
          <w:szCs w:val="21"/>
          <w14:textFill>
            <w14:solidFill>
              <w14:schemeClr w14:val="tx1"/>
            </w14:solidFill>
          </w14:textFill>
        </w:rPr>
        <w:t>2</w:t>
      </w:r>
      <w:r>
        <w:rPr>
          <w:color w:val="000000" w:themeColor="text1"/>
          <w:spacing w:val="-49"/>
          <w:sz w:val="24"/>
          <w:szCs w:val="21"/>
          <w14:textFill>
            <w14:solidFill>
              <w14:schemeClr w14:val="tx1"/>
            </w14:solidFill>
          </w14:textFill>
        </w:rPr>
        <w:t xml:space="preserve"> </w:t>
      </w:r>
      <w:r>
        <w:rPr>
          <w:color w:val="000000" w:themeColor="text1"/>
          <w:spacing w:val="-1"/>
          <w:sz w:val="24"/>
          <w:szCs w:val="21"/>
          <w14:textFill>
            <w14:solidFill>
              <w14:schemeClr w14:val="tx1"/>
            </w14:solidFill>
          </w14:textFill>
        </w:rPr>
        <w:t>小时的日照标准，且应设置全覆盖监控设施。</w:t>
      </w:r>
    </w:p>
    <w:p w14:paraId="6DC8935D">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4.3.</w:t>
      </w:r>
      <w:r>
        <w:rPr>
          <w:rFonts w:hint="eastAsia" w:ascii="仿宋" w:hAnsi="仿宋" w:cs="仿宋"/>
          <w:color w:val="000000" w:themeColor="text1"/>
          <w:sz w:val="24"/>
          <w:szCs w:val="24"/>
          <w:lang w:val="en-US" w:eastAsia="zh-CN"/>
          <w14:textFill>
            <w14:solidFill>
              <w14:schemeClr w14:val="tx1"/>
            </w14:solidFill>
          </w14:textFill>
        </w:rPr>
        <w:t>7</w:t>
      </w:r>
      <w:r>
        <w:rPr>
          <w:rFonts w:hint="eastAsia" w:ascii="仿宋" w:hAnsi="仿宋" w:cs="仿宋"/>
          <w:color w:val="000000" w:themeColor="text1"/>
          <w:sz w:val="24"/>
          <w:szCs w:val="24"/>
          <w14:textFill>
            <w14:solidFill>
              <w14:schemeClr w14:val="tx1"/>
            </w14:solidFill>
          </w14:textFill>
        </w:rPr>
        <w:t xml:space="preserve"> </w:t>
      </w:r>
      <w:r>
        <w:rPr>
          <w:color w:val="000000" w:themeColor="text1"/>
          <w:spacing w:val="3"/>
          <w:sz w:val="24"/>
          <w:szCs w:val="21"/>
          <w14:textFill>
            <w14:solidFill>
              <w14:schemeClr w14:val="tx1"/>
            </w14:solidFill>
          </w14:textFill>
        </w:rPr>
        <w:t>住区</w:t>
      </w:r>
      <w:r>
        <w:rPr>
          <w:rFonts w:hint="eastAsia"/>
          <w:color w:val="000000" w:themeColor="text1"/>
          <w:spacing w:val="3"/>
          <w:sz w:val="24"/>
          <w:szCs w:val="21"/>
          <w:lang w:val="en-US" w:eastAsia="zh-CN"/>
          <w14:textFill>
            <w14:solidFill>
              <w14:schemeClr w14:val="tx1"/>
            </w14:solidFill>
          </w14:textFill>
        </w:rPr>
        <w:t>宜</w:t>
      </w:r>
      <w:r>
        <w:rPr>
          <w:color w:val="000000" w:themeColor="text1"/>
          <w:spacing w:val="3"/>
          <w:sz w:val="24"/>
          <w:szCs w:val="21"/>
          <w14:textFill>
            <w14:solidFill>
              <w14:schemeClr w14:val="tx1"/>
            </w14:solidFill>
          </w14:textFill>
        </w:rPr>
        <w:t>设置</w:t>
      </w:r>
      <w:r>
        <w:rPr>
          <w:rFonts w:hint="eastAsia" w:ascii="仿宋" w:hAnsi="仿宋" w:cs="仿宋"/>
          <w:color w:val="000000" w:themeColor="text1"/>
          <w:sz w:val="24"/>
          <w:szCs w:val="24"/>
          <w14:textFill>
            <w14:solidFill>
              <w14:schemeClr w14:val="tx1"/>
            </w14:solidFill>
          </w14:textFill>
        </w:rPr>
        <w:t>健身房、书吧、茶室、咖啡厅、公共会客厅、棋牌室、游泳池等功能的会所以及业主食堂等，满足住区居民娱乐、休闲等生活需求。</w:t>
      </w:r>
    </w:p>
    <w:p w14:paraId="1A12F880">
      <w:pPr>
        <w:snapToGrid w:val="0"/>
        <w:spacing w:line="360" w:lineRule="auto"/>
        <w:ind w:firstLine="0" w:firstLineChars="0"/>
        <w:rPr>
          <w:color w:val="000000" w:themeColor="text1"/>
          <w:spacing w:val="2"/>
          <w:sz w:val="24"/>
          <w:szCs w:val="21"/>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4.3.</w:t>
      </w:r>
      <w:r>
        <w:rPr>
          <w:rFonts w:hint="eastAsia" w:ascii="仿宋" w:hAnsi="仿宋" w:cs="仿宋"/>
          <w:color w:val="000000" w:themeColor="text1"/>
          <w:sz w:val="24"/>
          <w:szCs w:val="24"/>
          <w:lang w:val="en-US" w:eastAsia="zh-CN"/>
          <w14:textFill>
            <w14:solidFill>
              <w14:schemeClr w14:val="tx1"/>
            </w14:solidFill>
          </w14:textFill>
        </w:rPr>
        <w:t>8</w:t>
      </w:r>
      <w:r>
        <w:rPr>
          <w:rFonts w:hint="eastAsia" w:ascii="仿宋" w:hAnsi="仿宋" w:cs="仿宋"/>
          <w:color w:val="000000" w:themeColor="text1"/>
          <w:sz w:val="24"/>
          <w:szCs w:val="24"/>
          <w14:textFill>
            <w14:solidFill>
              <w14:schemeClr w14:val="tx1"/>
            </w14:solidFill>
          </w14:textFill>
        </w:rPr>
        <w:t xml:space="preserve"> 合理设置归家动线，结合住区出入口与便民服务网点设置</w:t>
      </w:r>
      <w:r>
        <w:rPr>
          <w:color w:val="000000" w:themeColor="text1"/>
          <w:spacing w:val="2"/>
          <w:sz w:val="24"/>
          <w:szCs w:val="21"/>
          <w14:textFill>
            <w14:solidFill>
              <w14:schemeClr w14:val="tx1"/>
            </w14:solidFill>
          </w14:textFill>
        </w:rPr>
        <w:t>快递收发</w:t>
      </w:r>
      <w:r>
        <w:rPr>
          <w:color w:val="000000" w:themeColor="text1"/>
          <w:spacing w:val="3"/>
          <w:sz w:val="24"/>
          <w:szCs w:val="21"/>
          <w14:textFill>
            <w14:solidFill>
              <w14:schemeClr w14:val="tx1"/>
            </w14:solidFill>
          </w14:textFill>
        </w:rPr>
        <w:t>点、“无接触式”快递柜、物流配送场地等便民设施</w:t>
      </w:r>
      <w:r>
        <w:rPr>
          <w:color w:val="000000" w:themeColor="text1"/>
          <w:spacing w:val="2"/>
          <w:sz w:val="24"/>
          <w:szCs w:val="21"/>
          <w14:textFill>
            <w14:solidFill>
              <w14:schemeClr w14:val="tx1"/>
            </w14:solidFill>
          </w14:textFill>
        </w:rPr>
        <w:t>。</w:t>
      </w:r>
    </w:p>
    <w:p w14:paraId="7AFB1353">
      <w:pPr>
        <w:snapToGrid w:val="0"/>
        <w:spacing w:line="360" w:lineRule="auto"/>
        <w:ind w:firstLine="0" w:firstLineChars="0"/>
        <w:rPr>
          <w:rFonts w:hint="default"/>
          <w:color w:val="000000" w:themeColor="text1"/>
          <w:spacing w:val="3"/>
          <w:sz w:val="24"/>
          <w:szCs w:val="21"/>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4.3.9</w:t>
      </w:r>
      <w:r>
        <w:rPr>
          <w:rFonts w:hint="eastAsia"/>
          <w:color w:val="000000" w:themeColor="text1"/>
          <w:spacing w:val="3"/>
          <w:sz w:val="24"/>
          <w:szCs w:val="21"/>
          <w:lang w:val="en-US" w:eastAsia="zh-CN"/>
          <w14:textFill>
            <w14:solidFill>
              <w14:schemeClr w14:val="tx1"/>
            </w14:solidFill>
          </w14:textFill>
        </w:rPr>
        <w:t xml:space="preserve"> 宜采用“平急结合”的方式，</w:t>
      </w:r>
      <w:r>
        <w:rPr>
          <w:color w:val="000000" w:themeColor="text1"/>
          <w:spacing w:val="3"/>
          <w:sz w:val="24"/>
          <w:szCs w:val="21"/>
          <w14:textFill>
            <w14:solidFill>
              <w14:schemeClr w14:val="tx1"/>
            </w14:solidFill>
          </w14:textFill>
        </w:rPr>
        <w:t>结合住区出入口</w:t>
      </w:r>
      <w:r>
        <w:rPr>
          <w:rFonts w:hint="eastAsia"/>
          <w:color w:val="000000" w:themeColor="text1"/>
          <w:spacing w:val="3"/>
          <w:sz w:val="24"/>
          <w:szCs w:val="21"/>
          <w:lang w:eastAsia="zh-CN"/>
          <w14:textFill>
            <w14:solidFill>
              <w14:schemeClr w14:val="tx1"/>
            </w14:solidFill>
          </w14:textFill>
        </w:rPr>
        <w:t>、</w:t>
      </w:r>
      <w:r>
        <w:rPr>
          <w:rFonts w:hint="eastAsia"/>
          <w:color w:val="000000" w:themeColor="text1"/>
          <w:spacing w:val="3"/>
          <w:sz w:val="24"/>
          <w:szCs w:val="21"/>
          <w:lang w:val="en-US" w:eastAsia="zh-CN"/>
          <w14:textFill>
            <w14:solidFill>
              <w14:schemeClr w14:val="tx1"/>
            </w14:solidFill>
          </w14:textFill>
        </w:rPr>
        <w:t>活动场地</w:t>
      </w:r>
      <w:r>
        <w:rPr>
          <w:color w:val="000000" w:themeColor="text1"/>
          <w:spacing w:val="3"/>
          <w:sz w:val="24"/>
          <w:szCs w:val="21"/>
          <w14:textFill>
            <w14:solidFill>
              <w14:schemeClr w14:val="tx1"/>
            </w14:solidFill>
          </w14:textFill>
        </w:rPr>
        <w:t>设置疏散、应急广场，</w:t>
      </w:r>
      <w:r>
        <w:rPr>
          <w:rFonts w:hint="eastAsia"/>
          <w:color w:val="000000" w:themeColor="text1"/>
          <w:spacing w:val="3"/>
          <w:sz w:val="24"/>
          <w:szCs w:val="21"/>
          <w14:textFill>
            <w14:solidFill>
              <w14:schemeClr w14:val="tx1"/>
            </w14:solidFill>
          </w14:textFill>
        </w:rPr>
        <w:t>并设置清晰连续的标识系统</w:t>
      </w:r>
      <w:r>
        <w:rPr>
          <w:rFonts w:hint="eastAsia"/>
          <w:color w:val="000000" w:themeColor="text1"/>
          <w:spacing w:val="3"/>
          <w:sz w:val="24"/>
          <w:szCs w:val="21"/>
          <w:lang w:eastAsia="zh-CN"/>
          <w14:textFill>
            <w14:solidFill>
              <w14:schemeClr w14:val="tx1"/>
            </w14:solidFill>
          </w14:textFill>
        </w:rPr>
        <w:t>。</w:t>
      </w:r>
    </w:p>
    <w:p w14:paraId="249A69A6">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4.3.</w:t>
      </w:r>
      <w:r>
        <w:rPr>
          <w:rFonts w:hint="eastAsia" w:ascii="仿宋" w:hAnsi="仿宋" w:cs="仿宋"/>
          <w:color w:val="000000" w:themeColor="text1"/>
          <w:sz w:val="24"/>
          <w:szCs w:val="24"/>
          <w:lang w:val="en-US" w:eastAsia="zh-CN"/>
          <w14:textFill>
            <w14:solidFill>
              <w14:schemeClr w14:val="tx1"/>
            </w14:solidFill>
          </w14:textFill>
        </w:rPr>
        <w:t>10</w:t>
      </w:r>
      <w:r>
        <w:rPr>
          <w:rFonts w:hint="eastAsia" w:ascii="仿宋" w:hAnsi="仿宋" w:cs="仿宋"/>
          <w:color w:val="000000" w:themeColor="text1"/>
          <w:sz w:val="24"/>
          <w:szCs w:val="24"/>
          <w14:textFill>
            <w14:solidFill>
              <w14:schemeClr w14:val="tx1"/>
            </w14:solidFill>
          </w14:textFill>
        </w:rPr>
        <w:t xml:space="preserve"> </w:t>
      </w:r>
      <w:r>
        <w:rPr>
          <w:color w:val="000000" w:themeColor="text1"/>
          <w:spacing w:val="3"/>
          <w:sz w:val="24"/>
          <w:szCs w:val="21"/>
          <w14:textFill>
            <w14:solidFill>
              <w14:schemeClr w14:val="tx1"/>
            </w14:solidFill>
          </w14:textFill>
        </w:rPr>
        <w:t>住区应实行生活垃圾分类，在住宅单元出入口</w:t>
      </w:r>
      <w:r>
        <w:rPr>
          <w:color w:val="000000" w:themeColor="text1"/>
          <w:spacing w:val="2"/>
          <w:sz w:val="24"/>
          <w:szCs w:val="21"/>
          <w14:textFill>
            <w14:solidFill>
              <w14:schemeClr w14:val="tx1"/>
            </w14:solidFill>
          </w14:textFill>
        </w:rPr>
        <w:t>、地下车库等位置合</w:t>
      </w:r>
      <w:r>
        <w:rPr>
          <w:color w:val="000000" w:themeColor="text1"/>
          <w:spacing w:val="3"/>
          <w:sz w:val="24"/>
          <w:szCs w:val="21"/>
          <w14:textFill>
            <w14:solidFill>
              <w14:schemeClr w14:val="tx1"/>
            </w14:solidFill>
          </w14:textFill>
        </w:rPr>
        <w:t>理设置生活垃圾收集站、垃圾分类收集点等设施。地上垃圾房、垃圾转运站、再生资源回收站等易产生异味的功能性用房宜布</w:t>
      </w:r>
      <w:r>
        <w:rPr>
          <w:color w:val="000000" w:themeColor="text1"/>
          <w:spacing w:val="2"/>
          <w:sz w:val="24"/>
          <w:szCs w:val="21"/>
          <w14:textFill>
            <w14:solidFill>
              <w14:schemeClr w14:val="tx1"/>
            </w14:solidFill>
          </w14:textFill>
        </w:rPr>
        <w:t>置在人员活动较少区域，周围设置景观绿化遮蔽措施</w:t>
      </w:r>
      <w:r>
        <w:rPr>
          <w:color w:val="000000" w:themeColor="text1"/>
          <w:spacing w:val="-1"/>
          <w:sz w:val="24"/>
          <w:szCs w:val="21"/>
          <w14:textFill>
            <w14:solidFill>
              <w14:schemeClr w14:val="tx1"/>
            </w14:solidFill>
          </w14:textFill>
        </w:rPr>
        <w:t>。</w:t>
      </w:r>
    </w:p>
    <w:p w14:paraId="2BD645CE">
      <w:pPr>
        <w:snapToGrid w:val="0"/>
        <w:spacing w:line="360" w:lineRule="auto"/>
        <w:ind w:firstLine="0" w:firstLineChars="0"/>
        <w:rPr>
          <w:color w:val="000000" w:themeColor="text1"/>
          <w:spacing w:val="-1"/>
          <w:sz w:val="24"/>
          <w:szCs w:val="21"/>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4.3.</w:t>
      </w:r>
      <w:r>
        <w:rPr>
          <w:rFonts w:hint="eastAsia" w:ascii="仿宋" w:hAnsi="仿宋" w:cs="仿宋"/>
          <w:color w:val="000000" w:themeColor="text1"/>
          <w:sz w:val="24"/>
          <w:szCs w:val="24"/>
          <w:lang w:val="en-US" w:eastAsia="zh-CN"/>
          <w14:textFill>
            <w14:solidFill>
              <w14:schemeClr w14:val="tx1"/>
            </w14:solidFill>
          </w14:textFill>
        </w:rPr>
        <w:t>11</w:t>
      </w:r>
      <w:r>
        <w:rPr>
          <w:color w:val="000000" w:themeColor="text1"/>
          <w:spacing w:val="3"/>
          <w:sz w:val="24"/>
          <w:szCs w:val="21"/>
          <w14:textFill>
            <w14:solidFill>
              <w14:schemeClr w14:val="tx1"/>
            </w14:solidFill>
          </w14:textFill>
        </w:rPr>
        <w:t>住区人行系统</w:t>
      </w:r>
      <w:r>
        <w:rPr>
          <w:rFonts w:hint="eastAsia"/>
          <w:color w:val="000000" w:themeColor="text1"/>
          <w:spacing w:val="3"/>
          <w:sz w:val="24"/>
          <w:szCs w:val="21"/>
          <w:lang w:val="en-US" w:eastAsia="zh-CN"/>
          <w14:textFill>
            <w14:solidFill>
              <w14:schemeClr w14:val="tx1"/>
            </w14:solidFill>
          </w14:textFill>
        </w:rPr>
        <w:t>应</w:t>
      </w:r>
      <w:r>
        <w:rPr>
          <w:color w:val="000000" w:themeColor="text1"/>
          <w:spacing w:val="3"/>
          <w:sz w:val="24"/>
          <w:szCs w:val="21"/>
          <w14:textFill>
            <w14:solidFill>
              <w14:schemeClr w14:val="tx1"/>
            </w14:solidFill>
          </w14:textFill>
        </w:rPr>
        <w:t>与城市人行</w:t>
      </w:r>
      <w:r>
        <w:rPr>
          <w:color w:val="000000" w:themeColor="text1"/>
          <w:spacing w:val="2"/>
          <w:sz w:val="24"/>
          <w:szCs w:val="21"/>
          <w14:textFill>
            <w14:solidFill>
              <w14:schemeClr w14:val="tx1"/>
            </w14:solidFill>
          </w14:textFill>
        </w:rPr>
        <w:t>道、非机动车道、绿</w:t>
      </w:r>
      <w:r>
        <w:rPr>
          <w:color w:val="000000" w:themeColor="text1"/>
          <w:spacing w:val="3"/>
          <w:sz w:val="24"/>
          <w:szCs w:val="21"/>
          <w14:textFill>
            <w14:solidFill>
              <w14:schemeClr w14:val="tx1"/>
            </w14:solidFill>
          </w14:textFill>
        </w:rPr>
        <w:t>道等慢行系统顺畅衔接，住区人行出入口</w:t>
      </w:r>
      <w:r>
        <w:rPr>
          <w:rFonts w:hint="eastAsia"/>
          <w:color w:val="000000" w:themeColor="text1"/>
          <w:spacing w:val="3"/>
          <w:sz w:val="24"/>
          <w:szCs w:val="21"/>
          <w:lang w:val="en-US" w:eastAsia="zh-CN"/>
          <w14:textFill>
            <w14:solidFill>
              <w14:schemeClr w14:val="tx1"/>
            </w14:solidFill>
          </w14:textFill>
        </w:rPr>
        <w:t>应</w:t>
      </w:r>
      <w:r>
        <w:rPr>
          <w:color w:val="000000" w:themeColor="text1"/>
          <w:spacing w:val="3"/>
          <w:sz w:val="24"/>
          <w:szCs w:val="21"/>
          <w14:textFill>
            <w14:solidFill>
              <w14:schemeClr w14:val="tx1"/>
            </w14:solidFill>
          </w14:textFill>
        </w:rPr>
        <w:t>根据周边交通站点合理设置，</w:t>
      </w:r>
      <w:r>
        <w:rPr>
          <w:rFonts w:hint="eastAsia"/>
          <w:color w:val="000000" w:themeColor="text1"/>
          <w:spacing w:val="3"/>
          <w:sz w:val="24"/>
          <w:szCs w:val="21"/>
          <w:lang w:val="en-US" w:eastAsia="zh-CN"/>
          <w14:textFill>
            <w14:solidFill>
              <w14:schemeClr w14:val="tx1"/>
            </w14:solidFill>
          </w14:textFill>
        </w:rPr>
        <w:t>宜</w:t>
      </w:r>
      <w:r>
        <w:rPr>
          <w:color w:val="000000" w:themeColor="text1"/>
          <w:spacing w:val="-1"/>
          <w:sz w:val="24"/>
          <w:szCs w:val="21"/>
          <w14:textFill>
            <w14:solidFill>
              <w14:schemeClr w14:val="tx1"/>
            </w14:solidFill>
          </w14:textFill>
        </w:rPr>
        <w:t>与公共服务设施相结合。</w:t>
      </w:r>
    </w:p>
    <w:p w14:paraId="724FB986">
      <w:pPr>
        <w:snapToGrid w:val="0"/>
        <w:spacing w:line="360" w:lineRule="auto"/>
        <w:ind w:firstLine="0" w:firstLineChars="0"/>
        <w:rPr>
          <w:color w:val="000000" w:themeColor="text1"/>
          <w:spacing w:val="-1"/>
          <w:sz w:val="24"/>
          <w:szCs w:val="21"/>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4.3.</w:t>
      </w:r>
      <w:r>
        <w:rPr>
          <w:rFonts w:hint="eastAsia" w:ascii="仿宋" w:hAnsi="仿宋" w:cs="仿宋"/>
          <w:color w:val="000000" w:themeColor="text1"/>
          <w:sz w:val="24"/>
          <w:szCs w:val="24"/>
          <w:lang w:val="en-US" w:eastAsia="zh-CN"/>
          <w14:textFill>
            <w14:solidFill>
              <w14:schemeClr w14:val="tx1"/>
            </w14:solidFill>
          </w14:textFill>
        </w:rPr>
        <w:t>12</w:t>
      </w:r>
      <w:r>
        <w:rPr>
          <w:rFonts w:hint="eastAsia"/>
          <w:color w:val="000000" w:themeColor="text1"/>
          <w:spacing w:val="3"/>
          <w:sz w:val="24"/>
          <w:szCs w:val="21"/>
          <w14:textFill>
            <w14:solidFill>
              <w14:schemeClr w14:val="tx1"/>
            </w14:solidFill>
          </w14:textFill>
        </w:rPr>
        <w:t xml:space="preserve"> </w:t>
      </w:r>
      <w:r>
        <w:rPr>
          <w:color w:val="000000" w:themeColor="text1"/>
          <w:spacing w:val="3"/>
          <w:sz w:val="24"/>
          <w:szCs w:val="21"/>
          <w14:textFill>
            <w14:solidFill>
              <w14:schemeClr w14:val="tx1"/>
            </w14:solidFill>
          </w14:textFill>
        </w:rPr>
        <w:t>住区应合理规划非机动车停车场所，在满足消</w:t>
      </w:r>
      <w:r>
        <w:rPr>
          <w:color w:val="000000" w:themeColor="text1"/>
          <w:spacing w:val="2"/>
          <w:sz w:val="24"/>
          <w:szCs w:val="21"/>
          <w14:textFill>
            <w14:solidFill>
              <w14:schemeClr w14:val="tx1"/>
            </w14:solidFill>
          </w14:textFill>
        </w:rPr>
        <w:t>防、人防、绿地率等</w:t>
      </w:r>
      <w:r>
        <w:rPr>
          <w:color w:val="000000" w:themeColor="text1"/>
          <w:spacing w:val="3"/>
          <w:sz w:val="24"/>
          <w:szCs w:val="21"/>
          <w14:textFill>
            <w14:solidFill>
              <w14:schemeClr w14:val="tx1"/>
            </w14:solidFill>
          </w14:textFill>
        </w:rPr>
        <w:t>要求的前提下，宜优先在居住街坊入口处独立设置地上电动自行车停车棚</w:t>
      </w:r>
      <w:r>
        <w:rPr>
          <w:color w:val="000000" w:themeColor="text1"/>
          <w:spacing w:val="-1"/>
          <w:sz w:val="24"/>
          <w:szCs w:val="21"/>
          <w14:textFill>
            <w14:solidFill>
              <w14:schemeClr w14:val="tx1"/>
            </w14:solidFill>
          </w14:textFill>
        </w:rPr>
        <w:t>与充电设施，满足相关规范要求，符合安全标准。</w:t>
      </w:r>
    </w:p>
    <w:p w14:paraId="1B86EB46">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4.3.</w:t>
      </w:r>
      <w:r>
        <w:rPr>
          <w:rFonts w:hint="eastAsia" w:ascii="仿宋" w:hAnsi="仿宋" w:cs="仿宋"/>
          <w:color w:val="000000" w:themeColor="text1"/>
          <w:sz w:val="24"/>
          <w:szCs w:val="24"/>
          <w:lang w:val="en-US" w:eastAsia="zh-CN"/>
          <w14:textFill>
            <w14:solidFill>
              <w14:schemeClr w14:val="tx1"/>
            </w14:solidFill>
          </w14:textFill>
        </w:rPr>
        <w:t>13</w:t>
      </w:r>
      <w:r>
        <w:rPr>
          <w:rFonts w:hint="eastAsia"/>
          <w:color w:val="000000" w:themeColor="text1"/>
          <w:spacing w:val="-1"/>
          <w:sz w:val="24"/>
          <w:szCs w:val="21"/>
          <w14:textFill>
            <w14:solidFill>
              <w14:schemeClr w14:val="tx1"/>
            </w14:solidFill>
          </w14:textFill>
        </w:rPr>
        <w:t xml:space="preserve"> </w:t>
      </w:r>
      <w:r>
        <w:rPr>
          <w:color w:val="000000" w:themeColor="text1"/>
          <w:spacing w:val="-1"/>
          <w:sz w:val="24"/>
          <w:szCs w:val="21"/>
          <w14:textFill>
            <w14:solidFill>
              <w14:schemeClr w14:val="tx1"/>
            </w14:solidFill>
          </w14:textFill>
        </w:rPr>
        <w:t>结合周边道路与交通管理要求合理设置住区停车场所出</w:t>
      </w:r>
      <w:r>
        <w:rPr>
          <w:color w:val="000000" w:themeColor="text1"/>
          <w:spacing w:val="-2"/>
          <w:sz w:val="24"/>
          <w:szCs w:val="21"/>
          <w14:textFill>
            <w14:solidFill>
              <w14:schemeClr w14:val="tx1"/>
            </w14:solidFill>
          </w14:textFill>
        </w:rPr>
        <w:t>入口，车行</w:t>
      </w:r>
      <w:r>
        <w:rPr>
          <w:color w:val="000000" w:themeColor="text1"/>
          <w:spacing w:val="3"/>
          <w:sz w:val="24"/>
          <w:szCs w:val="21"/>
          <w14:textFill>
            <w14:solidFill>
              <w14:schemeClr w14:val="tx1"/>
            </w14:solidFill>
          </w14:textFill>
        </w:rPr>
        <w:t>出入口应设有安全缓冲距离，与城市交通组织关系合理，衔接顺畅。住区</w:t>
      </w:r>
      <w:r>
        <w:rPr>
          <w:color w:val="000000" w:themeColor="text1"/>
          <w:spacing w:val="-7"/>
          <w:sz w:val="24"/>
          <w:szCs w:val="21"/>
          <w14:textFill>
            <w14:solidFill>
              <w14:schemeClr w14:val="tx1"/>
            </w14:solidFill>
          </w14:textFill>
        </w:rPr>
        <w:t>机动车停车场所应设置无障碍车位，合理配建电动车停车位，并</w:t>
      </w:r>
      <w:r>
        <w:rPr>
          <w:color w:val="000000" w:themeColor="text1"/>
          <w:spacing w:val="-39"/>
          <w:sz w:val="24"/>
          <w:szCs w:val="21"/>
          <w14:textFill>
            <w14:solidFill>
              <w14:schemeClr w14:val="tx1"/>
            </w14:solidFill>
          </w14:textFill>
        </w:rPr>
        <w:t xml:space="preserve"> </w:t>
      </w:r>
      <w:r>
        <w:rPr>
          <w:rFonts w:hint="eastAsia" w:ascii="仿宋" w:hAnsi="仿宋" w:cs="仿宋"/>
          <w:color w:val="000000" w:themeColor="text1"/>
          <w:spacing w:val="-7"/>
          <w:sz w:val="24"/>
          <w:szCs w:val="21"/>
          <w14:textFill>
            <w14:solidFill>
              <w14:schemeClr w14:val="tx1"/>
            </w14:solidFill>
          </w14:textFill>
        </w:rPr>
        <w:t>100%</w:t>
      </w:r>
      <w:r>
        <w:rPr>
          <w:rFonts w:hint="eastAsia" w:ascii="仿宋" w:hAnsi="仿宋" w:cs="仿宋"/>
          <w:color w:val="000000" w:themeColor="text1"/>
          <w:sz w:val="24"/>
          <w:szCs w:val="21"/>
          <w14:textFill>
            <w14:solidFill>
              <w14:schemeClr w14:val="tx1"/>
            </w14:solidFill>
          </w14:textFill>
        </w:rPr>
        <w:t xml:space="preserve"> </w:t>
      </w:r>
      <w:r>
        <w:rPr>
          <w:color w:val="000000" w:themeColor="text1"/>
          <w:spacing w:val="3"/>
          <w:sz w:val="24"/>
          <w:szCs w:val="21"/>
          <w14:textFill>
            <w14:solidFill>
              <w14:schemeClr w14:val="tx1"/>
            </w14:solidFill>
          </w14:textFill>
        </w:rPr>
        <w:t>预留充电设施至每个机动车位，将土建、机电等消防措施配置到位</w:t>
      </w:r>
      <w:r>
        <w:rPr>
          <w:color w:val="000000" w:themeColor="text1"/>
          <w:spacing w:val="-1"/>
          <w:sz w:val="24"/>
          <w:szCs w:val="21"/>
          <w14:textFill>
            <w14:solidFill>
              <w14:schemeClr w14:val="tx1"/>
            </w14:solidFill>
          </w14:textFill>
        </w:rPr>
        <w:t>。</w:t>
      </w:r>
    </w:p>
    <w:p w14:paraId="3D9BB77E">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4.3.</w:t>
      </w:r>
      <w:r>
        <w:rPr>
          <w:rFonts w:hint="eastAsia" w:ascii="仿宋" w:hAnsi="仿宋" w:cs="仿宋"/>
          <w:color w:val="000000" w:themeColor="text1"/>
          <w:sz w:val="24"/>
          <w:szCs w:val="24"/>
          <w:lang w:val="en-US" w:eastAsia="zh-CN"/>
          <w14:textFill>
            <w14:solidFill>
              <w14:schemeClr w14:val="tx1"/>
            </w14:solidFill>
          </w14:textFill>
        </w:rPr>
        <w:t>14</w:t>
      </w:r>
      <w:r>
        <w:rPr>
          <w:rFonts w:hint="eastAsia" w:ascii="仿宋" w:hAnsi="仿宋" w:cs="仿宋"/>
          <w:color w:val="000000" w:themeColor="text1"/>
          <w:sz w:val="24"/>
          <w:szCs w:val="24"/>
          <w14:textFill>
            <w14:solidFill>
              <w14:schemeClr w14:val="tx1"/>
            </w14:solidFill>
          </w14:textFill>
        </w:rPr>
        <w:t xml:space="preserve"> 应合理规划绿地布局，提高绿地覆盖率，设置集中绿地、宅旁绿地、道路绿地等多种形式的绿地空间，营造良好的生态环境。</w:t>
      </w:r>
    </w:p>
    <w:p w14:paraId="265A4101">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p>
    <w:p w14:paraId="3388BAD5">
      <w:pPr>
        <w:pStyle w:val="3"/>
        <w:ind w:firstLine="643"/>
        <w:jc w:val="center"/>
        <w:rPr>
          <w:rFonts w:hint="eastAsia"/>
          <w:color w:val="000000" w:themeColor="text1"/>
          <w:sz w:val="24"/>
          <w:szCs w:val="24"/>
          <w14:textFill>
            <w14:solidFill>
              <w14:schemeClr w14:val="tx1"/>
            </w14:solidFill>
          </w14:textFill>
        </w:rPr>
      </w:pPr>
      <w:bookmarkStart w:id="22" w:name="_Toc12889"/>
      <w:r>
        <w:rPr>
          <w:rFonts w:hint="eastAsia"/>
          <w:color w:val="000000" w:themeColor="text1"/>
          <w:sz w:val="24"/>
          <w:szCs w:val="24"/>
          <w14:textFill>
            <w14:solidFill>
              <w14:schemeClr w14:val="tx1"/>
            </w14:solidFill>
          </w14:textFill>
        </w:rPr>
        <w:t>4.4 场地设计</w:t>
      </w:r>
      <w:bookmarkEnd w:id="22"/>
    </w:p>
    <w:p w14:paraId="60F0D4C7">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4.4.1 建筑场地应符合下列规定</w:t>
      </w:r>
      <w:r>
        <w:rPr>
          <w:rFonts w:hint="eastAsia" w:ascii="仿宋" w:hAnsi="仿宋" w:cs="仿宋"/>
          <w:color w:val="000000" w:themeColor="text1"/>
          <w:sz w:val="24"/>
          <w:szCs w:val="24"/>
          <w:lang w:eastAsia="zh-CN"/>
          <w14:textFill>
            <w14:solidFill>
              <w14:schemeClr w14:val="tx1"/>
            </w14:solidFill>
          </w14:textFill>
        </w:rPr>
        <w:t>：</w:t>
      </w:r>
    </w:p>
    <w:p w14:paraId="2B09595C">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 xml:space="preserve">1 </w:t>
      </w:r>
      <w:r>
        <w:rPr>
          <w:rFonts w:hint="eastAsia" w:ascii="仿宋" w:hAnsi="仿宋" w:cs="仿宋"/>
          <w:color w:val="000000" w:themeColor="text1"/>
          <w:sz w:val="24"/>
          <w:szCs w:val="24"/>
          <w14:textFill>
            <w14:solidFill>
              <w14:schemeClr w14:val="tx1"/>
            </w14:solidFill>
          </w14:textFill>
        </w:rPr>
        <w:t>有洪涝威胁的场地应采取可靠的防洪、防内涝措施</w:t>
      </w:r>
      <w:r>
        <w:rPr>
          <w:rFonts w:hint="eastAsia" w:ascii="仿宋" w:hAnsi="仿宋" w:cs="仿宋"/>
          <w:color w:val="000000" w:themeColor="text1"/>
          <w:sz w:val="24"/>
          <w:szCs w:val="24"/>
          <w:lang w:eastAsia="zh-CN"/>
          <w14:textFill>
            <w14:solidFill>
              <w14:schemeClr w14:val="tx1"/>
            </w14:solidFill>
          </w14:textFill>
        </w:rPr>
        <w:t>；</w:t>
      </w:r>
    </w:p>
    <w:p w14:paraId="3ABDE2EA">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 xml:space="preserve">2 </w:t>
      </w:r>
      <w:r>
        <w:rPr>
          <w:rFonts w:hint="eastAsia" w:ascii="仿宋" w:hAnsi="仿宋" w:cs="仿宋"/>
          <w:color w:val="000000" w:themeColor="text1"/>
          <w:sz w:val="24"/>
          <w:szCs w:val="24"/>
          <w14:textFill>
            <w14:solidFill>
              <w14:schemeClr w14:val="tx1"/>
            </w14:solidFill>
          </w14:textFill>
        </w:rPr>
        <w:t>当场地标高低于市政道路标高时，应有防止客水进入场地的措施</w:t>
      </w:r>
      <w:r>
        <w:rPr>
          <w:rFonts w:hint="eastAsia" w:ascii="仿宋" w:hAnsi="仿宋" w:cs="仿宋"/>
          <w:color w:val="000000" w:themeColor="text1"/>
          <w:sz w:val="24"/>
          <w:szCs w:val="24"/>
          <w:lang w:eastAsia="zh-CN"/>
          <w14:textFill>
            <w14:solidFill>
              <w14:schemeClr w14:val="tx1"/>
            </w14:solidFill>
          </w14:textFill>
        </w:rPr>
        <w:t>；</w:t>
      </w:r>
    </w:p>
    <w:p w14:paraId="717AE2B0">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 xml:space="preserve">3 </w:t>
      </w:r>
      <w:r>
        <w:rPr>
          <w:rFonts w:hint="eastAsia" w:ascii="仿宋" w:hAnsi="仿宋" w:cs="仿宋"/>
          <w:color w:val="000000" w:themeColor="text1"/>
          <w:sz w:val="24"/>
          <w:szCs w:val="24"/>
          <w14:textFill>
            <w14:solidFill>
              <w14:schemeClr w14:val="tx1"/>
            </w14:solidFill>
          </w14:textFill>
        </w:rPr>
        <w:t>场地设计标高应高于常年最高地下水位。</w:t>
      </w:r>
    </w:p>
    <w:p w14:paraId="02E70D77">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4.4.2 </w:t>
      </w:r>
      <w:r>
        <w:rPr>
          <w:color w:val="000000" w:themeColor="text1"/>
          <w:spacing w:val="3"/>
          <w:sz w:val="24"/>
          <w:szCs w:val="21"/>
          <w14:textFill>
            <w14:solidFill>
              <w14:schemeClr w14:val="tx1"/>
            </w14:solidFill>
          </w14:textFill>
        </w:rPr>
        <w:t>住区规划应满足海绵城市设计规范相关要</w:t>
      </w:r>
      <w:r>
        <w:rPr>
          <w:color w:val="000000" w:themeColor="text1"/>
          <w:spacing w:val="2"/>
          <w:sz w:val="24"/>
          <w:szCs w:val="21"/>
          <w14:textFill>
            <w14:solidFill>
              <w14:schemeClr w14:val="tx1"/>
            </w14:solidFill>
          </w14:textFill>
        </w:rPr>
        <w:t>求，</w:t>
      </w:r>
      <w:r>
        <w:rPr>
          <w:color w:val="000000" w:themeColor="text1"/>
          <w:spacing w:val="3"/>
          <w:sz w:val="24"/>
          <w:szCs w:val="21"/>
          <w14:textFill>
            <w14:solidFill>
              <w14:schemeClr w14:val="tx1"/>
            </w14:solidFill>
          </w14:textFill>
        </w:rPr>
        <w:t>设置雨水花园、下凹式绿地、生态滞留池等设施</w:t>
      </w:r>
      <w:r>
        <w:rPr>
          <w:color w:val="000000" w:themeColor="text1"/>
          <w:spacing w:val="-1"/>
          <w:sz w:val="24"/>
          <w:szCs w:val="21"/>
          <w14:textFill>
            <w14:solidFill>
              <w14:schemeClr w14:val="tx1"/>
            </w14:solidFill>
          </w14:textFill>
        </w:rPr>
        <w:t>。</w:t>
      </w:r>
    </w:p>
    <w:p w14:paraId="1C9BBDA2">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4.4.3 </w:t>
      </w:r>
      <w:r>
        <w:rPr>
          <w:color w:val="000000" w:themeColor="text1"/>
          <w:spacing w:val="3"/>
          <w:sz w:val="24"/>
          <w:szCs w:val="21"/>
          <w14:textFill>
            <w14:solidFill>
              <w14:schemeClr w14:val="tx1"/>
            </w14:solidFill>
          </w14:textFill>
        </w:rPr>
        <w:t>住区紧邻城市道路时</w:t>
      </w:r>
      <w:r>
        <w:rPr>
          <w:rFonts w:hint="eastAsia"/>
          <w:color w:val="000000" w:themeColor="text1"/>
          <w:spacing w:val="3"/>
          <w:sz w:val="24"/>
          <w:szCs w:val="21"/>
          <w:lang w:val="en-US" w:eastAsia="zh-CN"/>
          <w14:textFill>
            <w14:solidFill>
              <w14:schemeClr w14:val="tx1"/>
            </w14:solidFill>
          </w14:textFill>
        </w:rPr>
        <w:t>应</w:t>
      </w:r>
      <w:r>
        <w:rPr>
          <w:color w:val="000000" w:themeColor="text1"/>
          <w:spacing w:val="3"/>
          <w:sz w:val="24"/>
          <w:szCs w:val="21"/>
          <w14:textFill>
            <w14:solidFill>
              <w14:schemeClr w14:val="tx1"/>
            </w14:solidFill>
          </w14:textFill>
        </w:rPr>
        <w:t>采取绿植防护等综合措施减少噪声对住区内</w:t>
      </w:r>
      <w:r>
        <w:rPr>
          <w:color w:val="000000" w:themeColor="text1"/>
          <w:spacing w:val="-1"/>
          <w:sz w:val="24"/>
          <w:szCs w:val="21"/>
          <w14:textFill>
            <w14:solidFill>
              <w14:schemeClr w14:val="tx1"/>
            </w14:solidFill>
          </w14:textFill>
        </w:rPr>
        <w:t>部的干扰，住区内部</w:t>
      </w:r>
      <w:r>
        <w:rPr>
          <w:rFonts w:hint="eastAsia"/>
          <w:color w:val="000000" w:themeColor="text1"/>
          <w:spacing w:val="3"/>
          <w:sz w:val="24"/>
          <w:szCs w:val="21"/>
          <w:lang w:val="en-US" w:eastAsia="zh-CN"/>
          <w14:textFill>
            <w14:solidFill>
              <w14:schemeClr w14:val="tx1"/>
            </w14:solidFill>
          </w14:textFill>
        </w:rPr>
        <w:t>应</w:t>
      </w:r>
      <w:r>
        <w:rPr>
          <w:color w:val="000000" w:themeColor="text1"/>
          <w:spacing w:val="-1"/>
          <w:sz w:val="24"/>
          <w:szCs w:val="21"/>
          <w14:textFill>
            <w14:solidFill>
              <w14:schemeClr w14:val="tx1"/>
            </w14:solidFill>
          </w14:textFill>
        </w:rPr>
        <w:t>采用稳静化交通措施，保</w:t>
      </w:r>
      <w:r>
        <w:rPr>
          <w:rFonts w:hint="eastAsia" w:ascii="仿宋" w:hAnsi="仿宋" w:cs="仿宋"/>
          <w:color w:val="000000" w:themeColor="text1"/>
          <w:sz w:val="24"/>
          <w:szCs w:val="24"/>
          <w14:textFill>
            <w14:solidFill>
              <w14:schemeClr w14:val="tx1"/>
            </w14:solidFill>
          </w14:textFill>
        </w:rPr>
        <w:t>障居住环境安静宜居。</w:t>
      </w:r>
    </w:p>
    <w:p w14:paraId="28D1B658">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4.4.4 绿地应合理选择种植方式，做到四季</w:t>
      </w:r>
      <w:r>
        <w:rPr>
          <w:rFonts w:hint="eastAsia" w:ascii="仿宋" w:hAnsi="仿宋" w:cs="仿宋"/>
          <w:color w:val="000000" w:themeColor="text1"/>
          <w:sz w:val="24"/>
          <w:szCs w:val="24"/>
          <w:lang w:val="en-US" w:eastAsia="zh-CN"/>
          <w14:textFill>
            <w14:solidFill>
              <w14:schemeClr w14:val="tx1"/>
            </w14:solidFill>
          </w14:textFill>
        </w:rPr>
        <w:t>有景</w:t>
      </w:r>
      <w:r>
        <w:rPr>
          <w:rFonts w:hint="eastAsia" w:ascii="仿宋" w:hAnsi="仿宋" w:cs="仿宋"/>
          <w:color w:val="000000" w:themeColor="text1"/>
          <w:sz w:val="24"/>
          <w:szCs w:val="24"/>
          <w14:textFill>
            <w14:solidFill>
              <w14:schemeClr w14:val="tx1"/>
            </w14:solidFill>
          </w14:textFill>
        </w:rPr>
        <w:t>。植物配置应满足以下要求：</w:t>
      </w:r>
    </w:p>
    <w:p w14:paraId="494A7A24">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1种植应适应当地气候和土壤，且应无毒害、易维护，种植区域覆土深度和排水能力应满足植物生长需求；</w:t>
      </w:r>
    </w:p>
    <w:p w14:paraId="5914EEC7">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 苗木搭配应考虑对低层住户的采光、视野的影响，做到错落有致，保证住户景观视野的通透性。</w:t>
      </w:r>
    </w:p>
    <w:p w14:paraId="049B0828">
      <w:pPr>
        <w:snapToGrid w:val="0"/>
        <w:spacing w:line="360" w:lineRule="auto"/>
        <w:ind w:firstLine="0" w:firstLineChars="0"/>
        <w:rPr>
          <w:color w:val="000000" w:themeColor="text1"/>
          <w:spacing w:val="-2"/>
          <w:sz w:val="24"/>
          <w:szCs w:val="21"/>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4.4.5 </w:t>
      </w:r>
      <w:r>
        <w:rPr>
          <w:color w:val="000000" w:themeColor="text1"/>
          <w:spacing w:val="-1"/>
          <w:sz w:val="24"/>
          <w:szCs w:val="21"/>
          <w14:textFill>
            <w14:solidFill>
              <w14:schemeClr w14:val="tx1"/>
            </w14:solidFill>
          </w14:textFill>
        </w:rPr>
        <w:t>住区内室外箱式变电站、室外燃气调压站、出地面管井等室外设备</w:t>
      </w:r>
      <w:r>
        <w:rPr>
          <w:color w:val="000000" w:themeColor="text1"/>
          <w:spacing w:val="3"/>
          <w:sz w:val="24"/>
          <w:szCs w:val="21"/>
          <w14:textFill>
            <w14:solidFill>
              <w14:schemeClr w14:val="tx1"/>
            </w14:solidFill>
          </w14:textFill>
        </w:rPr>
        <w:t>设施</w:t>
      </w:r>
      <w:r>
        <w:rPr>
          <w:rFonts w:hint="eastAsia"/>
          <w:color w:val="000000" w:themeColor="text1"/>
          <w:spacing w:val="3"/>
          <w:sz w:val="24"/>
          <w:szCs w:val="21"/>
          <w:lang w:val="en-US" w:eastAsia="zh-CN"/>
          <w14:textFill>
            <w14:solidFill>
              <w14:schemeClr w14:val="tx1"/>
            </w14:solidFill>
          </w14:textFill>
        </w:rPr>
        <w:t>不应</w:t>
      </w:r>
      <w:r>
        <w:rPr>
          <w:color w:val="000000" w:themeColor="text1"/>
          <w:spacing w:val="3"/>
          <w:sz w:val="24"/>
          <w:szCs w:val="21"/>
          <w14:textFill>
            <w14:solidFill>
              <w14:schemeClr w14:val="tx1"/>
            </w14:solidFill>
          </w14:textFill>
        </w:rPr>
        <w:t>占用住区绿地，并</w:t>
      </w:r>
      <w:r>
        <w:rPr>
          <w:rFonts w:hint="eastAsia"/>
          <w:color w:val="000000" w:themeColor="text1"/>
          <w:spacing w:val="3"/>
          <w:sz w:val="24"/>
          <w:szCs w:val="21"/>
          <w:lang w:val="en-US" w:eastAsia="zh-CN"/>
          <w14:textFill>
            <w14:solidFill>
              <w14:schemeClr w14:val="tx1"/>
            </w14:solidFill>
          </w14:textFill>
        </w:rPr>
        <w:t>应</w:t>
      </w:r>
      <w:r>
        <w:rPr>
          <w:color w:val="000000" w:themeColor="text1"/>
          <w:spacing w:val="3"/>
          <w:sz w:val="24"/>
          <w:szCs w:val="21"/>
          <w14:textFill>
            <w14:solidFill>
              <w14:schemeClr w14:val="tx1"/>
            </w14:solidFill>
          </w14:textFill>
        </w:rPr>
        <w:t>在满足设备正常使用需求与防火要求的前提下</w:t>
      </w:r>
      <w:r>
        <w:rPr>
          <w:color w:val="000000" w:themeColor="text1"/>
          <w:spacing w:val="-2"/>
          <w:sz w:val="24"/>
          <w:szCs w:val="21"/>
          <w14:textFill>
            <w14:solidFill>
              <w14:schemeClr w14:val="tx1"/>
            </w14:solidFill>
          </w14:textFill>
        </w:rPr>
        <w:t>结合景观设计进行遮蔽处理。</w:t>
      </w:r>
    </w:p>
    <w:p w14:paraId="721DAD48">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4.4.6</w:t>
      </w:r>
      <w:r>
        <w:rPr>
          <w:rFonts w:hint="eastAsia"/>
          <w:color w:val="000000" w:themeColor="text1"/>
          <w:spacing w:val="3"/>
          <w:sz w:val="24"/>
          <w:szCs w:val="21"/>
          <w14:textFill>
            <w14:solidFill>
              <w14:schemeClr w14:val="tx1"/>
            </w14:solidFill>
          </w14:textFill>
        </w:rPr>
        <w:t xml:space="preserve"> </w:t>
      </w:r>
      <w:r>
        <w:rPr>
          <w:color w:val="000000" w:themeColor="text1"/>
          <w:spacing w:val="3"/>
          <w:sz w:val="24"/>
          <w:szCs w:val="21"/>
          <w14:textFill>
            <w14:solidFill>
              <w14:schemeClr w14:val="tx1"/>
            </w14:solidFill>
          </w14:textFill>
        </w:rPr>
        <w:t>住区室外活动场地</w:t>
      </w:r>
      <w:r>
        <w:rPr>
          <w:rFonts w:hint="eastAsia"/>
          <w:color w:val="000000" w:themeColor="text1"/>
          <w:spacing w:val="3"/>
          <w:sz w:val="24"/>
          <w:szCs w:val="21"/>
          <w:lang w:val="en-US" w:eastAsia="zh-CN"/>
          <w14:textFill>
            <w14:solidFill>
              <w14:schemeClr w14:val="tx1"/>
            </w14:solidFill>
          </w14:textFill>
        </w:rPr>
        <w:t>应</w:t>
      </w:r>
      <w:r>
        <w:rPr>
          <w:color w:val="000000" w:themeColor="text1"/>
          <w:spacing w:val="3"/>
          <w:sz w:val="24"/>
          <w:szCs w:val="21"/>
          <w14:textFill>
            <w14:solidFill>
              <w14:schemeClr w14:val="tx1"/>
            </w14:solidFill>
          </w14:textFill>
        </w:rPr>
        <w:t>采用防滑、防跌落、防</w:t>
      </w:r>
      <w:r>
        <w:rPr>
          <w:color w:val="000000" w:themeColor="text1"/>
          <w:spacing w:val="2"/>
          <w:sz w:val="24"/>
          <w:szCs w:val="21"/>
          <w14:textFill>
            <w14:solidFill>
              <w14:schemeClr w14:val="tx1"/>
            </w14:solidFill>
          </w14:textFill>
        </w:rPr>
        <w:t>冲撞的安全环保材料，并</w:t>
      </w:r>
      <w:r>
        <w:rPr>
          <w:color w:val="000000" w:themeColor="text1"/>
          <w:spacing w:val="3"/>
          <w:sz w:val="24"/>
          <w:szCs w:val="21"/>
          <w14:textFill>
            <w14:solidFill>
              <w14:schemeClr w14:val="tx1"/>
            </w14:solidFill>
          </w14:textFill>
        </w:rPr>
        <w:t>设置醒目标识，在老年人经常活动的区域，设置紧急求助呼叫按钮并与视</w:t>
      </w:r>
      <w:r>
        <w:rPr>
          <w:color w:val="000000" w:themeColor="text1"/>
          <w:spacing w:val="-2"/>
          <w:sz w:val="24"/>
          <w:szCs w:val="21"/>
          <w14:textFill>
            <w14:solidFill>
              <w14:schemeClr w14:val="tx1"/>
            </w14:solidFill>
          </w14:textFill>
        </w:rPr>
        <w:t>频监控联动。</w:t>
      </w:r>
    </w:p>
    <w:p w14:paraId="25CA3948">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4.4.7 </w:t>
      </w:r>
      <w:r>
        <w:rPr>
          <w:color w:val="000000" w:themeColor="text1"/>
          <w:spacing w:val="3"/>
          <w:sz w:val="24"/>
          <w:szCs w:val="21"/>
          <w14:textFill>
            <w14:solidFill>
              <w14:schemeClr w14:val="tx1"/>
            </w14:solidFill>
          </w14:textFill>
        </w:rPr>
        <w:t>住区人行系统</w:t>
      </w:r>
      <w:r>
        <w:rPr>
          <w:rFonts w:hint="eastAsia"/>
          <w:color w:val="000000" w:themeColor="text1"/>
          <w:spacing w:val="3"/>
          <w:sz w:val="24"/>
          <w:szCs w:val="21"/>
          <w:lang w:val="en-US" w:eastAsia="zh-CN"/>
          <w14:textFill>
            <w14:solidFill>
              <w14:schemeClr w14:val="tx1"/>
            </w14:solidFill>
          </w14:textFill>
        </w:rPr>
        <w:t>应</w:t>
      </w:r>
      <w:r>
        <w:rPr>
          <w:color w:val="000000" w:themeColor="text1"/>
          <w:spacing w:val="3"/>
          <w:sz w:val="24"/>
          <w:szCs w:val="21"/>
          <w14:textFill>
            <w14:solidFill>
              <w14:schemeClr w14:val="tx1"/>
            </w14:solidFill>
          </w14:textFill>
        </w:rPr>
        <w:t>便捷联系学校、幼儿园等教育配套设施。住区内通学路径宜选择绿化较好、行人较多、环境安全的道路，沿线布置合理的安全监控设施，选用安全的道路铺装材质，满足儿童在连续</w:t>
      </w:r>
      <w:r>
        <w:rPr>
          <w:color w:val="000000" w:themeColor="text1"/>
          <w:spacing w:val="-1"/>
          <w:sz w:val="24"/>
          <w:szCs w:val="21"/>
          <w14:textFill>
            <w14:solidFill>
              <w14:schemeClr w14:val="tx1"/>
            </w14:solidFill>
          </w14:textFill>
        </w:rPr>
        <w:t>线性安全空间的步行与活动需求。</w:t>
      </w:r>
    </w:p>
    <w:p w14:paraId="5F39FBF9">
      <w:pPr>
        <w:snapToGrid w:val="0"/>
        <w:spacing w:line="360" w:lineRule="auto"/>
        <w:ind w:firstLine="0" w:firstLineChars="0"/>
        <w:rPr>
          <w:rFonts w:hint="eastAsia"/>
          <w:color w:val="000000" w:themeColor="text1"/>
          <w:spacing w:val="-2"/>
          <w:sz w:val="24"/>
          <w:szCs w:val="21"/>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4.4.8 </w:t>
      </w:r>
      <w:r>
        <w:rPr>
          <w:color w:val="000000" w:themeColor="text1"/>
          <w:spacing w:val="3"/>
          <w:sz w:val="24"/>
          <w:szCs w:val="21"/>
          <w14:textFill>
            <w14:solidFill>
              <w14:schemeClr w14:val="tx1"/>
            </w14:solidFill>
          </w14:textFill>
        </w:rPr>
        <w:t>住区内的景观小品，包括亭、台</w:t>
      </w:r>
      <w:r>
        <w:rPr>
          <w:color w:val="000000" w:themeColor="text1"/>
          <w:spacing w:val="2"/>
          <w:sz w:val="24"/>
          <w:szCs w:val="21"/>
          <w14:textFill>
            <w14:solidFill>
              <w14:schemeClr w14:val="tx1"/>
            </w14:solidFill>
          </w14:textFill>
        </w:rPr>
        <w:t>、廊、榭、花架等园林休憩设施，</w:t>
      </w:r>
      <w:r>
        <w:rPr>
          <w:color w:val="000000" w:themeColor="text1"/>
          <w:spacing w:val="3"/>
          <w:sz w:val="24"/>
          <w:szCs w:val="21"/>
          <w14:textFill>
            <w14:solidFill>
              <w14:schemeClr w14:val="tx1"/>
            </w14:solidFill>
          </w14:textFill>
        </w:rPr>
        <w:t>宜设置轮椅坡道和引导标识。景观路及广场内休息座椅旁</w:t>
      </w:r>
      <w:r>
        <w:rPr>
          <w:rFonts w:hint="eastAsia"/>
          <w:color w:val="000000" w:themeColor="text1"/>
          <w:spacing w:val="3"/>
          <w:sz w:val="24"/>
          <w:szCs w:val="21"/>
          <w:lang w:val="en-US" w:eastAsia="zh-CN"/>
          <w14:textFill>
            <w14:solidFill>
              <w14:schemeClr w14:val="tx1"/>
            </w14:solidFill>
          </w14:textFill>
        </w:rPr>
        <w:t>应</w:t>
      </w:r>
      <w:r>
        <w:rPr>
          <w:color w:val="000000" w:themeColor="text1"/>
          <w:spacing w:val="3"/>
          <w:sz w:val="24"/>
          <w:szCs w:val="21"/>
          <w14:textFill>
            <w14:solidFill>
              <w14:schemeClr w14:val="tx1"/>
            </w14:solidFill>
          </w14:textFill>
        </w:rPr>
        <w:t>设置轮椅停留空间，有条件的宜增设供老年人休闲交</w:t>
      </w:r>
      <w:r>
        <w:rPr>
          <w:color w:val="000000" w:themeColor="text1"/>
          <w:spacing w:val="-2"/>
          <w:sz w:val="24"/>
          <w:szCs w:val="21"/>
          <w14:textFill>
            <w14:solidFill>
              <w14:schemeClr w14:val="tx1"/>
            </w14:solidFill>
          </w14:textFill>
        </w:rPr>
        <w:t>流的园林休憩设施。</w:t>
      </w:r>
    </w:p>
    <w:p w14:paraId="44EF53C6">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br w:type="page"/>
      </w:r>
    </w:p>
    <w:p w14:paraId="024EABD8">
      <w:pPr>
        <w:pStyle w:val="2"/>
        <w:ind w:firstLine="643"/>
        <w:jc w:val="center"/>
        <w:rPr>
          <w:rFonts w:hint="eastAsia" w:ascii="仿宋" w:hAnsi="仿宋" w:cs="仿宋"/>
          <w:b/>
          <w:bCs/>
          <w:color w:val="000000" w:themeColor="text1"/>
          <w:sz w:val="24"/>
          <w:szCs w:val="24"/>
          <w14:textFill>
            <w14:solidFill>
              <w14:schemeClr w14:val="tx1"/>
            </w14:solidFill>
          </w14:textFill>
        </w:rPr>
      </w:pPr>
      <w:bookmarkStart w:id="23" w:name="_Toc10481"/>
      <w:bookmarkStart w:id="24" w:name="_Toc9926"/>
      <w:bookmarkStart w:id="25" w:name="_Toc32214"/>
      <w:r>
        <w:rPr>
          <w:rFonts w:hint="eastAsia" w:ascii="黑体" w:hAnsi="黑体" w:eastAsia="黑体" w:cs="黑体"/>
          <w:color w:val="000000" w:themeColor="text1"/>
          <w:sz w:val="24"/>
          <w:szCs w:val="24"/>
          <w14:textFill>
            <w14:solidFill>
              <w14:schemeClr w14:val="tx1"/>
            </w14:solidFill>
          </w14:textFill>
        </w:rPr>
        <w:t>5 设 计</w:t>
      </w:r>
      <w:bookmarkEnd w:id="23"/>
      <w:bookmarkEnd w:id="24"/>
      <w:bookmarkEnd w:id="25"/>
    </w:p>
    <w:p w14:paraId="0E74C378">
      <w:pPr>
        <w:pStyle w:val="3"/>
        <w:ind w:firstLine="643"/>
        <w:jc w:val="center"/>
        <w:rPr>
          <w:rFonts w:hint="eastAsia"/>
          <w:color w:val="000000" w:themeColor="text1"/>
          <w:sz w:val="24"/>
          <w:szCs w:val="24"/>
          <w14:textFill>
            <w14:solidFill>
              <w14:schemeClr w14:val="tx1"/>
            </w14:solidFill>
          </w14:textFill>
        </w:rPr>
      </w:pPr>
      <w:bookmarkStart w:id="26" w:name="_Toc22915"/>
      <w:r>
        <w:rPr>
          <w:rFonts w:hint="eastAsia"/>
          <w:color w:val="000000" w:themeColor="text1"/>
          <w:sz w:val="24"/>
          <w:szCs w:val="24"/>
          <w14:textFill>
            <w14:solidFill>
              <w14:schemeClr w14:val="tx1"/>
            </w14:solidFill>
          </w14:textFill>
        </w:rPr>
        <w:t>5.1 一般规定</w:t>
      </w:r>
      <w:bookmarkEnd w:id="26"/>
    </w:p>
    <w:p w14:paraId="52F542EF">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5.1.1 </w:t>
      </w:r>
      <w:r>
        <w:rPr>
          <w:rFonts w:ascii="仿宋" w:hAnsi="仿宋" w:cs="仿宋"/>
          <w:color w:val="000000" w:themeColor="text1"/>
          <w:sz w:val="24"/>
          <w:szCs w:val="24"/>
          <w14:textFill>
            <w14:solidFill>
              <w14:schemeClr w14:val="tx1"/>
            </w14:solidFill>
          </w14:textFill>
        </w:rPr>
        <w:t>建筑设计应以满足居住功能为核心，注重空间布局的合理性与灵活性，同时兼顾建筑外观的美观性与整体性，使其与周边环境相协调，体现人性化和艺术性。</w:t>
      </w:r>
    </w:p>
    <w:p w14:paraId="7AEDDF48">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5.1.2 </w:t>
      </w:r>
      <w:r>
        <w:rPr>
          <w:rFonts w:ascii="仿宋" w:hAnsi="仿宋" w:cs="仿宋"/>
          <w:color w:val="000000" w:themeColor="text1"/>
          <w:sz w:val="24"/>
          <w:szCs w:val="24"/>
          <w14:textFill>
            <w14:solidFill>
              <w14:schemeClr w14:val="tx1"/>
            </w14:solidFill>
          </w14:textFill>
        </w:rPr>
        <w:t>建筑设计应</w:t>
      </w:r>
      <w:r>
        <w:rPr>
          <w:rFonts w:hint="eastAsia" w:ascii="仿宋" w:hAnsi="仿宋" w:cs="仿宋"/>
          <w:color w:val="000000" w:themeColor="text1"/>
          <w:sz w:val="24"/>
          <w:szCs w:val="24"/>
          <w14:textFill>
            <w14:solidFill>
              <w14:schemeClr w14:val="tx1"/>
            </w14:solidFill>
          </w14:textFill>
        </w:rPr>
        <w:t>形体规整、模块化、标准化。</w:t>
      </w:r>
    </w:p>
    <w:p w14:paraId="7510FE2B">
      <w:pPr>
        <w:snapToGrid w:val="0"/>
        <w:spacing w:line="360" w:lineRule="auto"/>
        <w:ind w:firstLine="0" w:firstLineChars="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5.1.3 </w:t>
      </w:r>
      <w:r>
        <w:rPr>
          <w:rFonts w:hint="eastAsia" w:ascii="仿宋" w:hAnsi="仿宋" w:cs="仿宋"/>
          <w:color w:val="000000" w:themeColor="text1"/>
          <w:sz w:val="24"/>
          <w:szCs w:val="24"/>
          <w:lang w:val="en-US" w:eastAsia="zh-CN"/>
          <w14:textFill>
            <w14:solidFill>
              <w14:schemeClr w14:val="tx1"/>
            </w14:solidFill>
          </w14:textFill>
        </w:rPr>
        <w:t>住宅应</w:t>
      </w:r>
      <w:r>
        <w:rPr>
          <w:rFonts w:hint="eastAsia" w:ascii="仿宋" w:hAnsi="仿宋" w:cs="仿宋"/>
          <w:color w:val="000000" w:themeColor="text1"/>
          <w:sz w:val="24"/>
          <w:szCs w:val="24"/>
          <w14:textFill>
            <w14:solidFill>
              <w14:schemeClr w14:val="tx1"/>
            </w14:solidFill>
          </w14:textFill>
        </w:rPr>
        <w:t>确保建筑的安全性和耐久性，满足抗震要求，同时优化结构选型和材料使用，实现结构的经济性和合理性</w:t>
      </w:r>
      <w:r>
        <w:rPr>
          <w:rFonts w:hint="eastAsia" w:ascii="仿宋" w:hAnsi="仿宋" w:cs="仿宋"/>
          <w:color w:val="000000" w:themeColor="text1"/>
          <w:sz w:val="24"/>
          <w:szCs w:val="24"/>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减少</w:t>
      </w:r>
      <w:r>
        <w:rPr>
          <w:rFonts w:hint="eastAsia" w:ascii="仿宋" w:hAnsi="仿宋" w:cs="仿宋"/>
          <w:color w:val="000000" w:themeColor="text1"/>
          <w:sz w:val="24"/>
          <w:szCs w:val="24"/>
          <w:lang w:eastAsia="zh-CN"/>
          <w14:textFill>
            <w14:solidFill>
              <w14:schemeClr w14:val="tx1"/>
            </w14:solidFill>
          </w14:textFill>
        </w:rPr>
        <w:t>浪费</w:t>
      </w:r>
      <w:r>
        <w:rPr>
          <w:rFonts w:hint="eastAsia" w:ascii="仿宋" w:hAnsi="仿宋" w:cs="仿宋"/>
          <w:color w:val="000000" w:themeColor="text1"/>
          <w:sz w:val="24"/>
          <w:szCs w:val="24"/>
          <w14:textFill>
            <w14:solidFill>
              <w14:schemeClr w14:val="tx1"/>
            </w14:solidFill>
          </w14:textFill>
        </w:rPr>
        <w:t>。</w:t>
      </w:r>
    </w:p>
    <w:p w14:paraId="35D2DC93">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5.1.4 </w:t>
      </w:r>
      <w:r>
        <w:rPr>
          <w:rFonts w:hint="eastAsia" w:ascii="仿宋" w:hAnsi="仿宋" w:cs="仿宋"/>
          <w:color w:val="000000" w:themeColor="text1"/>
          <w:sz w:val="24"/>
          <w:szCs w:val="24"/>
          <w:lang w:val="en-US" w:eastAsia="zh-CN"/>
          <w14:textFill>
            <w14:solidFill>
              <w14:schemeClr w14:val="tx1"/>
            </w14:solidFill>
          </w14:textFill>
        </w:rPr>
        <w:t>住宅应</w:t>
      </w:r>
      <w:r>
        <w:rPr>
          <w:rFonts w:hint="eastAsia" w:ascii="仿宋" w:hAnsi="仿宋" w:cs="仿宋"/>
          <w:color w:val="000000" w:themeColor="text1"/>
          <w:sz w:val="24"/>
          <w:szCs w:val="24"/>
          <w14:textFill>
            <w14:solidFill>
              <w14:schemeClr w14:val="tx1"/>
            </w14:solidFill>
          </w14:textFill>
        </w:rPr>
        <w:t>选用高效、节能的设备系统，同时优先利用可再生能源，以降低能耗，减少运营成本。</w:t>
      </w:r>
    </w:p>
    <w:p w14:paraId="5AAEC018">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5.1.5 智能化设计应兼顾便捷性和安全性，实现智能家居、智能安防、智能物业管理等功能的集成。</w:t>
      </w:r>
    </w:p>
    <w:p w14:paraId="40F63D7D">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5.1.6 装修应采用绿色建筑材料，优化自然采光与通风，减少对环境的影响，同时创造健康、舒适的居住环境，满足可持续发展的要求。</w:t>
      </w:r>
    </w:p>
    <w:p w14:paraId="0F30266B">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5.1.7 住宅套内</w:t>
      </w:r>
      <w:r>
        <w:rPr>
          <w:rFonts w:hint="eastAsia" w:ascii="仿宋" w:hAnsi="仿宋" w:cs="仿宋"/>
          <w:color w:val="000000" w:themeColor="text1"/>
          <w:sz w:val="24"/>
          <w:szCs w:val="24"/>
          <w14:textFill>
            <w14:solidFill>
              <w14:schemeClr w14:val="tx1"/>
            </w14:solidFill>
          </w14:textFill>
        </w:rPr>
        <w:t>应预留足够的水电点位和智能接口，以满足住房空间的多样化配置，适应不同时间和场合的使用需求。</w:t>
      </w:r>
    </w:p>
    <w:p w14:paraId="1210E70E">
      <w:pPr>
        <w:snapToGrid w:val="0"/>
        <w:spacing w:line="360" w:lineRule="auto"/>
        <w:ind w:firstLine="0" w:firstLineChars="0"/>
        <w:rPr>
          <w:rFonts w:ascii="仿宋" w:hAnsi="仿宋" w:cs="仿宋"/>
          <w:color w:val="000000" w:themeColor="text1"/>
          <w:sz w:val="24"/>
          <w:szCs w:val="24"/>
          <w14:textFill>
            <w14:solidFill>
              <w14:schemeClr w14:val="tx1"/>
            </w14:solidFill>
          </w14:textFill>
        </w:rPr>
      </w:pPr>
    </w:p>
    <w:p w14:paraId="3A189A02">
      <w:pPr>
        <w:pStyle w:val="3"/>
        <w:ind w:firstLine="643"/>
        <w:jc w:val="center"/>
        <w:rPr>
          <w:rFonts w:hint="eastAsia"/>
          <w:color w:val="000000" w:themeColor="text1"/>
          <w:sz w:val="24"/>
          <w:szCs w:val="24"/>
          <w14:textFill>
            <w14:solidFill>
              <w14:schemeClr w14:val="tx1"/>
            </w14:solidFill>
          </w14:textFill>
        </w:rPr>
      </w:pPr>
      <w:bookmarkStart w:id="27" w:name="_Toc11199"/>
      <w:r>
        <w:rPr>
          <w:rFonts w:hint="eastAsia"/>
          <w:color w:val="000000" w:themeColor="text1"/>
          <w:sz w:val="24"/>
          <w:szCs w:val="24"/>
          <w14:textFill>
            <w14:solidFill>
              <w14:schemeClr w14:val="tx1"/>
            </w14:solidFill>
          </w14:textFill>
        </w:rPr>
        <w:t>5.2 建筑设计</w:t>
      </w:r>
      <w:bookmarkEnd w:id="27"/>
    </w:p>
    <w:p w14:paraId="4CAA17CA">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5.2.1 住宅套型应功能齐全，布局合理，满足居住者多样化的生活需求，如增加收纳空间、设置玄关、优化厨房和卫生间布局等。</w:t>
      </w:r>
    </w:p>
    <w:p w14:paraId="525D72CB">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5.2.2 住宅层高不应小于3</w:t>
      </w:r>
      <w:r>
        <w:rPr>
          <w:rFonts w:hint="eastAsia" w:ascii="仿宋" w:hAnsi="仿宋" w:cs="仿宋"/>
          <w:color w:val="000000" w:themeColor="text1"/>
          <w:sz w:val="24"/>
          <w:szCs w:val="24"/>
          <w:lang w:eastAsia="zh-CN"/>
          <w14:textFill>
            <w14:solidFill>
              <w14:schemeClr w14:val="tx1"/>
            </w14:solidFill>
          </w14:textFill>
        </w:rPr>
        <w:t>m</w:t>
      </w:r>
      <w:r>
        <w:rPr>
          <w:rFonts w:hint="eastAsia" w:ascii="仿宋" w:hAnsi="仿宋" w:cs="仿宋"/>
          <w:color w:val="000000" w:themeColor="text1"/>
          <w:sz w:val="24"/>
          <w:szCs w:val="24"/>
          <w14:textFill>
            <w14:solidFill>
              <w14:schemeClr w14:val="tx1"/>
            </w14:solidFill>
          </w14:textFill>
        </w:rPr>
        <w:t>，</w:t>
      </w:r>
      <w:r>
        <w:rPr>
          <w:rFonts w:hint="eastAsia" w:ascii="仿宋" w:hAnsi="仿宋" w:cs="仿宋"/>
          <w:color w:val="000000" w:themeColor="text1"/>
          <w:sz w:val="24"/>
          <w:szCs w:val="24"/>
          <w:lang w:val="en-US" w:eastAsia="zh-CN"/>
          <w14:textFill>
            <w14:solidFill>
              <w14:schemeClr w14:val="tx1"/>
            </w14:solidFill>
          </w14:textFill>
        </w:rPr>
        <w:t>设有户式中央空调系统时层高不应小于3.15m，</w:t>
      </w:r>
      <w:r>
        <w:rPr>
          <w:rFonts w:hint="eastAsia" w:ascii="仿宋" w:hAnsi="仿宋" w:cs="仿宋"/>
          <w:color w:val="000000" w:themeColor="text1"/>
          <w:sz w:val="24"/>
          <w:szCs w:val="24"/>
          <w14:textFill>
            <w14:solidFill>
              <w14:schemeClr w14:val="tx1"/>
            </w14:solidFill>
          </w14:textFill>
        </w:rPr>
        <w:t>利用坡屋顶内空间做卧室、起居厅时，至少有1/2的室内净高不应低于2.5</w:t>
      </w:r>
      <w:r>
        <w:rPr>
          <w:rFonts w:hint="eastAsia" w:ascii="仿宋" w:hAnsi="仿宋" w:cs="仿宋"/>
          <w:color w:val="000000" w:themeColor="text1"/>
          <w:sz w:val="24"/>
          <w:szCs w:val="24"/>
          <w:lang w:eastAsia="zh-CN"/>
          <w14:textFill>
            <w14:solidFill>
              <w14:schemeClr w14:val="tx1"/>
            </w14:solidFill>
          </w14:textFill>
        </w:rPr>
        <w:t>m</w:t>
      </w:r>
      <w:r>
        <w:rPr>
          <w:rFonts w:hint="eastAsia" w:ascii="仿宋" w:hAnsi="仿宋" w:cs="仿宋"/>
          <w:color w:val="000000" w:themeColor="text1"/>
          <w:sz w:val="24"/>
          <w:szCs w:val="24"/>
          <w14:textFill>
            <w14:solidFill>
              <w14:schemeClr w14:val="tx1"/>
            </w14:solidFill>
          </w14:textFill>
        </w:rPr>
        <w:t>。</w:t>
      </w:r>
    </w:p>
    <w:p w14:paraId="7DEB9B18">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5.2.3 住宅套型宜避免深凹口设计，凹口内不宜设置起居室（厅）、卧室等主要房间。设置起居室（厅）、卧室的凹口尺寸应符合下述规定：</w:t>
      </w:r>
    </w:p>
    <w:p w14:paraId="1252CB2D">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 凹口净宽不应小于1.5</w:t>
      </w:r>
      <w:r>
        <w:rPr>
          <w:rFonts w:hint="eastAsia" w:ascii="仿宋" w:hAnsi="仿宋" w:cs="仿宋"/>
          <w:color w:val="000000" w:themeColor="text1"/>
          <w:sz w:val="24"/>
          <w:szCs w:val="24"/>
          <w:lang w:val="en-US" w:eastAsia="zh-CN"/>
          <w14:textFill>
            <w14:solidFill>
              <w14:schemeClr w14:val="tx1"/>
            </w14:solidFill>
          </w14:textFill>
        </w:rPr>
        <w:t>m</w:t>
      </w:r>
      <w:r>
        <w:rPr>
          <w:rFonts w:hint="eastAsia" w:ascii="仿宋" w:hAnsi="仿宋" w:cs="仿宋"/>
          <w:color w:val="000000" w:themeColor="text1"/>
          <w:sz w:val="24"/>
          <w:szCs w:val="24"/>
          <w14:textFill>
            <w14:solidFill>
              <w14:schemeClr w14:val="tx1"/>
            </w14:solidFill>
          </w14:textFill>
        </w:rPr>
        <w:t>；</w:t>
      </w:r>
    </w:p>
    <w:p w14:paraId="3E96D4F2">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 凹口净宽与净深之比不应小于1:2；</w:t>
      </w:r>
    </w:p>
    <w:p w14:paraId="53991BE7">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 凹口净宽小于1.8</w:t>
      </w:r>
      <w:r>
        <w:rPr>
          <w:rFonts w:hint="eastAsia" w:ascii="仿宋" w:hAnsi="仿宋" w:cs="仿宋"/>
          <w:color w:val="000000" w:themeColor="text1"/>
          <w:sz w:val="24"/>
          <w:szCs w:val="24"/>
          <w:lang w:val="en-US" w:eastAsia="zh-CN"/>
          <w14:textFill>
            <w14:solidFill>
              <w14:schemeClr w14:val="tx1"/>
            </w14:solidFill>
          </w14:textFill>
        </w:rPr>
        <w:t>m</w:t>
      </w:r>
      <w:r>
        <w:rPr>
          <w:rFonts w:hint="eastAsia" w:ascii="仿宋" w:hAnsi="仿宋" w:cs="仿宋"/>
          <w:color w:val="000000" w:themeColor="text1"/>
          <w:sz w:val="24"/>
          <w:szCs w:val="24"/>
          <w14:textFill>
            <w14:solidFill>
              <w14:schemeClr w14:val="tx1"/>
            </w14:solidFill>
          </w14:textFill>
        </w:rPr>
        <w:t>时，应设置防盗窗或采取防攀爬措施。</w:t>
      </w:r>
    </w:p>
    <w:p w14:paraId="614133A4">
      <w:pPr>
        <w:snapToGrid w:val="0"/>
        <w:spacing w:line="360" w:lineRule="auto"/>
        <w:ind w:firstLine="0" w:firstLineChars="0"/>
        <w:rPr>
          <w:color w:val="000000" w:themeColor="text1"/>
          <w:spacing w:val="4"/>
          <w:sz w:val="24"/>
          <w:szCs w:val="21"/>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5.2.4 住宅</w:t>
      </w:r>
      <w:r>
        <w:rPr>
          <w:color w:val="000000" w:themeColor="text1"/>
          <w:spacing w:val="4"/>
          <w:sz w:val="24"/>
          <w:szCs w:val="21"/>
          <w14:textFill>
            <w14:solidFill>
              <w14:schemeClr w14:val="tx1"/>
            </w14:solidFill>
          </w14:textFill>
        </w:rPr>
        <w:t>套型入口</w:t>
      </w:r>
      <w:r>
        <w:rPr>
          <w:rFonts w:hint="eastAsia"/>
          <w:color w:val="000000" w:themeColor="text1"/>
          <w:spacing w:val="4"/>
          <w:sz w:val="24"/>
          <w:szCs w:val="21"/>
          <w14:textFill>
            <w14:solidFill>
              <w14:schemeClr w14:val="tx1"/>
            </w14:solidFill>
          </w14:textFill>
        </w:rPr>
        <w:t>宜</w:t>
      </w:r>
      <w:r>
        <w:rPr>
          <w:color w:val="000000" w:themeColor="text1"/>
          <w:spacing w:val="4"/>
          <w:sz w:val="24"/>
          <w:szCs w:val="21"/>
          <w14:textFill>
            <w14:solidFill>
              <w14:schemeClr w14:val="tx1"/>
            </w14:solidFill>
          </w14:textFill>
        </w:rPr>
        <w:t>设置玄关，玄关空间应满足换鞋、挂衣、放伞、放置随身小物件等收纳功能，同时可作为入户停留进行简单清洁、消毒的空间。</w:t>
      </w:r>
    </w:p>
    <w:p w14:paraId="1C2B9E38">
      <w:pPr>
        <w:snapToGrid w:val="0"/>
        <w:spacing w:line="360" w:lineRule="auto"/>
        <w:ind w:left="0" w:leftChars="0"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 xml:space="preserve">5.2.5 </w:t>
      </w:r>
      <w:r>
        <w:rPr>
          <w:rFonts w:hint="eastAsia" w:ascii="仿宋" w:hAnsi="仿宋" w:cs="仿宋"/>
          <w:color w:val="000000" w:themeColor="text1"/>
          <w:sz w:val="24"/>
          <w:szCs w:val="24"/>
          <w14:textFill>
            <w14:solidFill>
              <w14:schemeClr w14:val="tx1"/>
            </w14:solidFill>
          </w14:textFill>
        </w:rPr>
        <w:t>住宅起居室应满足家庭成员的基本使用和活动需求，起居室内门洞开启应考虑使用功能要求，减少直接开向起居室的门洞数量</w:t>
      </w:r>
      <w:r>
        <w:rPr>
          <w:rFonts w:hint="eastAsia" w:ascii="仿宋" w:hAnsi="仿宋" w:cs="仿宋"/>
          <w:color w:val="000000" w:themeColor="text1"/>
          <w:sz w:val="24"/>
          <w:szCs w:val="24"/>
          <w:lang w:eastAsia="zh-CN"/>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起居室至少一侧的墙面直线长度不宜小于3.0</w:t>
      </w:r>
      <w:r>
        <w:rPr>
          <w:rFonts w:hint="eastAsia" w:ascii="仿宋" w:hAnsi="仿宋" w:cs="仿宋"/>
          <w:color w:val="000000" w:themeColor="text1"/>
          <w:sz w:val="24"/>
          <w:szCs w:val="24"/>
          <w:lang w:val="en-US" w:eastAsia="zh-CN"/>
          <w14:textFill>
            <w14:solidFill>
              <w14:schemeClr w14:val="tx1"/>
            </w14:solidFill>
          </w14:textFill>
        </w:rPr>
        <w:t>0</w:t>
      </w:r>
      <w:r>
        <w:rPr>
          <w:rFonts w:hint="eastAsia" w:ascii="仿宋" w:hAnsi="仿宋" w:cs="仿宋"/>
          <w:color w:val="000000" w:themeColor="text1"/>
          <w:sz w:val="24"/>
          <w:szCs w:val="24"/>
          <w14:textFill>
            <w14:solidFill>
              <w14:schemeClr w14:val="tx1"/>
            </w14:solidFill>
          </w14:textFill>
        </w:rPr>
        <w:t>m</w:t>
      </w:r>
      <w:r>
        <w:rPr>
          <w:rFonts w:hint="eastAsia" w:ascii="仿宋" w:hAnsi="仿宋" w:cs="仿宋"/>
          <w:color w:val="000000" w:themeColor="text1"/>
          <w:sz w:val="24"/>
          <w:szCs w:val="24"/>
          <w:lang w:val="en-US" w:eastAsia="zh-CN"/>
          <w14:textFill>
            <w14:solidFill>
              <w14:schemeClr w14:val="tx1"/>
            </w14:solidFill>
          </w14:textFill>
        </w:rPr>
        <w:t>以利于摆放家具；</w:t>
      </w:r>
      <w:r>
        <w:rPr>
          <w:rFonts w:hint="eastAsia" w:ascii="仿宋" w:hAnsi="仿宋" w:cs="仿宋"/>
          <w:color w:val="000000" w:themeColor="text1"/>
          <w:sz w:val="24"/>
          <w:szCs w:val="24"/>
          <w14:textFill>
            <w14:solidFill>
              <w14:schemeClr w14:val="tx1"/>
            </w14:solidFill>
          </w14:textFill>
        </w:rPr>
        <w:t>起居室空间宜与餐厅、书房等空间整体设计，鼓励形成</w:t>
      </w:r>
      <w:r>
        <w:rPr>
          <w:rFonts w:hint="eastAsia" w:ascii="仿宋" w:hAnsi="仿宋" w:cs="仿宋"/>
          <w:color w:val="000000" w:themeColor="text1"/>
          <w:sz w:val="24"/>
          <w:szCs w:val="24"/>
          <w:lang w:val="en-US" w:eastAsia="zh-CN"/>
          <w14:textFill>
            <w14:solidFill>
              <w14:schemeClr w14:val="tx1"/>
            </w14:solidFill>
          </w14:textFill>
        </w:rPr>
        <w:t>灵活可变的</w:t>
      </w:r>
      <w:r>
        <w:rPr>
          <w:rFonts w:hint="eastAsia" w:ascii="仿宋" w:hAnsi="仿宋" w:cs="仿宋"/>
          <w:color w:val="000000" w:themeColor="text1"/>
          <w:sz w:val="24"/>
          <w:szCs w:val="24"/>
          <w14:textFill>
            <w14:solidFill>
              <w14:schemeClr w14:val="tx1"/>
            </w14:solidFill>
          </w14:textFill>
        </w:rPr>
        <w:t>大空间。</w:t>
      </w:r>
    </w:p>
    <w:p w14:paraId="107C2C07">
      <w:pPr>
        <w:snapToGrid w:val="0"/>
        <w:spacing w:line="360" w:lineRule="auto"/>
        <w:ind w:left="0" w:leftChars="0"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5.2.6 住宅卧室应符合下列规定：</w:t>
      </w:r>
    </w:p>
    <w:p w14:paraId="66F510D3">
      <w:pPr>
        <w:snapToGrid w:val="0"/>
        <w:spacing w:line="360" w:lineRule="auto"/>
        <w:ind w:left="0" w:leftChars="0"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1 应有良好的采光通风条件，无明显的视线干扰；</w:t>
      </w:r>
    </w:p>
    <w:p w14:paraId="49F2CFE8">
      <w:pPr>
        <w:snapToGrid w:val="0"/>
        <w:spacing w:line="360" w:lineRule="auto"/>
        <w:ind w:left="0" w:leftChars="0"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2 应避免将床头正对卫生间门设置，以免受到噪声和气味的干扰；</w:t>
      </w:r>
    </w:p>
    <w:p w14:paraId="79C5478B">
      <w:pPr>
        <w:snapToGrid w:val="0"/>
        <w:spacing w:line="360" w:lineRule="auto"/>
        <w:ind w:left="0" w:leftChars="0"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3 卧室应方正规则，尺度宜人，利于家具的摆放。中大套型每套至少应有一间能放下1.80m双人床的卧室，双人卧室短边净尺寸不应小于3.10m；单人卧室短边净尺寸不应小于2.20m。卧室应预留相应的衣橱空间，双人卧室衣橱宽度不宜小于2.40m，单人卧室衣橱宽度不宜小于1.50m。</w:t>
      </w:r>
    </w:p>
    <w:p w14:paraId="248AAFA4">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5.2.</w:t>
      </w:r>
      <w:r>
        <w:rPr>
          <w:rFonts w:hint="eastAsia" w:ascii="仿宋" w:hAnsi="仿宋" w:cs="仿宋"/>
          <w:color w:val="000000" w:themeColor="text1"/>
          <w:sz w:val="24"/>
          <w:szCs w:val="24"/>
          <w:lang w:val="en-US" w:eastAsia="zh-CN"/>
          <w14:textFill>
            <w14:solidFill>
              <w14:schemeClr w14:val="tx1"/>
            </w14:solidFill>
          </w14:textFill>
        </w:rPr>
        <w:t>7</w:t>
      </w:r>
      <w:r>
        <w:rPr>
          <w:rFonts w:hint="eastAsia" w:ascii="仿宋" w:hAnsi="仿宋" w:cs="仿宋"/>
          <w:color w:val="000000" w:themeColor="text1"/>
          <w:sz w:val="24"/>
          <w:szCs w:val="24"/>
          <w14:textFill>
            <w14:solidFill>
              <w14:schemeClr w14:val="tx1"/>
            </w14:solidFill>
          </w14:textFill>
        </w:rPr>
        <w:t xml:space="preserve"> 住宅套内厨房应满足以下要求：</w:t>
      </w:r>
    </w:p>
    <w:p w14:paraId="56C3D184">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 使用面积不应小于5㎡；</w:t>
      </w:r>
    </w:p>
    <w:p w14:paraId="2D93E602">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 应按照洗、切、烧操作流程布置，布置单侧长度不小于1.8</w:t>
      </w:r>
      <w:r>
        <w:rPr>
          <w:rFonts w:hint="eastAsia" w:ascii="仿宋" w:hAnsi="仿宋" w:cs="仿宋"/>
          <w:color w:val="000000" w:themeColor="text1"/>
          <w:sz w:val="24"/>
          <w:szCs w:val="24"/>
          <w:lang w:eastAsia="zh-CN"/>
          <w14:textFill>
            <w14:solidFill>
              <w14:schemeClr w14:val="tx1"/>
            </w14:solidFill>
          </w14:textFill>
        </w:rPr>
        <w:t>m</w:t>
      </w:r>
      <w:r>
        <w:rPr>
          <w:rFonts w:hint="eastAsia" w:ascii="仿宋" w:hAnsi="仿宋" w:cs="仿宋"/>
          <w:color w:val="000000" w:themeColor="text1"/>
          <w:sz w:val="24"/>
          <w:szCs w:val="24"/>
          <w14:textFill>
            <w14:solidFill>
              <w14:schemeClr w14:val="tx1"/>
            </w14:solidFill>
          </w14:textFill>
        </w:rPr>
        <w:t>操作台；</w:t>
      </w:r>
    </w:p>
    <w:p w14:paraId="7ED33C35">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 应为热水器、洗碗机、烤箱、微波炉、冰箱、消毒柜预留位置。</w:t>
      </w:r>
    </w:p>
    <w:p w14:paraId="5D0B46E7">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5.2.</w:t>
      </w:r>
      <w:r>
        <w:rPr>
          <w:rFonts w:hint="eastAsia" w:ascii="仿宋" w:hAnsi="仿宋" w:cs="仿宋"/>
          <w:color w:val="000000" w:themeColor="text1"/>
          <w:sz w:val="24"/>
          <w:szCs w:val="24"/>
          <w:lang w:val="en-US" w:eastAsia="zh-CN"/>
          <w14:textFill>
            <w14:solidFill>
              <w14:schemeClr w14:val="tx1"/>
            </w14:solidFill>
          </w14:textFill>
        </w:rPr>
        <w:t>8</w:t>
      </w:r>
      <w:r>
        <w:rPr>
          <w:rFonts w:hint="eastAsia" w:ascii="仿宋" w:hAnsi="仿宋" w:cs="仿宋"/>
          <w:color w:val="000000" w:themeColor="text1"/>
          <w:sz w:val="24"/>
          <w:szCs w:val="24"/>
          <w14:textFill>
            <w14:solidFill>
              <w14:schemeClr w14:val="tx1"/>
            </w14:solidFill>
          </w14:textFill>
        </w:rPr>
        <w:t xml:space="preserve"> 卫生间应满足以下要求：</w:t>
      </w:r>
    </w:p>
    <w:p w14:paraId="2295C4C2">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 每个卫生间使用面积不应小于3㎡；</w:t>
      </w:r>
    </w:p>
    <w:p w14:paraId="334865A0">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 每套住宅中至少1个卫生间布局应干湿分离；</w:t>
      </w:r>
    </w:p>
    <w:p w14:paraId="00889A94">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 设置两个及以上卫生间的户型，其中一个卫生间应有设置浴缸的条件。</w:t>
      </w:r>
    </w:p>
    <w:p w14:paraId="6C15C722">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5.2.</w:t>
      </w:r>
      <w:r>
        <w:rPr>
          <w:rFonts w:hint="eastAsia" w:ascii="仿宋" w:hAnsi="仿宋" w:cs="仿宋"/>
          <w:color w:val="000000" w:themeColor="text1"/>
          <w:sz w:val="24"/>
          <w:szCs w:val="24"/>
          <w:lang w:val="en-US" w:eastAsia="zh-CN"/>
          <w14:textFill>
            <w14:solidFill>
              <w14:schemeClr w14:val="tx1"/>
            </w14:solidFill>
          </w14:textFill>
        </w:rPr>
        <w:t>9</w:t>
      </w:r>
      <w:r>
        <w:rPr>
          <w:rFonts w:hint="eastAsia" w:ascii="仿宋" w:hAnsi="仿宋" w:cs="仿宋"/>
          <w:color w:val="000000" w:themeColor="text1"/>
          <w:sz w:val="24"/>
          <w:szCs w:val="24"/>
          <w14:textFill>
            <w14:solidFill>
              <w14:schemeClr w14:val="tx1"/>
            </w14:solidFill>
          </w14:textFill>
        </w:rPr>
        <w:t xml:space="preserve"> 住房套内使用面积大于100㎡时，套内宜设置不少于6㎡的收纳存储空间。</w:t>
      </w:r>
    </w:p>
    <w:p w14:paraId="7FE65CEC">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5.2.</w:t>
      </w:r>
      <w:r>
        <w:rPr>
          <w:rFonts w:hint="eastAsia" w:ascii="仿宋" w:hAnsi="仿宋" w:cs="仿宋"/>
          <w:color w:val="000000" w:themeColor="text1"/>
          <w:sz w:val="24"/>
          <w:szCs w:val="24"/>
          <w:lang w:val="en-US" w:eastAsia="zh-CN"/>
          <w14:textFill>
            <w14:solidFill>
              <w14:schemeClr w14:val="tx1"/>
            </w14:solidFill>
          </w14:textFill>
        </w:rPr>
        <w:t>10</w:t>
      </w:r>
      <w:r>
        <w:rPr>
          <w:rFonts w:hint="eastAsia" w:ascii="仿宋" w:hAnsi="仿宋" w:cs="仿宋"/>
          <w:color w:val="000000" w:themeColor="text1"/>
          <w:sz w:val="24"/>
          <w:szCs w:val="24"/>
          <w14:textFill>
            <w14:solidFill>
              <w14:schemeClr w14:val="tx1"/>
            </w14:solidFill>
          </w14:textFill>
        </w:rPr>
        <w:t xml:space="preserve"> 住房套内空间</w:t>
      </w:r>
      <w:r>
        <w:rPr>
          <w:rFonts w:hint="eastAsia" w:ascii="仿宋" w:hAnsi="仿宋" w:cs="仿宋"/>
          <w:color w:val="000000" w:themeColor="text1"/>
          <w:sz w:val="24"/>
          <w:szCs w:val="24"/>
          <w:lang w:val="en-US" w:eastAsia="zh-CN"/>
          <w14:textFill>
            <w14:solidFill>
              <w14:schemeClr w14:val="tx1"/>
            </w14:solidFill>
          </w14:textFill>
        </w:rPr>
        <w:t>应符合全龄友好</w:t>
      </w:r>
      <w:r>
        <w:rPr>
          <w:rFonts w:hint="eastAsia" w:ascii="仿宋" w:hAnsi="仿宋" w:cs="仿宋"/>
          <w:color w:val="000000" w:themeColor="text1"/>
          <w:sz w:val="24"/>
          <w:szCs w:val="24"/>
          <w14:textFill>
            <w14:solidFill>
              <w14:schemeClr w14:val="tx1"/>
            </w14:solidFill>
          </w14:textFill>
        </w:rPr>
        <w:t>的要求，</w:t>
      </w:r>
      <w:r>
        <w:rPr>
          <w:rFonts w:hint="eastAsia" w:ascii="仿宋" w:hAnsi="仿宋" w:cs="仿宋"/>
          <w:color w:val="000000" w:themeColor="text1"/>
          <w:sz w:val="24"/>
          <w:szCs w:val="24"/>
          <w:lang w:eastAsia="zh-CN"/>
          <w14:textFill>
            <w14:solidFill>
              <w14:schemeClr w14:val="tx1"/>
            </w14:solidFill>
          </w14:textFill>
        </w:rPr>
        <w:t>并</w:t>
      </w:r>
      <w:r>
        <w:rPr>
          <w:rFonts w:hint="eastAsia" w:ascii="仿宋" w:hAnsi="仿宋" w:cs="仿宋"/>
          <w:color w:val="000000" w:themeColor="text1"/>
          <w:sz w:val="24"/>
          <w:szCs w:val="24"/>
          <w14:textFill>
            <w14:solidFill>
              <w14:schemeClr w14:val="tx1"/>
            </w14:solidFill>
          </w14:textFill>
        </w:rPr>
        <w:t>符合</w:t>
      </w:r>
      <w:r>
        <w:rPr>
          <w:rFonts w:hint="eastAsia" w:ascii="仿宋" w:hAnsi="仿宋" w:cs="仿宋"/>
          <w:color w:val="000000" w:themeColor="text1"/>
          <w:sz w:val="24"/>
          <w:szCs w:val="24"/>
          <w14:textFill>
            <w14:solidFill>
              <w14:schemeClr w14:val="tx1"/>
            </w14:solidFill>
          </w14:textFill>
        </w:rPr>
        <w:t>下列规定：</w:t>
      </w:r>
    </w:p>
    <w:p w14:paraId="66DC61B6">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 户门内外不宜有高差；</w:t>
      </w:r>
    </w:p>
    <w:p w14:paraId="538BE416">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 玄关宜预留放置坐凳的空间；</w:t>
      </w:r>
    </w:p>
    <w:p w14:paraId="2EA6DB4C">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 老年人使用的卫生间宜紧邻老年人卧室布置，宜设置紧急呼救设施或安全报警装置：卫生间地面的防滑等级不宜低于现行行业标准《建筑地面工程防滑技术规程》JGJ/T331规定的A</w:t>
      </w:r>
      <w:r>
        <w:rPr>
          <w:rFonts w:hint="eastAsia" w:ascii="仿宋" w:hAnsi="仿宋" w:cs="仿宋"/>
          <w:color w:val="000000" w:themeColor="text1"/>
          <w:sz w:val="24"/>
          <w:szCs w:val="24"/>
          <w:vertAlign w:val="subscript"/>
          <w14:textFill>
            <w14:solidFill>
              <w14:schemeClr w14:val="tx1"/>
            </w14:solidFill>
          </w14:textFill>
        </w:rPr>
        <w:t>w</w:t>
      </w:r>
      <w:r>
        <w:rPr>
          <w:rFonts w:hint="eastAsia" w:ascii="仿宋" w:hAnsi="仿宋" w:cs="仿宋"/>
          <w:color w:val="000000" w:themeColor="text1"/>
          <w:sz w:val="24"/>
          <w:szCs w:val="24"/>
          <w14:textFill>
            <w14:solidFill>
              <w14:schemeClr w14:val="tx1"/>
            </w14:solidFill>
          </w14:textFill>
        </w:rPr>
        <w:t>级和A</w:t>
      </w:r>
      <w:r>
        <w:rPr>
          <w:rFonts w:hint="eastAsia" w:ascii="仿宋" w:hAnsi="仿宋" w:cs="仿宋"/>
          <w:color w:val="000000" w:themeColor="text1"/>
          <w:sz w:val="24"/>
          <w:szCs w:val="24"/>
          <w:vertAlign w:val="subscript"/>
          <w14:textFill>
            <w14:solidFill>
              <w14:schemeClr w14:val="tx1"/>
            </w14:solidFill>
          </w14:textFill>
        </w:rPr>
        <w:t>d</w:t>
      </w:r>
      <w:r>
        <w:rPr>
          <w:rFonts w:hint="eastAsia" w:ascii="仿宋" w:hAnsi="仿宋" w:cs="仿宋"/>
          <w:color w:val="000000" w:themeColor="text1"/>
          <w:sz w:val="24"/>
          <w:szCs w:val="24"/>
          <w14:textFill>
            <w14:solidFill>
              <w14:schemeClr w14:val="tx1"/>
            </w14:solidFill>
          </w14:textFill>
        </w:rPr>
        <w:t>级；</w:t>
      </w:r>
    </w:p>
    <w:p w14:paraId="5CE64BB6">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 住房可设置居家照护服务功能空间，空间尺寸宜符合家用辅助器具的空间要求。</w:t>
      </w:r>
    </w:p>
    <w:p w14:paraId="342E6C41">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5.2.</w:t>
      </w:r>
      <w:r>
        <w:rPr>
          <w:rFonts w:hint="eastAsia" w:ascii="仿宋" w:hAnsi="仿宋" w:cs="仿宋"/>
          <w:color w:val="000000" w:themeColor="text1"/>
          <w:sz w:val="24"/>
          <w:szCs w:val="24"/>
          <w:lang w:val="en-US" w:eastAsia="zh-CN"/>
          <w14:textFill>
            <w14:solidFill>
              <w14:schemeClr w14:val="tx1"/>
            </w14:solidFill>
          </w14:textFill>
        </w:rPr>
        <w:t>11</w:t>
      </w:r>
      <w:r>
        <w:rPr>
          <w:rFonts w:hint="eastAsia" w:ascii="仿宋" w:hAnsi="仿宋" w:cs="仿宋"/>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lang w:val="en-US" w:eastAsia="zh-CN"/>
          <w14:textFill>
            <w14:solidFill>
              <w14:schemeClr w14:val="tx1"/>
            </w14:solidFill>
          </w14:textFill>
        </w:rPr>
        <w:t>住宅套型</w:t>
      </w:r>
      <w:r>
        <w:rPr>
          <w:rFonts w:hint="eastAsia" w:ascii="仿宋" w:hAnsi="仿宋" w:cs="仿宋"/>
          <w:color w:val="000000" w:themeColor="text1"/>
          <w:sz w:val="24"/>
          <w:szCs w:val="24"/>
          <w14:textFill>
            <w14:solidFill>
              <w14:schemeClr w14:val="tx1"/>
            </w14:solidFill>
          </w14:textFill>
        </w:rPr>
        <w:t>采用开放、灵活、可变的大空间结构设计。承重构件的位置设置应充分考虑后期房间合并和分离的可能性；室内非承重隔墙应选用便于二次改造且隔声效果良好的轻质材料，以便针对不同的家庭需求对空间进行灵活划分</w:t>
      </w:r>
      <w:r>
        <w:rPr>
          <w:color w:val="000000" w:themeColor="text1"/>
          <w:sz w:val="24"/>
          <w:szCs w:val="21"/>
          <w14:textFill>
            <w14:solidFill>
              <w14:schemeClr w14:val="tx1"/>
            </w14:solidFill>
          </w14:textFill>
        </w:rPr>
        <w:t>。</w:t>
      </w:r>
    </w:p>
    <w:p w14:paraId="03152685">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5.2.1</w:t>
      </w:r>
      <w:r>
        <w:rPr>
          <w:rFonts w:hint="eastAsia" w:ascii="仿宋" w:hAnsi="仿宋" w:cs="仿宋"/>
          <w:color w:val="000000" w:themeColor="text1"/>
          <w:sz w:val="24"/>
          <w:szCs w:val="24"/>
          <w:lang w:val="en-US" w:eastAsia="zh-CN"/>
          <w14:textFill>
            <w14:solidFill>
              <w14:schemeClr w14:val="tx1"/>
            </w14:solidFill>
          </w14:textFill>
        </w:rPr>
        <w:t>2</w:t>
      </w:r>
      <w:r>
        <w:rPr>
          <w:rFonts w:hint="eastAsia" w:ascii="仿宋" w:hAnsi="仿宋" w:cs="仿宋"/>
          <w:color w:val="000000" w:themeColor="text1"/>
          <w:sz w:val="24"/>
          <w:szCs w:val="24"/>
          <w14:textFill>
            <w14:solidFill>
              <w14:schemeClr w14:val="tx1"/>
            </w14:solidFill>
          </w14:textFill>
        </w:rPr>
        <w:t xml:space="preserve"> 住房户门开启应符合下列规定：</w:t>
      </w:r>
    </w:p>
    <w:p w14:paraId="426B6F83">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 户门开启不应影响公共部位的疏散，不应影响人员</w:t>
      </w:r>
      <w:r>
        <w:rPr>
          <w:rFonts w:hint="eastAsia" w:ascii="仿宋" w:hAnsi="仿宋" w:cs="仿宋"/>
          <w:color w:val="000000" w:themeColor="text1"/>
          <w:sz w:val="24"/>
          <w:szCs w:val="24"/>
          <w:lang w:eastAsia="zh-CN"/>
          <w14:textFill>
            <w14:solidFill>
              <w14:schemeClr w14:val="tx1"/>
            </w14:solidFill>
          </w14:textFill>
        </w:rPr>
        <w:t>出入</w:t>
      </w:r>
      <w:r>
        <w:rPr>
          <w:rFonts w:hint="eastAsia" w:ascii="仿宋" w:hAnsi="仿宋" w:cs="仿宋"/>
          <w:color w:val="000000" w:themeColor="text1"/>
          <w:sz w:val="24"/>
          <w:szCs w:val="24"/>
          <w14:textFill>
            <w14:solidFill>
              <w14:schemeClr w14:val="tx1"/>
            </w14:solidFill>
          </w14:textFill>
        </w:rPr>
        <w:t>电梯及使用呼叫按钮，不应碰撞消火栓箱；</w:t>
      </w:r>
    </w:p>
    <w:p w14:paraId="4EB17865">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 公共空间内设备井检修门开启时不应影响相邻住户户门的开启；</w:t>
      </w:r>
    </w:p>
    <w:p w14:paraId="09461EDB">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 相邻户门并列布置时，门扇间最小净距离不应小于400mm</w:t>
      </w:r>
      <w:r>
        <w:rPr>
          <w:rFonts w:hint="eastAsia" w:ascii="仿宋" w:hAnsi="仿宋" w:cs="仿宋"/>
          <w:color w:val="000000" w:themeColor="text1"/>
          <w:sz w:val="24"/>
          <w:szCs w:val="24"/>
          <w:lang w:eastAsia="zh-CN"/>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相邻户门为L型布置时，门扇开启过程中最小净距离不应小于600mm。</w:t>
      </w:r>
    </w:p>
    <w:p w14:paraId="040579FF">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 xml:space="preserve">5.2.13 </w:t>
      </w:r>
      <w:r>
        <w:rPr>
          <w:rFonts w:hint="eastAsia" w:ascii="仿宋" w:hAnsi="仿宋" w:cs="仿宋"/>
          <w:color w:val="000000" w:themeColor="text1"/>
          <w:sz w:val="24"/>
          <w:szCs w:val="24"/>
          <w14:textFill>
            <w14:solidFill>
              <w14:schemeClr w14:val="tx1"/>
            </w14:solidFill>
          </w14:textFill>
        </w:rPr>
        <w:t>住房空调室外机位应与建筑一体化设计，分体式空调室外机位净尺寸不宜小于1.20mx0.70mx0.90m</w:t>
      </w:r>
      <w:r>
        <w:rPr>
          <w:rFonts w:hint="eastAsia" w:ascii="仿宋" w:hAnsi="仿宋" w:cs="仿宋"/>
          <w:color w:val="000000" w:themeColor="text1"/>
          <w:sz w:val="24"/>
          <w:szCs w:val="24"/>
          <w:lang w:eastAsia="zh-CN"/>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长x宽x高</w:t>
      </w:r>
      <w:r>
        <w:rPr>
          <w:rFonts w:hint="eastAsia" w:ascii="仿宋" w:hAnsi="仿宋" w:cs="仿宋"/>
          <w:color w:val="000000" w:themeColor="text1"/>
          <w:sz w:val="24"/>
          <w:szCs w:val="24"/>
          <w:lang w:eastAsia="zh-CN"/>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，集中式空调室外机位净尺寸不宜小于 1.50mx1.0mx1.60m</w:t>
      </w:r>
      <w:r>
        <w:rPr>
          <w:rFonts w:hint="eastAsia" w:ascii="仿宋" w:hAnsi="仿宋" w:cs="仿宋"/>
          <w:color w:val="000000" w:themeColor="text1"/>
          <w:sz w:val="24"/>
          <w:szCs w:val="24"/>
          <w:lang w:eastAsia="zh-CN"/>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长x宽x高</w:t>
      </w:r>
      <w:r>
        <w:rPr>
          <w:rFonts w:hint="eastAsia" w:ascii="仿宋" w:hAnsi="仿宋" w:cs="仿宋"/>
          <w:color w:val="000000" w:themeColor="text1"/>
          <w:sz w:val="24"/>
          <w:szCs w:val="24"/>
          <w:lang w:eastAsia="zh-CN"/>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。采用分体式空调的卧室、客厅等房间应全部</w:t>
      </w:r>
      <w:r>
        <w:rPr>
          <w:rFonts w:hint="eastAsia" w:ascii="仿宋" w:hAnsi="仿宋" w:cs="仿宋"/>
          <w:color w:val="000000" w:themeColor="text1"/>
          <w:sz w:val="24"/>
          <w:szCs w:val="24"/>
          <w:lang w:eastAsia="zh-CN"/>
          <w14:textFill>
            <w14:solidFill>
              <w14:schemeClr w14:val="tx1"/>
            </w14:solidFill>
          </w14:textFill>
        </w:rPr>
        <w:t>设置</w:t>
      </w:r>
      <w:r>
        <w:rPr>
          <w:rFonts w:hint="eastAsia" w:ascii="仿宋" w:hAnsi="仿宋" w:cs="仿宋"/>
          <w:color w:val="000000" w:themeColor="text1"/>
          <w:sz w:val="24"/>
          <w:szCs w:val="24"/>
          <w14:textFill>
            <w14:solidFill>
              <w14:schemeClr w14:val="tx1"/>
            </w14:solidFill>
          </w14:textFill>
        </w:rPr>
        <w:t>空调室外机位，并设置护栏。</w:t>
      </w:r>
    </w:p>
    <w:p w14:paraId="11B4D318">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5.2.1</w:t>
      </w:r>
      <w:r>
        <w:rPr>
          <w:rFonts w:hint="eastAsia" w:ascii="仿宋" w:hAnsi="仿宋" w:cs="仿宋"/>
          <w:color w:val="000000" w:themeColor="text1"/>
          <w:sz w:val="24"/>
          <w:szCs w:val="24"/>
          <w:lang w:val="en-US" w:eastAsia="zh-CN"/>
          <w14:textFill>
            <w14:solidFill>
              <w14:schemeClr w14:val="tx1"/>
            </w14:solidFill>
          </w14:textFill>
        </w:rPr>
        <w:t>4</w:t>
      </w:r>
      <w:r>
        <w:rPr>
          <w:rFonts w:hint="eastAsia" w:ascii="仿宋" w:hAnsi="仿宋" w:cs="仿宋"/>
          <w:color w:val="000000" w:themeColor="text1"/>
          <w:sz w:val="24"/>
          <w:szCs w:val="24"/>
          <w14:textFill>
            <w14:solidFill>
              <w14:schemeClr w14:val="tx1"/>
            </w14:solidFill>
          </w14:textFill>
        </w:rPr>
        <w:t xml:space="preserve"> 住房主要公共出入口处宜设门厅，并宜符合下列规定：</w:t>
      </w:r>
    </w:p>
    <w:p w14:paraId="3323748E">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 门厅使用面积不宜小于12㎡;</w:t>
      </w:r>
    </w:p>
    <w:p w14:paraId="6BD03C93">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 门厅内宜设置交往空间、监控系统和呼救系统；</w:t>
      </w:r>
    </w:p>
    <w:p w14:paraId="6EE9556A">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 有地下车库的住房宜在地下车库连接住房处设置地下门厅，入口处宜设置无障碍坡道，且不宜影响正常通行；</w:t>
      </w:r>
    </w:p>
    <w:p w14:paraId="3304D472">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 公共出入口处宜结合门厅配置智能信报箱，快递和外卖暂存等功能空间。</w:t>
      </w:r>
    </w:p>
    <w:p w14:paraId="7B26EDC5">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5.2.1</w:t>
      </w:r>
      <w:r>
        <w:rPr>
          <w:rFonts w:hint="eastAsia" w:ascii="仿宋" w:hAnsi="仿宋" w:cs="仿宋"/>
          <w:color w:val="000000" w:themeColor="text1"/>
          <w:sz w:val="24"/>
          <w:szCs w:val="24"/>
          <w:lang w:val="en-US" w:eastAsia="zh-CN"/>
          <w14:textFill>
            <w14:solidFill>
              <w14:schemeClr w14:val="tx1"/>
            </w14:solidFill>
          </w14:textFill>
        </w:rPr>
        <w:t>5</w:t>
      </w:r>
      <w:r>
        <w:rPr>
          <w:rFonts w:hint="eastAsia" w:ascii="仿宋" w:hAnsi="仿宋" w:cs="仿宋"/>
          <w:color w:val="000000" w:themeColor="text1"/>
          <w:sz w:val="24"/>
          <w:szCs w:val="24"/>
          <w14:textFill>
            <w14:solidFill>
              <w14:schemeClr w14:val="tx1"/>
            </w14:solidFill>
          </w14:textFill>
        </w:rPr>
        <w:t xml:space="preserve"> 住宅电梯的设置应符合下列规定</w:t>
      </w:r>
      <w:r>
        <w:rPr>
          <w:rFonts w:hint="eastAsia" w:ascii="仿宋" w:hAnsi="仿宋" w:cs="仿宋"/>
          <w:color w:val="000000" w:themeColor="text1"/>
          <w:sz w:val="24"/>
          <w:szCs w:val="24"/>
          <w:lang w:eastAsia="zh-CN"/>
          <w14:textFill>
            <w14:solidFill>
              <w14:schemeClr w14:val="tx1"/>
            </w14:solidFill>
          </w14:textFill>
        </w:rPr>
        <w:t>：</w:t>
      </w:r>
    </w:p>
    <w:p w14:paraId="70D5B5D8">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 住宅最高入户层为2层及2层以上的住宅建筑，每个住宅单元应至少设置一台电梯；</w:t>
      </w:r>
    </w:p>
    <w:p w14:paraId="22D68A67">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 住房最高入户层为4层及4层</w:t>
      </w:r>
      <w:r>
        <w:rPr>
          <w:rFonts w:hint="eastAsia" w:ascii="仿宋" w:hAnsi="仿宋" w:cs="仿宋"/>
          <w:color w:val="000000" w:themeColor="text1"/>
          <w:sz w:val="24"/>
          <w:szCs w:val="24"/>
          <w14:textFill>
            <w14:solidFill>
              <w14:schemeClr w14:val="tx1"/>
            </w14:solidFill>
          </w14:textFill>
        </w:rPr>
        <w:t>以上</w:t>
      </w:r>
      <w:r>
        <w:rPr>
          <w:rFonts w:hint="eastAsia" w:ascii="仿宋" w:hAnsi="仿宋" w:cs="仿宋"/>
          <w:color w:val="000000" w:themeColor="text1"/>
          <w:sz w:val="24"/>
          <w:szCs w:val="24"/>
          <w:lang w:eastAsia="zh-CN"/>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或最</w:t>
      </w:r>
      <w:r>
        <w:rPr>
          <w:rFonts w:hint="eastAsia" w:ascii="仿宋" w:hAnsi="仿宋" w:cs="仿宋"/>
          <w:color w:val="000000" w:themeColor="text1"/>
          <w:sz w:val="24"/>
          <w:szCs w:val="24"/>
          <w14:textFill>
            <w14:solidFill>
              <w14:schemeClr w14:val="tx1"/>
            </w14:solidFill>
          </w14:textFill>
        </w:rPr>
        <w:t>高入户层楼面距室外设计地面高度超过9m时，每个单元应至少设置1台可容纳担架的电梯，担架电梯候梯厅深度不应小于1.80m。高层住宅电梯尺寸应给大件家具运送预留条件</w:t>
      </w:r>
      <w:r>
        <w:rPr>
          <w:rFonts w:hint="eastAsia" w:ascii="仿宋" w:hAnsi="仿宋" w:cs="仿宋"/>
          <w:color w:val="000000" w:themeColor="text1"/>
          <w:sz w:val="24"/>
          <w:szCs w:val="24"/>
          <w:lang w:eastAsia="zh-CN"/>
          <w14:textFill>
            <w14:solidFill>
              <w14:schemeClr w14:val="tx1"/>
            </w14:solidFill>
          </w14:textFill>
        </w:rPr>
        <w:t>；</w:t>
      </w:r>
    </w:p>
    <w:p w14:paraId="12D9549B">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 候梯厅深度不应小于多台电梯中最大轿厢</w:t>
      </w:r>
      <w:r>
        <w:rPr>
          <w:rFonts w:hint="eastAsia" w:ascii="仿宋" w:hAnsi="仿宋" w:cs="仿宋"/>
          <w:color w:val="000000" w:themeColor="text1"/>
          <w:sz w:val="24"/>
          <w:szCs w:val="24"/>
          <w14:textFill>
            <w14:solidFill>
              <w14:schemeClr w14:val="tx1"/>
            </w14:solidFill>
          </w14:textFill>
        </w:rPr>
        <w:t>深度</w:t>
      </w:r>
      <w:r>
        <w:rPr>
          <w:rFonts w:hint="eastAsia" w:ascii="仿宋" w:hAnsi="仿宋" w:cs="仿宋"/>
          <w:color w:val="000000" w:themeColor="text1"/>
          <w:sz w:val="24"/>
          <w:szCs w:val="24"/>
          <w:lang w:eastAsia="zh-CN"/>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且</w:t>
      </w:r>
      <w:r>
        <w:rPr>
          <w:rFonts w:hint="eastAsia" w:ascii="仿宋" w:hAnsi="仿宋" w:cs="仿宋"/>
          <w:color w:val="000000" w:themeColor="text1"/>
          <w:sz w:val="24"/>
          <w:szCs w:val="24"/>
          <w14:textFill>
            <w14:solidFill>
              <w14:schemeClr w14:val="tx1"/>
            </w14:solidFill>
          </w14:textFill>
        </w:rPr>
        <w:t>不应小于1.80m;</w:t>
      </w:r>
    </w:p>
    <w:p w14:paraId="2FF15AE0">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 电梯候梯厅和楼梯平台共享时，平台深度不应小于2.10m。</w:t>
      </w:r>
    </w:p>
    <w:p w14:paraId="178D5EE0">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5.2.1</w:t>
      </w:r>
      <w:r>
        <w:rPr>
          <w:rFonts w:hint="eastAsia" w:ascii="仿宋" w:hAnsi="仿宋" w:cs="仿宋"/>
          <w:color w:val="000000" w:themeColor="text1"/>
          <w:sz w:val="24"/>
          <w:szCs w:val="24"/>
          <w:lang w:val="en-US" w:eastAsia="zh-CN"/>
          <w14:textFill>
            <w14:solidFill>
              <w14:schemeClr w14:val="tx1"/>
            </w14:solidFill>
          </w14:textFill>
        </w:rPr>
        <w:t>6</w:t>
      </w:r>
      <w:r>
        <w:rPr>
          <w:rFonts w:hint="eastAsia" w:ascii="仿宋" w:hAnsi="仿宋" w:cs="仿宋"/>
          <w:color w:val="000000" w:themeColor="text1"/>
          <w:sz w:val="24"/>
          <w:szCs w:val="24"/>
          <w14:textFill>
            <w14:solidFill>
              <w14:schemeClr w14:val="tx1"/>
            </w14:solidFill>
          </w14:textFill>
        </w:rPr>
        <w:t xml:space="preserve"> 立面设计应考虑层间线脚、挑檐、壁柱等建筑构件对本栋住宅建筑</w:t>
      </w:r>
      <w:r>
        <w:rPr>
          <w:rFonts w:hint="eastAsia" w:ascii="仿宋" w:hAnsi="仿宋" w:cs="仿宋"/>
          <w:color w:val="000000" w:themeColor="text1"/>
          <w:sz w:val="24"/>
          <w:szCs w:val="24"/>
          <w:lang w:eastAsia="zh-CN"/>
          <w14:textFill>
            <w14:solidFill>
              <w14:schemeClr w14:val="tx1"/>
            </w14:solidFill>
          </w14:textFill>
        </w:rPr>
        <w:t>的</w:t>
      </w:r>
      <w:r>
        <w:rPr>
          <w:rFonts w:hint="eastAsia" w:ascii="仿宋" w:hAnsi="仿宋" w:cs="仿宋"/>
          <w:color w:val="000000" w:themeColor="text1"/>
          <w:sz w:val="24"/>
          <w:szCs w:val="24"/>
          <w14:textFill>
            <w14:solidFill>
              <w14:schemeClr w14:val="tx1"/>
            </w14:solidFill>
          </w14:textFill>
        </w:rPr>
        <w:t>遮挡</w:t>
      </w:r>
      <w:r>
        <w:rPr>
          <w:rFonts w:hint="eastAsia" w:ascii="仿宋" w:hAnsi="仿宋" w:cs="仿宋"/>
          <w:color w:val="000000" w:themeColor="text1"/>
          <w:sz w:val="24"/>
          <w:szCs w:val="24"/>
          <w14:textFill>
            <w14:solidFill>
              <w14:schemeClr w14:val="tx1"/>
            </w14:solidFill>
          </w14:textFill>
        </w:rPr>
        <w:t>，建筑自身的墙面装饰、挑檐等对本栋建筑日照有不利影响的建筑构件应参与日照模拟计算。</w:t>
      </w:r>
    </w:p>
    <w:p w14:paraId="70231C81">
      <w:pPr>
        <w:snapToGrid w:val="0"/>
        <w:spacing w:line="360" w:lineRule="auto"/>
        <w:ind w:firstLine="0" w:firstLineChars="0"/>
        <w:rPr>
          <w:rFonts w:hint="eastAsia"/>
          <w:color w:val="000000" w:themeColor="text1"/>
          <w:sz w:val="24"/>
          <w:szCs w:val="21"/>
          <w14:textFill>
            <w14:solidFill>
              <w14:schemeClr w14:val="tx1"/>
            </w14:solidFill>
          </w14:textFill>
        </w:rPr>
      </w:pPr>
    </w:p>
    <w:p w14:paraId="41C20E54">
      <w:pPr>
        <w:pStyle w:val="3"/>
        <w:ind w:firstLine="643"/>
        <w:jc w:val="center"/>
        <w:rPr>
          <w:rFonts w:hint="eastAsia"/>
          <w:color w:val="000000" w:themeColor="text1"/>
          <w:sz w:val="24"/>
          <w:szCs w:val="24"/>
          <w14:textFill>
            <w14:solidFill>
              <w14:schemeClr w14:val="tx1"/>
            </w14:solidFill>
          </w14:textFill>
        </w:rPr>
      </w:pPr>
      <w:bookmarkStart w:id="28" w:name="_Toc26160"/>
      <w:r>
        <w:rPr>
          <w:rFonts w:hint="eastAsia"/>
          <w:color w:val="000000" w:themeColor="text1"/>
          <w:sz w:val="24"/>
          <w:szCs w:val="24"/>
          <w14:textFill>
            <w14:solidFill>
              <w14:schemeClr w14:val="tx1"/>
            </w14:solidFill>
          </w14:textFill>
        </w:rPr>
        <w:t>5.3 结构设计</w:t>
      </w:r>
      <w:bookmarkEnd w:id="28"/>
    </w:p>
    <w:p w14:paraId="0317BC69">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5.3.1 提高结构设计工作年限，建筑结构的设计工作年限不宜低于70年，鼓励按100年进行耐久设计。</w:t>
      </w:r>
    </w:p>
    <w:p w14:paraId="25919DE3">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5.3.2 抗震设防烈度7（8）度及以上地区宜采用减隔震设计。</w:t>
      </w:r>
    </w:p>
    <w:p w14:paraId="1BB00AF8">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5.3.3 结构构件设计应符合下列规定：</w:t>
      </w:r>
    </w:p>
    <w:p w14:paraId="601D9A81">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 地下室外墙厚度不宜小于300mm，宜增加钢筋保护层厚度，并提高裂缝宽度限值要求。</w:t>
      </w:r>
    </w:p>
    <w:p w14:paraId="151E2D5A">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 屋面及卫生间宜采用抗渗混凝土，混凝土抗渗等级不小于P6。楼板厚度不小于120mm。</w:t>
      </w:r>
    </w:p>
    <w:p w14:paraId="5300CB47">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 现浇楼板的厚度阳台部分不应小于</w:t>
      </w:r>
      <w:r>
        <w:rPr>
          <w:rFonts w:hint="eastAsia" w:ascii="仿宋" w:hAnsi="仿宋" w:cs="仿宋"/>
          <w:color w:val="000000" w:themeColor="text1"/>
          <w:sz w:val="24"/>
          <w:szCs w:val="24"/>
          <w14:textFill>
            <w14:solidFill>
              <w14:schemeClr w14:val="tx1"/>
            </w14:solidFill>
          </w14:textFill>
        </w:rPr>
        <w:t>100mm</w:t>
      </w:r>
      <w:r>
        <w:rPr>
          <w:rFonts w:hint="eastAsia" w:ascii="仿宋" w:hAnsi="仿宋" w:cs="仿宋"/>
          <w:color w:val="000000" w:themeColor="text1"/>
          <w:sz w:val="24"/>
          <w:szCs w:val="24"/>
          <w:lang w:eastAsia="zh-CN"/>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其余部分板厚不应小于</w:t>
      </w:r>
      <w:r>
        <w:rPr>
          <w:rFonts w:hint="eastAsia" w:ascii="仿宋" w:hAnsi="仿宋" w:cs="仿宋"/>
          <w:color w:val="000000" w:themeColor="text1"/>
          <w:sz w:val="24"/>
          <w:szCs w:val="24"/>
          <w14:textFill>
            <w14:solidFill>
              <w14:schemeClr w14:val="tx1"/>
            </w14:solidFill>
          </w14:textFill>
        </w:rPr>
        <w:t>120mm，</w:t>
      </w:r>
      <w:r>
        <w:rPr>
          <w:rFonts w:hint="eastAsia" w:ascii="仿宋" w:hAnsi="仿宋" w:cs="仿宋"/>
          <w:color w:val="000000" w:themeColor="text1"/>
          <w:sz w:val="24"/>
          <w:szCs w:val="24"/>
          <w14:textFill>
            <w14:solidFill>
              <w14:schemeClr w14:val="tx1"/>
            </w14:solidFill>
          </w14:textFill>
        </w:rPr>
        <w:t>且单向板厚度不应小于跨度的1/30，双向板厚度不应小于短跨的 1/35。</w:t>
      </w:r>
    </w:p>
    <w:p w14:paraId="72AE149D">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 结构设计应考虑户内空间大开间布局及空间灵活变化的需求</w:t>
      </w:r>
      <w:r>
        <w:rPr>
          <w:rFonts w:hint="eastAsia" w:ascii="仿宋" w:hAnsi="仿宋" w:cs="仿宋"/>
          <w:color w:val="000000" w:themeColor="text1"/>
          <w:sz w:val="24"/>
          <w:szCs w:val="24"/>
          <w:lang w:eastAsia="zh-CN"/>
          <w14:textFill>
            <w14:solidFill>
              <w14:schemeClr w14:val="tx1"/>
            </w14:solidFill>
          </w14:textFill>
        </w:rPr>
        <w:t>，在</w:t>
      </w:r>
      <w:r>
        <w:rPr>
          <w:rFonts w:hint="eastAsia" w:ascii="仿宋" w:hAnsi="仿宋" w:cs="仿宋"/>
          <w:color w:val="000000" w:themeColor="text1"/>
          <w:sz w:val="24"/>
          <w:szCs w:val="24"/>
          <w14:textFill>
            <w14:solidFill>
              <w14:schemeClr w14:val="tx1"/>
            </w14:solidFill>
          </w14:textFill>
        </w:rPr>
        <w:t>灵活空间内减少梁、墙、柱的数量，并选择有利于多变空间的结构形式。</w:t>
      </w:r>
    </w:p>
    <w:p w14:paraId="3EDAEEEB">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5.3.4 主体结构优先考虑装配式技术，高精度模板、叠合楼板、装配式墙板等优先采用。</w:t>
      </w:r>
    </w:p>
    <w:p w14:paraId="466FA350">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p>
    <w:p w14:paraId="3F836D0F">
      <w:pPr>
        <w:pStyle w:val="3"/>
        <w:ind w:firstLine="643"/>
        <w:jc w:val="center"/>
        <w:rPr>
          <w:rFonts w:hint="eastAsia"/>
          <w:color w:val="000000" w:themeColor="text1"/>
          <w:sz w:val="24"/>
          <w:szCs w:val="24"/>
          <w14:textFill>
            <w14:solidFill>
              <w14:schemeClr w14:val="tx1"/>
            </w14:solidFill>
          </w14:textFill>
        </w:rPr>
      </w:pPr>
      <w:bookmarkStart w:id="29" w:name="_Toc16540"/>
      <w:r>
        <w:rPr>
          <w:rFonts w:hint="eastAsia"/>
          <w:color w:val="000000" w:themeColor="text1"/>
          <w:sz w:val="24"/>
          <w:szCs w:val="24"/>
          <w14:textFill>
            <w14:solidFill>
              <w14:schemeClr w14:val="tx1"/>
            </w14:solidFill>
          </w14:textFill>
        </w:rPr>
        <w:t>5.4 给排水设计</w:t>
      </w:r>
      <w:bookmarkEnd w:id="29"/>
    </w:p>
    <w:p w14:paraId="206278A0">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5.4.1 住宅小区应采用以下用水卫生安全措施：</w:t>
      </w:r>
    </w:p>
    <w:p w14:paraId="11C028ED">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 各户</w:t>
      </w:r>
      <w:r>
        <w:rPr>
          <w:rFonts w:ascii="仿宋" w:hAnsi="仿宋" w:cs="仿宋"/>
          <w:color w:val="000000" w:themeColor="text1"/>
          <w:sz w:val="24"/>
          <w:szCs w:val="24"/>
          <w14:textFill>
            <w14:solidFill>
              <w14:schemeClr w14:val="tx1"/>
            </w14:solidFill>
          </w14:textFill>
        </w:rPr>
        <w:t>生活饮用水</w:t>
      </w:r>
      <w:r>
        <w:rPr>
          <w:rFonts w:hint="eastAsia" w:ascii="仿宋" w:hAnsi="仿宋" w:cs="仿宋"/>
          <w:color w:val="000000" w:themeColor="text1"/>
          <w:sz w:val="24"/>
          <w:szCs w:val="24"/>
          <w14:textFill>
            <w14:solidFill>
              <w14:schemeClr w14:val="tx1"/>
            </w14:solidFill>
          </w14:textFill>
        </w:rPr>
        <w:t>入户管上应设置真空破坏器、倒流防止器等防回流污染的措施。</w:t>
      </w:r>
    </w:p>
    <w:p w14:paraId="3F481346">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 与套内空间相通的地漏应采用密闭地漏，且其水封应有补充水封水量及防止水封被破坏的措施。</w:t>
      </w:r>
    </w:p>
    <w:p w14:paraId="2676E07F">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 疫情期间，住宅小区内的集中中水系统、雨水回用水系统的水源应切换为生活饮用水水源并在清水池处应设有消毒措施。</w:t>
      </w:r>
    </w:p>
    <w:p w14:paraId="5E79CEBC">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4疫情期间，进入住户空间内的各类管道给水不得通过管道流出该住户空间。</w:t>
      </w:r>
    </w:p>
    <w:p w14:paraId="54B793E5">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5鼓励精品商品房户内生活给水配水管道采用环状供水管网。</w:t>
      </w:r>
    </w:p>
    <w:p w14:paraId="7D9BE8F8">
      <w:pPr>
        <w:snapToGrid w:val="0"/>
        <w:spacing w:line="360" w:lineRule="auto"/>
        <w:ind w:firstLine="0" w:firstLineChars="0"/>
        <w:rPr>
          <w:color w:val="000000" w:themeColor="text1"/>
          <w:sz w:val="24"/>
          <w:szCs w:val="24"/>
          <w14:textFill>
            <w14:solidFill>
              <w14:schemeClr w14:val="tx1"/>
            </w14:solidFill>
          </w14:textFill>
        </w:rPr>
      </w:pPr>
      <w:r>
        <w:rPr>
          <w:rFonts w:hint="eastAsia" w:ascii="仿宋" w:hAnsi="仿宋"/>
          <w:color w:val="000000" w:themeColor="text1"/>
          <w:sz w:val="24"/>
          <w:szCs w:val="24"/>
          <w14:textFill>
            <w14:solidFill>
              <w14:schemeClr w14:val="tx1"/>
            </w14:solidFill>
          </w14:textFill>
        </w:rPr>
        <w:t>5.4.2 住宅小区生活饮用系统应</w:t>
      </w:r>
      <w:r>
        <w:rPr>
          <w:rFonts w:hint="eastAsia"/>
          <w:color w:val="000000" w:themeColor="text1"/>
          <w:sz w:val="24"/>
          <w:szCs w:val="24"/>
          <w14:textFill>
            <w14:solidFill>
              <w14:schemeClr w14:val="tx1"/>
            </w14:solidFill>
          </w14:textFill>
        </w:rPr>
        <w:t>做以下措施：</w:t>
      </w:r>
    </w:p>
    <w:p w14:paraId="7B8F742D">
      <w:pPr>
        <w:snapToGrid w:val="0"/>
        <w:spacing w:line="360" w:lineRule="auto"/>
        <w:ind w:firstLine="640"/>
        <w:rPr>
          <w:rFonts w:hint="eastAsia" w:ascii="仿宋" w:hAnsi="仿宋"/>
          <w:color w:val="000000" w:themeColor="text1"/>
          <w:sz w:val="24"/>
          <w:szCs w:val="24"/>
          <w14:textFill>
            <w14:solidFill>
              <w14:schemeClr w14:val="tx1"/>
            </w14:solidFill>
          </w14:textFill>
        </w:rPr>
      </w:pPr>
      <w:r>
        <w:rPr>
          <w:rFonts w:hint="eastAsia" w:ascii="仿宋" w:hAnsi="仿宋"/>
          <w:color w:val="000000" w:themeColor="text1"/>
          <w:sz w:val="24"/>
          <w:szCs w:val="24"/>
          <w14:textFill>
            <w14:solidFill>
              <w14:schemeClr w14:val="tx1"/>
            </w14:solidFill>
          </w14:textFill>
        </w:rPr>
        <w:t>1</w:t>
      </w:r>
      <w:r>
        <w:rPr>
          <w:rFonts w:hint="eastAsia" w:ascii="仿宋" w:hAnsi="仿宋"/>
          <w:color w:val="000000" w:themeColor="text1"/>
          <w:sz w:val="24"/>
          <w:szCs w:val="24"/>
          <w:lang w:val="en-US" w:eastAsia="zh-CN"/>
          <w14:textFill>
            <w14:solidFill>
              <w14:schemeClr w14:val="tx1"/>
            </w14:solidFill>
          </w14:textFill>
        </w:rPr>
        <w:t xml:space="preserve"> </w:t>
      </w:r>
      <w:r>
        <w:rPr>
          <w:rFonts w:hint="eastAsia" w:ascii="仿宋" w:hAnsi="仿宋"/>
          <w:color w:val="000000" w:themeColor="text1"/>
          <w:sz w:val="24"/>
          <w:szCs w:val="24"/>
          <w14:textFill>
            <w14:solidFill>
              <w14:schemeClr w14:val="tx1"/>
            </w14:solidFill>
          </w14:textFill>
        </w:rPr>
        <w:t>住宅小区生活饮用水泵房的出水管上，应设置水质在线监测系统。至少检测出水的浊度、余氯、pH 值、电导率等水质指标，监测结果住户可查。</w:t>
      </w:r>
    </w:p>
    <w:p w14:paraId="0DAFCBDD">
      <w:pPr>
        <w:snapToGrid w:val="0"/>
        <w:spacing w:line="360" w:lineRule="auto"/>
        <w:ind w:firstLine="640"/>
        <w:rPr>
          <w:rFonts w:hint="eastAsia" w:ascii="仿宋" w:hAnsi="仿宋"/>
          <w:color w:val="000000" w:themeColor="text1"/>
          <w:sz w:val="24"/>
          <w:szCs w:val="24"/>
          <w14:textFill>
            <w14:solidFill>
              <w14:schemeClr w14:val="tx1"/>
            </w14:solidFill>
          </w14:textFill>
        </w:rPr>
      </w:pPr>
      <w:r>
        <w:rPr>
          <w:rFonts w:hint="eastAsia" w:ascii="仿宋" w:hAnsi="仿宋"/>
          <w:color w:val="000000" w:themeColor="text1"/>
          <w:sz w:val="24"/>
          <w:szCs w:val="24"/>
          <w14:textFill>
            <w14:solidFill>
              <w14:schemeClr w14:val="tx1"/>
            </w14:solidFill>
          </w14:textFill>
        </w:rPr>
        <w:t>2</w:t>
      </w:r>
      <w:r>
        <w:rPr>
          <w:rFonts w:hint="eastAsia" w:ascii="仿宋" w:hAnsi="仿宋"/>
          <w:color w:val="000000" w:themeColor="text1"/>
          <w:sz w:val="24"/>
          <w:szCs w:val="24"/>
          <w:lang w:val="en-US" w:eastAsia="zh-CN"/>
          <w14:textFill>
            <w14:solidFill>
              <w14:schemeClr w14:val="tx1"/>
            </w14:solidFill>
          </w14:textFill>
        </w:rPr>
        <w:t xml:space="preserve"> </w:t>
      </w:r>
      <w:r>
        <w:rPr>
          <w:rFonts w:ascii="仿宋" w:hAnsi="仿宋"/>
          <w:color w:val="000000" w:themeColor="text1"/>
          <w:sz w:val="24"/>
          <w:szCs w:val="24"/>
          <w14:textFill>
            <w14:solidFill>
              <w14:schemeClr w14:val="tx1"/>
            </w14:solidFill>
          </w14:textFill>
        </w:rPr>
        <w:t>生活饮用水泵房</w:t>
      </w:r>
      <w:r>
        <w:rPr>
          <w:rFonts w:hint="eastAsia" w:ascii="仿宋" w:hAnsi="仿宋"/>
          <w:color w:val="000000" w:themeColor="text1"/>
          <w:sz w:val="24"/>
          <w:szCs w:val="24"/>
          <w14:textFill>
            <w14:solidFill>
              <w14:schemeClr w14:val="tx1"/>
            </w14:solidFill>
          </w14:textFill>
        </w:rPr>
        <w:t>应</w:t>
      </w:r>
      <w:r>
        <w:rPr>
          <w:rFonts w:ascii="仿宋" w:hAnsi="仿宋"/>
          <w:color w:val="000000" w:themeColor="text1"/>
          <w:sz w:val="24"/>
          <w:szCs w:val="24"/>
          <w14:textFill>
            <w14:solidFill>
              <w14:schemeClr w14:val="tx1"/>
            </w14:solidFill>
          </w14:textFill>
        </w:rPr>
        <w:t>设置入侵报警系统等技防、物防安全防范和监控措施。</w:t>
      </w:r>
    </w:p>
    <w:p w14:paraId="6BBC9A29">
      <w:pPr>
        <w:snapToGrid w:val="0"/>
        <w:spacing w:line="360" w:lineRule="auto"/>
        <w:ind w:firstLine="640"/>
        <w:rPr>
          <w:rFonts w:hint="eastAsia" w:ascii="仿宋" w:hAnsi="仿宋"/>
          <w:color w:val="000000" w:themeColor="text1"/>
          <w:sz w:val="24"/>
          <w:szCs w:val="24"/>
          <w14:textFill>
            <w14:solidFill>
              <w14:schemeClr w14:val="tx1"/>
            </w14:solidFill>
          </w14:textFill>
        </w:rPr>
      </w:pPr>
      <w:r>
        <w:rPr>
          <w:rFonts w:hint="eastAsia" w:ascii="仿宋" w:hAnsi="仿宋"/>
          <w:color w:val="000000" w:themeColor="text1"/>
          <w:sz w:val="24"/>
          <w:szCs w:val="24"/>
          <w14:textFill>
            <w14:solidFill>
              <w14:schemeClr w14:val="tx1"/>
            </w14:solidFill>
          </w14:textFill>
        </w:rPr>
        <w:t>3</w:t>
      </w:r>
      <w:r>
        <w:rPr>
          <w:rFonts w:hint="eastAsia" w:ascii="仿宋" w:hAnsi="仿宋"/>
          <w:color w:val="000000" w:themeColor="text1"/>
          <w:sz w:val="24"/>
          <w:szCs w:val="24"/>
          <w:lang w:val="en-US" w:eastAsia="zh-CN"/>
          <w14:textFill>
            <w14:solidFill>
              <w14:schemeClr w14:val="tx1"/>
            </w14:solidFill>
          </w14:textFill>
        </w:rPr>
        <w:t xml:space="preserve"> </w:t>
      </w:r>
      <w:r>
        <w:rPr>
          <w:rFonts w:hint="eastAsia" w:ascii="仿宋" w:hAnsi="仿宋"/>
          <w:color w:val="000000" w:themeColor="text1"/>
          <w:sz w:val="24"/>
          <w:szCs w:val="24"/>
          <w14:textFill>
            <w14:solidFill>
              <w14:schemeClr w14:val="tx1"/>
            </w14:solidFill>
          </w14:textFill>
        </w:rPr>
        <w:t>新建住宅小区及有改造条件的既有住宅小区内的生活饮水用泵房应设置在地上，并设置不被内涝淹没的措施。</w:t>
      </w:r>
    </w:p>
    <w:p w14:paraId="05C3D165">
      <w:pPr>
        <w:snapToGrid w:val="0"/>
        <w:spacing w:line="360" w:lineRule="auto"/>
        <w:ind w:firstLine="640"/>
        <w:rPr>
          <w:rFonts w:hint="eastAsia" w:ascii="仿宋" w:hAnsi="仿宋"/>
          <w:color w:val="000000" w:themeColor="text1"/>
          <w:sz w:val="24"/>
          <w:szCs w:val="24"/>
          <w14:textFill>
            <w14:solidFill>
              <w14:schemeClr w14:val="tx1"/>
            </w14:solidFill>
          </w14:textFill>
        </w:rPr>
      </w:pPr>
      <w:r>
        <w:rPr>
          <w:rFonts w:hint="eastAsia" w:ascii="仿宋" w:hAnsi="仿宋"/>
          <w:color w:val="000000" w:themeColor="text1"/>
          <w:sz w:val="24"/>
          <w:szCs w:val="24"/>
          <w14:textFill>
            <w14:solidFill>
              <w14:schemeClr w14:val="tx1"/>
            </w14:solidFill>
          </w14:textFill>
        </w:rPr>
        <w:t>4</w:t>
      </w:r>
      <w:r>
        <w:rPr>
          <w:rFonts w:hint="eastAsia" w:ascii="仿宋" w:hAnsi="仿宋"/>
          <w:color w:val="000000" w:themeColor="text1"/>
          <w:sz w:val="24"/>
          <w:szCs w:val="24"/>
          <w:lang w:val="en-US" w:eastAsia="zh-CN"/>
          <w14:textFill>
            <w14:solidFill>
              <w14:schemeClr w14:val="tx1"/>
            </w14:solidFill>
          </w14:textFill>
        </w:rPr>
        <w:t xml:space="preserve"> </w:t>
      </w:r>
      <w:r>
        <w:rPr>
          <w:rFonts w:hint="eastAsia" w:ascii="仿宋" w:hAnsi="仿宋"/>
          <w:color w:val="000000" w:themeColor="text1"/>
          <w:sz w:val="24"/>
          <w:szCs w:val="24"/>
          <w14:textFill>
            <w14:solidFill>
              <w14:schemeClr w14:val="tx1"/>
            </w14:solidFill>
          </w14:textFill>
        </w:rPr>
        <w:t>新建住宅小区应在公共空间设置直饮水集中供水点；鼓励精品商品住宅小区设置管道直饮水系统或在户内设置末端处理的直饮水处理设备。</w:t>
      </w:r>
    </w:p>
    <w:p w14:paraId="315E6DD1">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5.4.3</w:t>
      </w:r>
      <w:r>
        <w:rPr>
          <w:rFonts w:hint="eastAsia" w:ascii="仿宋" w:hAnsi="仿宋" w:cs="仿宋"/>
          <w:color w:val="000000" w:themeColor="text1"/>
          <w:sz w:val="24"/>
          <w:szCs w:val="24"/>
          <w:lang w:val="en-US" w:eastAsia="zh-CN"/>
          <w14:textFill>
            <w14:solidFill>
              <w14:schemeClr w14:val="tx1"/>
            </w14:solidFill>
          </w14:textFill>
        </w:rPr>
        <w:t xml:space="preserve"> </w:t>
      </w:r>
      <w:r>
        <w:rPr>
          <w:rFonts w:hint="eastAsia" w:ascii="仿宋" w:hAnsi="仿宋" w:cs="仿宋"/>
          <w:color w:val="000000" w:themeColor="text1"/>
          <w:sz w:val="24"/>
          <w:szCs w:val="24"/>
          <w14:textFill>
            <w14:solidFill>
              <w14:schemeClr w14:val="tx1"/>
            </w14:solidFill>
          </w14:textFill>
        </w:rPr>
        <w:t>住宅小区生活热水系统宜采用以下措施：</w:t>
      </w:r>
    </w:p>
    <w:p w14:paraId="33205294">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w:t>
      </w:r>
      <w:r>
        <w:rPr>
          <w:rFonts w:hint="eastAsia" w:ascii="仿宋" w:hAnsi="仿宋" w:cs="仿宋"/>
          <w:color w:val="000000" w:themeColor="text1"/>
          <w:sz w:val="24"/>
          <w:szCs w:val="24"/>
          <w:lang w:val="en-US" w:eastAsia="zh-CN"/>
          <w14:textFill>
            <w14:solidFill>
              <w14:schemeClr w14:val="tx1"/>
            </w14:solidFill>
          </w14:textFill>
        </w:rPr>
        <w:t xml:space="preserve"> </w:t>
      </w:r>
      <w:r>
        <w:rPr>
          <w:rFonts w:hint="eastAsia" w:ascii="仿宋" w:hAnsi="仿宋" w:cs="仿宋"/>
          <w:color w:val="000000" w:themeColor="text1"/>
          <w:sz w:val="24"/>
          <w:szCs w:val="24"/>
          <w14:textFill>
            <w14:solidFill>
              <w14:schemeClr w14:val="tx1"/>
            </w14:solidFill>
          </w14:textFill>
        </w:rPr>
        <w:t>对于设集中生活热水供应系统的住宅，其热源宜优先采用太阳能等可再生能源，有条件时可采用余热、废热等。</w:t>
      </w:r>
    </w:p>
    <w:p w14:paraId="10EB19F5">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w:t>
      </w:r>
      <w:r>
        <w:rPr>
          <w:rFonts w:hint="eastAsia" w:ascii="仿宋" w:hAnsi="仿宋" w:cs="仿宋"/>
          <w:color w:val="000000" w:themeColor="text1"/>
          <w:sz w:val="24"/>
          <w:szCs w:val="24"/>
          <w:lang w:val="en-US" w:eastAsia="zh-CN"/>
          <w14:textFill>
            <w14:solidFill>
              <w14:schemeClr w14:val="tx1"/>
            </w14:solidFill>
          </w14:textFill>
        </w:rPr>
        <w:t xml:space="preserve"> </w:t>
      </w:r>
      <w:r>
        <w:rPr>
          <w:rFonts w:hint="eastAsia" w:ascii="仿宋" w:hAnsi="仿宋" w:cs="仿宋"/>
          <w:color w:val="000000" w:themeColor="text1"/>
          <w:sz w:val="24"/>
          <w:szCs w:val="24"/>
          <w14:textFill>
            <w14:solidFill>
              <w14:schemeClr w14:val="tx1"/>
            </w14:solidFill>
          </w14:textFill>
        </w:rPr>
        <w:t>当同一建筑投影区内，有3个及以上的住户在屋顶设置各户专用的家用太阳能集热水器时，其竖向的供水管道、回水管道、溢流管道等管线鼓励集中设置在维修井道内。</w:t>
      </w:r>
    </w:p>
    <w:p w14:paraId="6497112A">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w:t>
      </w:r>
      <w:r>
        <w:rPr>
          <w:rFonts w:hint="eastAsia" w:ascii="仿宋" w:hAnsi="仿宋" w:cs="仿宋"/>
          <w:color w:val="000000" w:themeColor="text1"/>
          <w:sz w:val="24"/>
          <w:szCs w:val="24"/>
          <w:lang w:val="en-US" w:eastAsia="zh-CN"/>
          <w14:textFill>
            <w14:solidFill>
              <w14:schemeClr w14:val="tx1"/>
            </w14:solidFill>
          </w14:textFill>
        </w:rPr>
        <w:t xml:space="preserve"> </w:t>
      </w:r>
      <w:r>
        <w:rPr>
          <w:rFonts w:hint="eastAsia" w:ascii="仿宋" w:hAnsi="仿宋" w:cs="仿宋"/>
          <w:color w:val="000000" w:themeColor="text1"/>
          <w:sz w:val="24"/>
          <w:szCs w:val="24"/>
          <w14:textFill>
            <w14:solidFill>
              <w14:schemeClr w14:val="tx1"/>
            </w14:solidFill>
          </w14:textFill>
        </w:rPr>
        <w:t>在建筑立面上设置的太阳能集热板应与建筑立面同步协同设计，满足安全、适用、经济、美观的要求。</w:t>
      </w:r>
    </w:p>
    <w:p w14:paraId="0479B98B">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w:t>
      </w:r>
      <w:r>
        <w:rPr>
          <w:rFonts w:hint="eastAsia" w:ascii="仿宋" w:hAnsi="仿宋" w:cs="仿宋"/>
          <w:color w:val="000000" w:themeColor="text1"/>
          <w:sz w:val="24"/>
          <w:szCs w:val="24"/>
          <w:lang w:val="en-US" w:eastAsia="zh-CN"/>
          <w14:textFill>
            <w14:solidFill>
              <w14:schemeClr w14:val="tx1"/>
            </w14:solidFill>
          </w14:textFill>
        </w:rPr>
        <w:t xml:space="preserve"> </w:t>
      </w:r>
      <w:r>
        <w:rPr>
          <w:rFonts w:hint="eastAsia" w:ascii="仿宋" w:hAnsi="仿宋" w:cs="仿宋"/>
          <w:color w:val="000000" w:themeColor="text1"/>
          <w:sz w:val="24"/>
          <w:szCs w:val="24"/>
          <w14:textFill>
            <w14:solidFill>
              <w14:schemeClr w14:val="tx1"/>
            </w14:solidFill>
          </w14:textFill>
        </w:rPr>
        <w:t>户内热水供水管长度大于15m时，鼓励在精品商品房设置热水循环措施。</w:t>
      </w:r>
    </w:p>
    <w:p w14:paraId="6971830C">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5.4.4 住宅小区应采取以下非传统水源利用措施：</w:t>
      </w:r>
    </w:p>
    <w:p w14:paraId="6639B992">
      <w:pPr>
        <w:snapToGrid w:val="0"/>
        <w:spacing w:line="360" w:lineRule="auto"/>
        <w:ind w:firstLine="424" w:firstLineChars="177"/>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1住宅小区内的绿化浇灌用水、硬化地面冲洗用水水源应优</w:t>
      </w:r>
      <w:r>
        <w:rPr>
          <w:rFonts w:hint="eastAsia" w:ascii="仿宋" w:hAnsi="仿宋" w:cs="仿宋"/>
          <w:color w:val="000000" w:themeColor="text1"/>
          <w:sz w:val="24"/>
          <w:szCs w:val="24"/>
          <w14:textFill>
            <w14:solidFill>
              <w14:schemeClr w14:val="tx1"/>
            </w14:solidFill>
          </w14:textFill>
        </w:rPr>
        <w:t>先</w:t>
      </w:r>
      <w:r>
        <w:rPr>
          <w:rFonts w:hint="eastAsia" w:ascii="仿宋" w:hAnsi="仿宋" w:cs="仿宋"/>
          <w:color w:val="000000" w:themeColor="text1"/>
          <w:sz w:val="24"/>
          <w:szCs w:val="24"/>
          <w:lang w:val="en-US" w:eastAsia="zh-CN"/>
          <w14:textFill>
            <w14:solidFill>
              <w14:schemeClr w14:val="tx1"/>
            </w14:solidFill>
          </w14:textFill>
        </w:rPr>
        <w:t>使</w:t>
      </w:r>
      <w:r>
        <w:rPr>
          <w:rFonts w:hint="eastAsia" w:ascii="仿宋" w:hAnsi="仿宋" w:cs="仿宋"/>
          <w:color w:val="000000" w:themeColor="text1"/>
          <w:sz w:val="24"/>
          <w:szCs w:val="24"/>
          <w:lang w:eastAsia="zh-CN"/>
          <w14:textFill>
            <w14:solidFill>
              <w14:schemeClr w14:val="tx1"/>
            </w14:solidFill>
          </w14:textFill>
        </w:rPr>
        <w:t>用</w:t>
      </w:r>
      <w:r>
        <w:rPr>
          <w:rFonts w:hint="eastAsia" w:ascii="仿宋" w:hAnsi="仿宋" w:cs="仿宋"/>
          <w:color w:val="000000" w:themeColor="text1"/>
          <w:sz w:val="24"/>
          <w:szCs w:val="24"/>
          <w14:textFill>
            <w14:solidFill>
              <w14:schemeClr w14:val="tx1"/>
            </w14:solidFill>
          </w14:textFill>
        </w:rPr>
        <w:t>雨</w:t>
      </w:r>
      <w:r>
        <w:rPr>
          <w:rFonts w:hint="eastAsia" w:ascii="仿宋" w:hAnsi="仿宋" w:cs="仿宋"/>
          <w:color w:val="000000" w:themeColor="text1"/>
          <w:sz w:val="24"/>
          <w:szCs w:val="24"/>
          <w14:textFill>
            <w14:solidFill>
              <w14:schemeClr w14:val="tx1"/>
            </w14:solidFill>
          </w14:textFill>
        </w:rPr>
        <w:t>水收集回用水、市政中水等非传统水源。</w:t>
      </w:r>
    </w:p>
    <w:p w14:paraId="1EDD646D">
      <w:pPr>
        <w:snapToGrid w:val="0"/>
        <w:spacing w:line="360" w:lineRule="auto"/>
        <w:ind w:firstLine="424" w:firstLineChars="177"/>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w:t>
      </w:r>
      <w:r>
        <w:rPr>
          <w:rFonts w:ascii="仿宋" w:hAnsi="仿宋" w:cs="仿宋"/>
          <w:color w:val="000000" w:themeColor="text1"/>
          <w:sz w:val="24"/>
          <w:szCs w:val="24"/>
          <w14:textFill>
            <w14:solidFill>
              <w14:schemeClr w14:val="tx1"/>
            </w14:solidFill>
          </w14:textFill>
        </w:rPr>
        <w:t>非亲水性的室外景观水体</w:t>
      </w:r>
      <w:r>
        <w:rPr>
          <w:rFonts w:hint="eastAsia" w:ascii="仿宋" w:hAnsi="仿宋" w:cs="仿宋"/>
          <w:color w:val="000000" w:themeColor="text1"/>
          <w:sz w:val="24"/>
          <w:szCs w:val="24"/>
          <w14:textFill>
            <w14:solidFill>
              <w14:schemeClr w14:val="tx1"/>
            </w14:solidFill>
          </w14:textFill>
        </w:rPr>
        <w:t>补水应优先由非传统水源供给。水景宜设置循环用水措施。</w:t>
      </w:r>
    </w:p>
    <w:p w14:paraId="0A65A698">
      <w:pPr>
        <w:snapToGrid w:val="0"/>
        <w:spacing w:line="360" w:lineRule="auto"/>
        <w:ind w:firstLine="424" w:firstLineChars="177"/>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 鼓励新建精品商品房住宅小区内利用中水系统。</w:t>
      </w:r>
    </w:p>
    <w:p w14:paraId="1B331162">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5.4.5 住宅小区应设以下雨水利用措施：</w:t>
      </w:r>
    </w:p>
    <w:p w14:paraId="2E3056BD">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 大于10hm2的住宅小区应进行雨水控制及利用专项设计。</w:t>
      </w:r>
    </w:p>
    <w:p w14:paraId="08090E2F">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 对于需进行海绵城市设计的住宅小区应配合景观效果、场地竖向、汇水分区等合理布置海绵设施。</w:t>
      </w:r>
    </w:p>
    <w:p w14:paraId="44F2E3F6">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5.4.6 住宅小区宜在以下位置预留给水点、排水点</w:t>
      </w:r>
    </w:p>
    <w:p w14:paraId="553BF193">
      <w:pPr>
        <w:snapToGrid w:val="0"/>
        <w:spacing w:line="360" w:lineRule="auto"/>
        <w:ind w:firstLine="424" w:firstLineChars="177"/>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1住宅户内鼓励预留供智能清理机器人使用的给水点及排水点。</w:t>
      </w:r>
    </w:p>
    <w:p w14:paraId="4B3568DC">
      <w:pPr>
        <w:snapToGrid w:val="0"/>
        <w:spacing w:line="360" w:lineRule="auto"/>
        <w:ind w:firstLine="424" w:firstLineChars="177"/>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2在车库或停车场等公共空间的便民自助洗车点宜设置给水点及排水措施。</w:t>
      </w:r>
    </w:p>
    <w:p w14:paraId="2CA9B980">
      <w:pPr>
        <w:snapToGrid w:val="0"/>
        <w:spacing w:line="360" w:lineRule="auto"/>
        <w:ind w:firstLine="424" w:firstLineChars="177"/>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3在住宅小区的集中垃圾房内宜设置冲洗水龙及排水措施。</w:t>
      </w:r>
    </w:p>
    <w:p w14:paraId="087B62E4">
      <w:pPr>
        <w:snapToGrid w:val="0"/>
        <w:spacing w:line="360" w:lineRule="auto"/>
        <w:ind w:firstLine="424" w:firstLineChars="177"/>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4对于精品商品房住宅小区，鼓励在公共宠物游乐区的宠物排便处设置排水沟及冲洗措施。</w:t>
      </w:r>
    </w:p>
    <w:p w14:paraId="6A43C94E">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5.4.7 给水排水管道的管材选用应遵循以下原则：</w:t>
      </w:r>
    </w:p>
    <w:p w14:paraId="4EAEBAC9">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 生活给水管、生活热水管宜采用S316L不锈钢管、铜管等耐腐蚀、耐久性好、抗菌性强的管材。</w:t>
      </w:r>
    </w:p>
    <w:p w14:paraId="4D166F66">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 设在室内的排水管应采用密封性能好、降噪性能好、与建筑同寿命的管材。</w:t>
      </w:r>
    </w:p>
    <w:p w14:paraId="7CC3470F">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 设在室外的排水管应采用可抵抗紫外线辐射、抗老化、抗变脆、抗褪色、低温下抗冲击性能好的管材。</w:t>
      </w:r>
    </w:p>
    <w:p w14:paraId="2DFF0156">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5.4.8 住宅楼内的给水排水管道及阀门应按以下要求设置：</w:t>
      </w:r>
    </w:p>
    <w:p w14:paraId="624FAD34">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 公用的生活饮用水管、排水管不应设置在住户储藏室内，应设置在公共空间内。鼓励设置管线廊道、管线层。</w:t>
      </w:r>
    </w:p>
    <w:p w14:paraId="32670E8E">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 设置在住宅</w:t>
      </w:r>
      <w:r>
        <w:rPr>
          <w:rFonts w:ascii="仿宋" w:hAnsi="仿宋" w:cs="仿宋"/>
          <w:color w:val="000000" w:themeColor="text1"/>
          <w:sz w:val="24"/>
          <w:szCs w:val="24"/>
          <w14:textFill>
            <w14:solidFill>
              <w14:schemeClr w14:val="tx1"/>
            </w14:solidFill>
          </w14:textFill>
        </w:rPr>
        <w:t>走廊</w:t>
      </w:r>
      <w:r>
        <w:rPr>
          <w:rFonts w:hint="eastAsia" w:ascii="仿宋" w:hAnsi="仿宋" w:cs="仿宋"/>
          <w:color w:val="000000" w:themeColor="text1"/>
          <w:sz w:val="24"/>
          <w:szCs w:val="24"/>
          <w14:textFill>
            <w14:solidFill>
              <w14:schemeClr w14:val="tx1"/>
            </w14:solidFill>
          </w14:textFill>
        </w:rPr>
        <w:t>内的给水立管、排水立管应集中设置在水井内。在室内套外水平空间内明装的给水立管、排水立管应做封包处理。</w:t>
      </w:r>
    </w:p>
    <w:p w14:paraId="174F2F4E">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 分户水表前的公用管线应管线分离，鼓励住宅分户水表后的管线也管线分离。并应满足现行国家标准《装配式建筑评价标准》GB/T51129的相关要求。</w:t>
      </w:r>
    </w:p>
    <w:p w14:paraId="48B510E3">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 非在套内设置的阀门应设置在公共空间内。</w:t>
      </w:r>
    </w:p>
    <w:p w14:paraId="10A35D7C">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5.4.9 卫生器具的选用应符合《节水型生活用水器具》CJ/164的要求，节水效率等级应达到2级，鼓励节水效率达到1级。</w:t>
      </w:r>
    </w:p>
    <w:p w14:paraId="170E306F">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5.4.10 住宅楼内应做以下隔音降噪措施</w:t>
      </w:r>
      <w:r>
        <w:rPr>
          <w:rFonts w:hint="eastAsia" w:ascii="仿宋" w:hAnsi="仿宋" w:cs="仿宋"/>
          <w:color w:val="000000" w:themeColor="text1"/>
          <w:sz w:val="24"/>
          <w:szCs w:val="24"/>
          <w:lang w:eastAsia="zh-CN"/>
          <w14:textFill>
            <w14:solidFill>
              <w14:schemeClr w14:val="tx1"/>
            </w14:solidFill>
          </w14:textFill>
        </w:rPr>
        <w:t>：</w:t>
      </w:r>
    </w:p>
    <w:p w14:paraId="5B037537">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w:t>
      </w:r>
      <w:r>
        <w:rPr>
          <w:rFonts w:hint="eastAsia" w:ascii="仿宋" w:hAnsi="仿宋" w:cs="仿宋"/>
          <w:color w:val="000000" w:themeColor="text1"/>
          <w:sz w:val="24"/>
          <w:szCs w:val="24"/>
          <w:lang w:val="en-US" w:eastAsia="zh-CN"/>
          <w14:textFill>
            <w14:solidFill>
              <w14:schemeClr w14:val="tx1"/>
            </w14:solidFill>
          </w14:textFill>
        </w:rPr>
        <w:t xml:space="preserve"> </w:t>
      </w:r>
      <w:r>
        <w:rPr>
          <w:rFonts w:hint="eastAsia" w:ascii="仿宋" w:hAnsi="仿宋" w:cs="仿宋"/>
          <w:color w:val="000000" w:themeColor="text1"/>
          <w:sz w:val="24"/>
          <w:szCs w:val="24"/>
          <w14:textFill>
            <w14:solidFill>
              <w14:schemeClr w14:val="tx1"/>
            </w14:solidFill>
          </w14:textFill>
        </w:rPr>
        <w:t>住户空间内排水立管的设置位置，不得贴邻卧室。住户空间内排水管道应采取降噪措施，以保证排水时卧室内的噪声等效声级不应大于33dB。</w:t>
      </w:r>
    </w:p>
    <w:p w14:paraId="45BC8950">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w:t>
      </w:r>
      <w:r>
        <w:rPr>
          <w:rFonts w:hint="eastAsia" w:ascii="仿宋" w:hAnsi="仿宋" w:cs="仿宋"/>
          <w:color w:val="000000" w:themeColor="text1"/>
          <w:sz w:val="24"/>
          <w:szCs w:val="24"/>
          <w:lang w:val="en-US" w:eastAsia="zh-CN"/>
          <w14:textFill>
            <w14:solidFill>
              <w14:schemeClr w14:val="tx1"/>
            </w14:solidFill>
          </w14:textFill>
        </w:rPr>
        <w:t xml:space="preserve"> </w:t>
      </w:r>
      <w:r>
        <w:rPr>
          <w:rFonts w:hint="eastAsia" w:ascii="仿宋" w:hAnsi="仿宋" w:cs="仿宋"/>
          <w:color w:val="000000" w:themeColor="text1"/>
          <w:sz w:val="24"/>
          <w:szCs w:val="24"/>
          <w14:textFill>
            <w14:solidFill>
              <w14:schemeClr w14:val="tx1"/>
            </w14:solidFill>
          </w14:textFill>
        </w:rPr>
        <w:t>当上层住户卫生间毗邻下层住户空间时，应采用同层排水的形式。</w:t>
      </w:r>
    </w:p>
    <w:p w14:paraId="227FD510">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w:t>
      </w:r>
      <w:r>
        <w:rPr>
          <w:rFonts w:hint="eastAsia" w:ascii="仿宋" w:hAnsi="仿宋" w:cs="仿宋"/>
          <w:color w:val="000000" w:themeColor="text1"/>
          <w:sz w:val="24"/>
          <w:szCs w:val="24"/>
          <w:lang w:val="en-US" w:eastAsia="zh-CN"/>
          <w14:textFill>
            <w14:solidFill>
              <w14:schemeClr w14:val="tx1"/>
            </w14:solidFill>
          </w14:textFill>
        </w:rPr>
        <w:t xml:space="preserve"> </w:t>
      </w:r>
      <w:r>
        <w:rPr>
          <w:rFonts w:hint="eastAsia" w:ascii="仿宋" w:hAnsi="仿宋" w:cs="仿宋"/>
          <w:color w:val="000000" w:themeColor="text1"/>
          <w:sz w:val="24"/>
          <w:szCs w:val="24"/>
          <w14:textFill>
            <w14:solidFill>
              <w14:schemeClr w14:val="tx1"/>
            </w14:solidFill>
          </w14:textFill>
        </w:rPr>
        <w:t>在住宅楼主体内设置的设备应采取消声、隔振、减振等措施。产生振动的设备与管道连接时应采用软连接的方式。</w:t>
      </w:r>
    </w:p>
    <w:p w14:paraId="39775700">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w:t>
      </w:r>
      <w:r>
        <w:rPr>
          <w:rFonts w:hint="eastAsia" w:ascii="仿宋" w:hAnsi="仿宋" w:cs="仿宋"/>
          <w:color w:val="000000" w:themeColor="text1"/>
          <w:sz w:val="24"/>
          <w:szCs w:val="24"/>
          <w:lang w:val="en-US" w:eastAsia="zh-CN"/>
          <w14:textFill>
            <w14:solidFill>
              <w14:schemeClr w14:val="tx1"/>
            </w14:solidFill>
          </w14:textFill>
        </w:rPr>
        <w:t xml:space="preserve"> </w:t>
      </w:r>
      <w:r>
        <w:rPr>
          <w:rFonts w:hint="eastAsia" w:ascii="仿宋" w:hAnsi="仿宋" w:cs="仿宋"/>
          <w:color w:val="000000" w:themeColor="text1"/>
          <w:sz w:val="24"/>
          <w:szCs w:val="24"/>
          <w14:textFill>
            <w14:solidFill>
              <w14:schemeClr w14:val="tx1"/>
            </w14:solidFill>
          </w14:textFill>
        </w:rPr>
        <w:t>鼓励精品商品房中，供多户户内使用的污废水立管设置在公共空间。</w:t>
      </w:r>
    </w:p>
    <w:p w14:paraId="5045FCBB">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5.4.11 住宅小区内的老年人养老设施应采取以下措施：</w:t>
      </w:r>
    </w:p>
    <w:p w14:paraId="07C60631">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 给水管道的设计流速不应超过1m/s。</w:t>
      </w:r>
    </w:p>
    <w:p w14:paraId="10E5B1C3">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 排水管道的降噪措施同样应满足本规范5.4.10中1、2、3条的要求。</w:t>
      </w:r>
    </w:p>
    <w:p w14:paraId="313B5532">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p>
    <w:p w14:paraId="77C2EB39">
      <w:pPr>
        <w:pStyle w:val="3"/>
        <w:ind w:firstLine="643"/>
        <w:jc w:val="center"/>
        <w:rPr>
          <w:color w:val="000000" w:themeColor="text1"/>
          <w:sz w:val="24"/>
          <w:szCs w:val="24"/>
          <w14:textFill>
            <w14:solidFill>
              <w14:schemeClr w14:val="tx1"/>
            </w14:solidFill>
          </w14:textFill>
        </w:rPr>
      </w:pPr>
      <w:bookmarkStart w:id="30" w:name="_Toc31884"/>
      <w:r>
        <w:rPr>
          <w:rFonts w:hint="eastAsia"/>
          <w:color w:val="000000" w:themeColor="text1"/>
          <w:sz w:val="24"/>
          <w:szCs w:val="24"/>
          <w14:textFill>
            <w14:solidFill>
              <w14:schemeClr w14:val="tx1"/>
            </w14:solidFill>
          </w14:textFill>
        </w:rPr>
        <w:t>5.5 暖通空调设计</w:t>
      </w:r>
      <w:bookmarkEnd w:id="30"/>
    </w:p>
    <w:p w14:paraId="3220DFBC">
      <w:pPr>
        <w:snapToGrid w:val="0"/>
        <w:spacing w:line="360" w:lineRule="auto"/>
        <w:ind w:firstLine="0" w:firstLineChars="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5.5.1 </w:t>
      </w:r>
      <w:r>
        <w:rPr>
          <w:rFonts w:ascii="仿宋" w:hAnsi="仿宋" w:cs="仿宋"/>
          <w:color w:val="000000" w:themeColor="text1"/>
          <w:sz w:val="24"/>
          <w:szCs w:val="24"/>
          <w14:textFill>
            <w14:solidFill>
              <w14:schemeClr w14:val="tx1"/>
            </w14:solidFill>
          </w14:textFill>
        </w:rPr>
        <w:t>室内温度、湿度、气流组织满足人体舒适健康要求，主要功能房间热湿环境符合下列要求</w:t>
      </w:r>
      <w:r>
        <w:rPr>
          <w:rFonts w:hint="eastAsia" w:ascii="仿宋" w:hAnsi="仿宋" w:cs="仿宋"/>
          <w:color w:val="000000" w:themeColor="text1"/>
          <w:sz w:val="24"/>
          <w:szCs w:val="24"/>
          <w:lang w:eastAsia="zh-CN"/>
          <w14:textFill>
            <w14:solidFill>
              <w14:schemeClr w14:val="tx1"/>
            </w14:solidFill>
          </w14:textFill>
        </w:rPr>
        <w:t>：</w:t>
      </w:r>
    </w:p>
    <w:p w14:paraId="19A0D292">
      <w:pPr>
        <w:snapToGrid w:val="0"/>
        <w:spacing w:line="360" w:lineRule="auto"/>
        <w:ind w:firstLine="64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1 </w:t>
      </w:r>
      <w:r>
        <w:rPr>
          <w:rFonts w:ascii="仿宋" w:hAnsi="仿宋" w:cs="仿宋"/>
          <w:color w:val="000000" w:themeColor="text1"/>
          <w:sz w:val="24"/>
          <w:szCs w:val="24"/>
          <w14:textFill>
            <w14:solidFill>
              <w14:schemeClr w14:val="tx1"/>
            </w14:solidFill>
          </w14:textFill>
        </w:rPr>
        <w:t>在室内设计温度、湿度条件下，建筑非透光围护结构表面不应结露</w:t>
      </w:r>
      <w:r>
        <w:rPr>
          <w:rFonts w:hint="eastAsia" w:ascii="仿宋" w:hAnsi="仿宋" w:cs="仿宋"/>
          <w:color w:val="000000" w:themeColor="text1"/>
          <w:sz w:val="24"/>
          <w:szCs w:val="24"/>
          <w:lang w:eastAsia="zh-CN"/>
          <w14:textFill>
            <w14:solidFill>
              <w14:schemeClr w14:val="tx1"/>
            </w14:solidFill>
          </w14:textFill>
        </w:rPr>
        <w:t>；</w:t>
      </w:r>
    </w:p>
    <w:p w14:paraId="27BD96AC">
      <w:pPr>
        <w:snapToGrid w:val="0"/>
        <w:spacing w:line="360" w:lineRule="auto"/>
        <w:ind w:firstLine="640"/>
        <w:rPr>
          <w:rFonts w:ascii="仿宋" w:hAnsi="仿宋" w:cs="仿宋"/>
          <w:color w:val="000000" w:themeColor="text1"/>
          <w:sz w:val="24"/>
          <w:szCs w:val="24"/>
          <w14:textFill>
            <w14:solidFill>
              <w14:schemeClr w14:val="tx1"/>
            </w14:solidFill>
          </w14:textFill>
        </w:rPr>
      </w:pPr>
      <w:r>
        <w:rPr>
          <w:rFonts w:ascii="仿宋" w:hAnsi="仿宋" w:cs="仿宋"/>
          <w:color w:val="000000" w:themeColor="text1"/>
          <w:sz w:val="24"/>
          <w:szCs w:val="24"/>
          <w14:textFill>
            <w14:solidFill>
              <w14:schemeClr w14:val="tx1"/>
            </w14:solidFill>
          </w14:textFill>
        </w:rPr>
        <w:t>2 供暖建筑的屋面、外墙内部不应产生冷凝</w:t>
      </w:r>
      <w:r>
        <w:rPr>
          <w:rFonts w:hint="eastAsia" w:ascii="仿宋" w:hAnsi="仿宋" w:cs="仿宋"/>
          <w:color w:val="000000" w:themeColor="text1"/>
          <w:sz w:val="24"/>
          <w:szCs w:val="24"/>
          <w:lang w:eastAsia="zh-CN"/>
          <w14:textFill>
            <w14:solidFill>
              <w14:schemeClr w14:val="tx1"/>
            </w14:solidFill>
          </w14:textFill>
        </w:rPr>
        <w:t>；</w:t>
      </w:r>
    </w:p>
    <w:p w14:paraId="69DF143D">
      <w:pPr>
        <w:snapToGrid w:val="0"/>
        <w:spacing w:line="360" w:lineRule="auto"/>
        <w:ind w:firstLine="640"/>
        <w:rPr>
          <w:rFonts w:ascii="仿宋" w:hAnsi="仿宋" w:cs="仿宋"/>
          <w:color w:val="000000" w:themeColor="text1"/>
          <w:sz w:val="24"/>
          <w:szCs w:val="24"/>
          <w14:textFill>
            <w14:solidFill>
              <w14:schemeClr w14:val="tx1"/>
            </w14:solidFill>
          </w14:textFill>
        </w:rPr>
      </w:pPr>
      <w:r>
        <w:rPr>
          <w:rFonts w:ascii="仿宋" w:hAnsi="仿宋" w:cs="仿宋"/>
          <w:color w:val="000000" w:themeColor="text1"/>
          <w:sz w:val="24"/>
          <w:szCs w:val="24"/>
          <w14:textFill>
            <w14:solidFill>
              <w14:schemeClr w14:val="tx1"/>
            </w14:solidFill>
          </w14:textFill>
        </w:rPr>
        <w:t xml:space="preserve">3 </w:t>
      </w:r>
      <w:r>
        <w:rPr>
          <w:rFonts w:hint="eastAsia" w:ascii="仿宋" w:hAnsi="仿宋" w:cs="仿宋"/>
          <w:color w:val="000000" w:themeColor="text1"/>
          <w:sz w:val="24"/>
          <w:szCs w:val="24"/>
          <w14:textFill>
            <w14:solidFill>
              <w14:schemeClr w14:val="tx1"/>
            </w14:solidFill>
          </w14:textFill>
        </w:rPr>
        <w:t>卧室、起居室</w:t>
      </w:r>
      <w:r>
        <w:rPr>
          <w:rFonts w:ascii="仿宋" w:hAnsi="仿宋" w:cs="仿宋"/>
          <w:color w:val="000000" w:themeColor="text1"/>
          <w:sz w:val="24"/>
          <w:szCs w:val="24"/>
          <w14:textFill>
            <w14:solidFill>
              <w14:schemeClr w14:val="tx1"/>
            </w14:solidFill>
          </w14:textFill>
        </w:rPr>
        <w:t>冬季不</w:t>
      </w:r>
      <w:r>
        <w:rPr>
          <w:rFonts w:hint="eastAsia" w:ascii="仿宋" w:hAnsi="仿宋" w:cs="仿宋"/>
          <w:color w:val="000000" w:themeColor="text1"/>
          <w:sz w:val="24"/>
          <w:szCs w:val="24"/>
          <w14:textFill>
            <w14:solidFill>
              <w14:schemeClr w14:val="tx1"/>
            </w14:solidFill>
          </w14:textFill>
        </w:rPr>
        <w:t>应</w:t>
      </w:r>
      <w:r>
        <w:rPr>
          <w:rFonts w:ascii="仿宋" w:hAnsi="仿宋" w:cs="仿宋"/>
          <w:color w:val="000000" w:themeColor="text1"/>
          <w:sz w:val="24"/>
          <w:szCs w:val="24"/>
          <w14:textFill>
            <w14:solidFill>
              <w14:schemeClr w14:val="tx1"/>
            </w14:solidFill>
          </w14:textFill>
        </w:rPr>
        <w:t>低于20℃，夏季不宜高于26℃</w:t>
      </w:r>
      <w:r>
        <w:rPr>
          <w:rFonts w:hint="eastAsia" w:ascii="仿宋" w:hAnsi="仿宋" w:cs="仿宋"/>
          <w:color w:val="000000" w:themeColor="text1"/>
          <w:sz w:val="24"/>
          <w:szCs w:val="24"/>
          <w14:textFill>
            <w14:solidFill>
              <w14:schemeClr w14:val="tx1"/>
            </w14:solidFill>
          </w14:textFill>
        </w:rPr>
        <w:t>；卫生间</w:t>
      </w:r>
      <w:r>
        <w:rPr>
          <w:rFonts w:ascii="仿宋" w:hAnsi="仿宋" w:cs="仿宋"/>
          <w:color w:val="000000" w:themeColor="text1"/>
          <w:sz w:val="24"/>
          <w:szCs w:val="24"/>
          <w14:textFill>
            <w14:solidFill>
              <w14:schemeClr w14:val="tx1"/>
            </w14:solidFill>
          </w14:textFill>
        </w:rPr>
        <w:t>冬季不</w:t>
      </w:r>
      <w:r>
        <w:rPr>
          <w:rFonts w:hint="eastAsia" w:ascii="仿宋" w:hAnsi="仿宋" w:cs="仿宋"/>
          <w:color w:val="000000" w:themeColor="text1"/>
          <w:sz w:val="24"/>
          <w:szCs w:val="24"/>
          <w14:textFill>
            <w14:solidFill>
              <w14:schemeClr w14:val="tx1"/>
            </w14:solidFill>
          </w14:textFill>
        </w:rPr>
        <w:t>应</w:t>
      </w:r>
      <w:r>
        <w:rPr>
          <w:rFonts w:ascii="仿宋" w:hAnsi="仿宋" w:cs="仿宋"/>
          <w:color w:val="000000" w:themeColor="text1"/>
          <w:sz w:val="24"/>
          <w:szCs w:val="24"/>
          <w14:textFill>
            <w14:solidFill>
              <w14:schemeClr w14:val="tx1"/>
            </w14:solidFill>
          </w14:textFill>
        </w:rPr>
        <w:t>低于</w:t>
      </w:r>
      <w:r>
        <w:rPr>
          <w:rFonts w:hint="eastAsia" w:ascii="仿宋" w:hAnsi="仿宋" w:cs="仿宋"/>
          <w:color w:val="000000" w:themeColor="text1"/>
          <w:sz w:val="24"/>
          <w:szCs w:val="24"/>
          <w14:textFill>
            <w14:solidFill>
              <w14:schemeClr w14:val="tx1"/>
            </w14:solidFill>
          </w14:textFill>
        </w:rPr>
        <w:t>18</w:t>
      </w:r>
      <w:r>
        <w:rPr>
          <w:rFonts w:ascii="仿宋" w:hAnsi="仿宋" w:cs="仿宋"/>
          <w:color w:val="000000" w:themeColor="text1"/>
          <w:sz w:val="24"/>
          <w:szCs w:val="24"/>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，厨房</w:t>
      </w:r>
      <w:r>
        <w:rPr>
          <w:rFonts w:ascii="仿宋" w:hAnsi="仿宋" w:cs="仿宋"/>
          <w:color w:val="000000" w:themeColor="text1"/>
          <w:sz w:val="24"/>
          <w:szCs w:val="24"/>
          <w14:textFill>
            <w14:solidFill>
              <w14:schemeClr w14:val="tx1"/>
            </w14:solidFill>
          </w14:textFill>
        </w:rPr>
        <w:t>冬季不</w:t>
      </w:r>
      <w:r>
        <w:rPr>
          <w:rFonts w:hint="eastAsia" w:ascii="仿宋" w:hAnsi="仿宋" w:cs="仿宋"/>
          <w:color w:val="000000" w:themeColor="text1"/>
          <w:sz w:val="24"/>
          <w:szCs w:val="24"/>
          <w14:textFill>
            <w14:solidFill>
              <w14:schemeClr w14:val="tx1"/>
            </w14:solidFill>
          </w14:textFill>
        </w:rPr>
        <w:t>应</w:t>
      </w:r>
      <w:r>
        <w:rPr>
          <w:rFonts w:ascii="仿宋" w:hAnsi="仿宋" w:cs="仿宋"/>
          <w:color w:val="000000" w:themeColor="text1"/>
          <w:sz w:val="24"/>
          <w:szCs w:val="24"/>
          <w14:textFill>
            <w14:solidFill>
              <w14:schemeClr w14:val="tx1"/>
            </w14:solidFill>
          </w14:textFill>
        </w:rPr>
        <w:t>低于</w:t>
      </w:r>
      <w:r>
        <w:rPr>
          <w:rFonts w:hint="eastAsia" w:ascii="仿宋" w:hAnsi="仿宋" w:cs="仿宋"/>
          <w:color w:val="000000" w:themeColor="text1"/>
          <w:sz w:val="24"/>
          <w:szCs w:val="24"/>
          <w14:textFill>
            <w14:solidFill>
              <w14:schemeClr w14:val="tx1"/>
            </w14:solidFill>
          </w14:textFill>
        </w:rPr>
        <w:t>15</w:t>
      </w:r>
      <w:r>
        <w:rPr>
          <w:rFonts w:ascii="仿宋" w:hAnsi="仿宋" w:cs="仿宋"/>
          <w:color w:val="000000" w:themeColor="text1"/>
          <w:sz w:val="24"/>
          <w:szCs w:val="24"/>
          <w14:textFill>
            <w14:solidFill>
              <w14:schemeClr w14:val="tx1"/>
            </w14:solidFill>
          </w14:textFill>
        </w:rPr>
        <w:t>℃</w:t>
      </w:r>
    </w:p>
    <w:p w14:paraId="399E81C0">
      <w:pPr>
        <w:snapToGrid w:val="0"/>
        <w:spacing w:line="360" w:lineRule="auto"/>
        <w:ind w:firstLine="640"/>
        <w:rPr>
          <w:rFonts w:ascii="仿宋" w:hAnsi="仿宋" w:cs="仿宋"/>
          <w:color w:val="000000" w:themeColor="text1"/>
          <w:sz w:val="24"/>
          <w:szCs w:val="24"/>
          <w14:textFill>
            <w14:solidFill>
              <w14:schemeClr w14:val="tx1"/>
            </w14:solidFill>
          </w14:textFill>
        </w:rPr>
      </w:pPr>
      <w:r>
        <w:rPr>
          <w:rFonts w:ascii="仿宋" w:hAnsi="仿宋" w:cs="仿宋"/>
          <w:color w:val="000000" w:themeColor="text1"/>
          <w:sz w:val="24"/>
          <w:szCs w:val="24"/>
          <w14:textFill>
            <w14:solidFill>
              <w14:schemeClr w14:val="tx1"/>
            </w14:solidFill>
          </w14:textFill>
        </w:rPr>
        <w:t>4 空气相对湿度宜为</w:t>
      </w:r>
      <w:r>
        <w:rPr>
          <w:rFonts w:ascii="仿宋" w:hAnsi="仿宋" w:cs="仿宋"/>
          <w:color w:val="000000" w:themeColor="text1"/>
          <w:sz w:val="24"/>
          <w:szCs w:val="24"/>
          <w14:textFill>
            <w14:solidFill>
              <w14:schemeClr w14:val="tx1"/>
            </w14:solidFill>
          </w14:textFill>
        </w:rPr>
        <w:t xml:space="preserve"> 30%</w:t>
      </w:r>
      <w:r>
        <w:rPr>
          <w:rFonts w:hint="eastAsia" w:ascii="仿宋" w:hAnsi="仿宋" w:cs="仿宋"/>
          <w:color w:val="000000" w:themeColor="text1"/>
          <w:sz w:val="24"/>
          <w:szCs w:val="24"/>
          <w:lang w:eastAsia="zh-CN"/>
          <w14:textFill>
            <w14:solidFill>
              <w14:schemeClr w14:val="tx1"/>
            </w14:solidFill>
          </w14:textFill>
        </w:rPr>
        <w:t>～</w:t>
      </w:r>
      <w:r>
        <w:rPr>
          <w:rFonts w:ascii="仿宋" w:hAnsi="仿宋" w:cs="仿宋"/>
          <w:color w:val="000000" w:themeColor="text1"/>
          <w:sz w:val="24"/>
          <w:szCs w:val="24"/>
          <w14:textFill>
            <w14:solidFill>
              <w14:schemeClr w14:val="tx1"/>
            </w14:solidFill>
          </w14:textFill>
        </w:rPr>
        <w:t>60%。</w:t>
      </w:r>
    </w:p>
    <w:p w14:paraId="3A838B55">
      <w:pPr>
        <w:snapToGrid w:val="0"/>
        <w:spacing w:line="360" w:lineRule="auto"/>
        <w:ind w:firstLine="64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ascii="仿宋" w:hAnsi="仿宋" w:cs="仿宋"/>
          <w:color w:val="000000" w:themeColor="text1"/>
          <w:sz w:val="24"/>
          <w:szCs w:val="24"/>
          <w14:textFill>
            <w14:solidFill>
              <w14:schemeClr w14:val="tx1"/>
            </w14:solidFill>
          </w14:textFill>
        </w:rPr>
        <w:t>套内供暖空调系统和新风系统正常运行时，人员所在区域的风速，供冷工况不应大于0.25m/s，供热工况不应大于 0.2m/s。</w:t>
      </w:r>
    </w:p>
    <w:p w14:paraId="483A7964">
      <w:pPr>
        <w:snapToGrid w:val="0"/>
        <w:spacing w:line="360" w:lineRule="auto"/>
        <w:ind w:firstLine="0" w:firstLineChars="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5.5.2 </w:t>
      </w:r>
      <w:r>
        <w:rPr>
          <w:rFonts w:ascii="仿宋" w:hAnsi="仿宋" w:cs="仿宋"/>
          <w:color w:val="000000" w:themeColor="text1"/>
          <w:sz w:val="24"/>
          <w:szCs w:val="24"/>
          <w14:textFill>
            <w14:solidFill>
              <w14:schemeClr w14:val="tx1"/>
            </w14:solidFill>
          </w14:textFill>
        </w:rPr>
        <w:t>新风系统所需最小新风量应符合现行行业标准《住宅新风系统技术标准》JGJ/T440的相关规定</w:t>
      </w:r>
      <w:r>
        <w:rPr>
          <w:rFonts w:hint="eastAsia" w:ascii="仿宋" w:hAnsi="仿宋" w:cs="仿宋"/>
          <w:color w:val="000000" w:themeColor="text1"/>
          <w:sz w:val="24"/>
          <w:szCs w:val="24"/>
          <w14:textFill>
            <w14:solidFill>
              <w14:schemeClr w14:val="tx1"/>
            </w14:solidFill>
          </w14:textFill>
        </w:rPr>
        <w:t>；当采用辐射供冷系统时，需对新风量进行校核</w:t>
      </w:r>
      <w:r>
        <w:rPr>
          <w:rFonts w:ascii="仿宋" w:hAnsi="仿宋" w:cs="仿宋"/>
          <w:color w:val="000000" w:themeColor="text1"/>
          <w:sz w:val="24"/>
          <w:szCs w:val="24"/>
          <w14:textFill>
            <w14:solidFill>
              <w14:schemeClr w14:val="tx1"/>
            </w14:solidFill>
          </w14:textFill>
        </w:rPr>
        <w:t>。</w:t>
      </w:r>
    </w:p>
    <w:p w14:paraId="5395C1E2">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5.5.3 室温控制宜采用分环路控制方式，当采用整体控制方式时，应采集最不利房间温度。</w:t>
      </w:r>
    </w:p>
    <w:p w14:paraId="6F558678">
      <w:pPr>
        <w:snapToGrid w:val="0"/>
        <w:spacing w:line="360" w:lineRule="auto"/>
        <w:ind w:firstLine="0" w:firstLineChars="0"/>
        <w:rPr>
          <w:i/>
          <w:iCs/>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5.5.4 </w:t>
      </w:r>
      <w:r>
        <w:rPr>
          <w:rFonts w:ascii="仿宋" w:hAnsi="仿宋" w:cs="仿宋"/>
          <w:color w:val="000000" w:themeColor="text1"/>
          <w:sz w:val="24"/>
          <w:szCs w:val="24"/>
          <w14:textFill>
            <w14:solidFill>
              <w14:schemeClr w14:val="tx1"/>
            </w14:solidFill>
          </w14:textFill>
        </w:rPr>
        <w:t>起居室和卧室的空调室内机送风口不宜正对沙发和床头所在位置</w:t>
      </w:r>
      <w:r>
        <w:rPr>
          <w:rFonts w:hint="eastAsia" w:ascii="仿宋" w:hAnsi="仿宋" w:cs="仿宋"/>
          <w:color w:val="000000" w:themeColor="text1"/>
          <w:sz w:val="24"/>
          <w:szCs w:val="24"/>
          <w14:textFill>
            <w14:solidFill>
              <w14:schemeClr w14:val="tx1"/>
            </w14:solidFill>
          </w14:textFill>
        </w:rPr>
        <w:t>。</w:t>
      </w:r>
    </w:p>
    <w:p w14:paraId="07546C7B">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5.5.5</w:t>
      </w:r>
      <w:r>
        <w:rPr>
          <w:rFonts w:hint="eastAsia" w:ascii="仿宋" w:hAnsi="仿宋" w:cs="仿宋"/>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14:textFill>
            <w14:solidFill>
              <w14:schemeClr w14:val="tx1"/>
            </w14:solidFill>
          </w14:textFill>
        </w:rPr>
        <w:t>新风系统宜</w:t>
      </w:r>
      <w:r>
        <w:rPr>
          <w:rFonts w:ascii="仿宋" w:hAnsi="仿宋" w:cs="仿宋"/>
          <w:color w:val="000000" w:themeColor="text1"/>
          <w:sz w:val="24"/>
          <w:szCs w:val="24"/>
          <w14:textFill>
            <w14:solidFill>
              <w14:schemeClr w14:val="tx1"/>
            </w14:solidFill>
          </w14:textFill>
        </w:rPr>
        <w:t>符合下列要求</w:t>
      </w:r>
      <w:r>
        <w:rPr>
          <w:rFonts w:hint="eastAsia" w:ascii="仿宋" w:hAnsi="仿宋" w:cs="仿宋"/>
          <w:color w:val="000000" w:themeColor="text1"/>
          <w:sz w:val="24"/>
          <w:szCs w:val="24"/>
          <w:lang w:eastAsia="zh-CN"/>
          <w14:textFill>
            <w14:solidFill>
              <w14:schemeClr w14:val="tx1"/>
            </w14:solidFill>
          </w14:textFill>
        </w:rPr>
        <w:t>：</w:t>
      </w:r>
    </w:p>
    <w:p w14:paraId="4FBC0103">
      <w:pPr>
        <w:snapToGrid w:val="0"/>
        <w:spacing w:line="360" w:lineRule="auto"/>
        <w:ind w:firstLine="64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1 </w:t>
      </w:r>
      <w:r>
        <w:rPr>
          <w:rFonts w:ascii="仿宋" w:hAnsi="仿宋" w:cs="仿宋"/>
          <w:color w:val="000000" w:themeColor="text1"/>
          <w:sz w:val="24"/>
          <w:szCs w:val="24"/>
          <w14:textFill>
            <w14:solidFill>
              <w14:schemeClr w14:val="tx1"/>
            </w14:solidFill>
          </w14:textFill>
        </w:rPr>
        <w:t>采用主动式机械送排风系统</w:t>
      </w:r>
      <w:r>
        <w:rPr>
          <w:rFonts w:hint="eastAsia" w:ascii="仿宋" w:hAnsi="仿宋" w:cs="仿宋"/>
          <w:color w:val="000000" w:themeColor="text1"/>
          <w:sz w:val="24"/>
          <w:szCs w:val="24"/>
          <w:lang w:eastAsia="zh-CN"/>
          <w14:textFill>
            <w14:solidFill>
              <w14:schemeClr w14:val="tx1"/>
            </w14:solidFill>
          </w14:textFill>
        </w:rPr>
        <w:t>，</w:t>
      </w:r>
      <w:r>
        <w:rPr>
          <w:rFonts w:ascii="仿宋" w:hAnsi="仿宋" w:cs="仿宋"/>
          <w:color w:val="000000" w:themeColor="text1"/>
          <w:sz w:val="24"/>
          <w:szCs w:val="24"/>
          <w14:textFill>
            <w14:solidFill>
              <w14:schemeClr w14:val="tx1"/>
            </w14:solidFill>
          </w14:textFill>
        </w:rPr>
        <w:t>新风机组应具备PM</w:t>
      </w:r>
      <w:r>
        <w:rPr>
          <w:rFonts w:hint="eastAsia" w:ascii="仿宋" w:hAnsi="仿宋" w:cs="仿宋"/>
          <w:color w:val="000000" w:themeColor="text1"/>
          <w:sz w:val="24"/>
          <w:szCs w:val="24"/>
          <w14:textFill>
            <w14:solidFill>
              <w14:schemeClr w14:val="tx1"/>
            </w14:solidFill>
          </w14:textFill>
        </w:rPr>
        <w:t>2.5</w:t>
      </w:r>
      <w:r>
        <w:rPr>
          <w:rFonts w:ascii="仿宋" w:hAnsi="仿宋" w:cs="仿宋"/>
          <w:color w:val="000000" w:themeColor="text1"/>
          <w:sz w:val="24"/>
          <w:szCs w:val="24"/>
          <w14:textFill>
            <w14:solidFill>
              <w14:schemeClr w14:val="tx1"/>
            </w14:solidFill>
          </w14:textFill>
        </w:rPr>
        <w:t>过滤功能</w:t>
      </w:r>
      <w:r>
        <w:rPr>
          <w:rFonts w:hint="eastAsia" w:ascii="仿宋" w:hAnsi="仿宋" w:cs="仿宋"/>
          <w:color w:val="000000" w:themeColor="text1"/>
          <w:sz w:val="24"/>
          <w:szCs w:val="24"/>
          <w:lang w:eastAsia="zh-CN"/>
          <w14:textFill>
            <w14:solidFill>
              <w14:schemeClr w14:val="tx1"/>
            </w14:solidFill>
          </w14:textFill>
        </w:rPr>
        <w:t>，</w:t>
      </w:r>
      <w:r>
        <w:rPr>
          <w:rFonts w:ascii="仿宋" w:hAnsi="仿宋" w:cs="仿宋"/>
          <w:color w:val="000000" w:themeColor="text1"/>
          <w:sz w:val="24"/>
          <w:szCs w:val="24"/>
          <w14:textFill>
            <w14:solidFill>
              <w14:schemeClr w14:val="tx1"/>
            </w14:solidFill>
          </w14:textFill>
        </w:rPr>
        <w:t>过滤效率不应小于90%</w:t>
      </w:r>
      <w:r>
        <w:rPr>
          <w:rFonts w:hint="eastAsia" w:ascii="仿宋" w:hAnsi="仿宋" w:cs="仿宋"/>
          <w:color w:val="000000" w:themeColor="text1"/>
          <w:sz w:val="24"/>
          <w:szCs w:val="24"/>
          <w14:textFill>
            <w14:solidFill>
              <w14:schemeClr w14:val="tx1"/>
            </w14:solidFill>
          </w14:textFill>
        </w:rPr>
        <w:t>。</w:t>
      </w:r>
    </w:p>
    <w:p w14:paraId="4953161C">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2 </w:t>
      </w:r>
      <w:r>
        <w:rPr>
          <w:rFonts w:ascii="仿宋" w:hAnsi="仿宋" w:cs="仿宋"/>
          <w:color w:val="000000" w:themeColor="text1"/>
          <w:sz w:val="24"/>
          <w:szCs w:val="24"/>
          <w14:textFill>
            <w14:solidFill>
              <w14:schemeClr w14:val="tx1"/>
            </w14:solidFill>
          </w14:textFill>
        </w:rPr>
        <w:t>排风量不应大于新风量的80%，保证室内微正压环境</w:t>
      </w:r>
      <w:r>
        <w:rPr>
          <w:rFonts w:hint="eastAsia" w:ascii="仿宋" w:hAnsi="仿宋" w:cs="仿宋"/>
          <w:color w:val="000000" w:themeColor="text1"/>
          <w:sz w:val="24"/>
          <w:szCs w:val="24"/>
          <w:lang w:eastAsia="zh-CN"/>
          <w14:textFill>
            <w14:solidFill>
              <w14:schemeClr w14:val="tx1"/>
            </w14:solidFill>
          </w14:textFill>
        </w:rPr>
        <w:t>；</w:t>
      </w:r>
      <w:r>
        <w:rPr>
          <w:rFonts w:ascii="仿宋" w:hAnsi="仿宋" w:cs="仿宋"/>
          <w:color w:val="000000" w:themeColor="text1"/>
          <w:sz w:val="24"/>
          <w:szCs w:val="24"/>
          <w14:textFill>
            <w14:solidFill>
              <w14:schemeClr w14:val="tx1"/>
            </w14:solidFill>
          </w14:textFill>
        </w:rPr>
        <w:t>新风机组应能变风量运行</w:t>
      </w:r>
      <w:r>
        <w:rPr>
          <w:rFonts w:hint="eastAsia" w:ascii="仿宋" w:hAnsi="仿宋" w:cs="仿宋"/>
          <w:color w:val="000000" w:themeColor="text1"/>
          <w:sz w:val="24"/>
          <w:szCs w:val="24"/>
          <w14:textFill>
            <w14:solidFill>
              <w14:schemeClr w14:val="tx1"/>
            </w14:solidFill>
          </w14:textFill>
        </w:rPr>
        <w:t>。</w:t>
      </w:r>
    </w:p>
    <w:p w14:paraId="7190F173">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3 </w:t>
      </w:r>
      <w:r>
        <w:rPr>
          <w:rFonts w:ascii="仿宋" w:hAnsi="仿宋" w:cs="仿宋"/>
          <w:color w:val="000000" w:themeColor="text1"/>
          <w:sz w:val="24"/>
          <w:szCs w:val="24"/>
          <w14:textFill>
            <w14:solidFill>
              <w14:schemeClr w14:val="tx1"/>
            </w14:solidFill>
          </w14:textFill>
        </w:rPr>
        <w:t>新风</w:t>
      </w:r>
      <w:r>
        <w:rPr>
          <w:rFonts w:hint="eastAsia" w:ascii="仿宋" w:hAnsi="仿宋" w:cs="仿宋"/>
          <w:color w:val="000000" w:themeColor="text1"/>
          <w:sz w:val="24"/>
          <w:szCs w:val="24"/>
          <w14:textFill>
            <w14:solidFill>
              <w14:schemeClr w14:val="tx1"/>
            </w14:solidFill>
          </w14:textFill>
        </w:rPr>
        <w:t>系统应带有</w:t>
      </w:r>
      <w:r>
        <w:rPr>
          <w:rFonts w:ascii="仿宋" w:hAnsi="仿宋" w:cs="仿宋"/>
          <w:color w:val="000000" w:themeColor="text1"/>
          <w:sz w:val="24"/>
          <w:szCs w:val="24"/>
          <w14:textFill>
            <w14:solidFill>
              <w14:schemeClr w14:val="tx1"/>
            </w14:solidFill>
          </w14:textFill>
        </w:rPr>
        <w:t>热回收装置</w:t>
      </w:r>
      <w:r>
        <w:rPr>
          <w:rFonts w:hint="eastAsia" w:ascii="仿宋" w:hAnsi="仿宋" w:cs="仿宋"/>
          <w:color w:val="000000" w:themeColor="text1"/>
          <w:sz w:val="24"/>
          <w:szCs w:val="24"/>
          <w14:textFill>
            <w14:solidFill>
              <w14:schemeClr w14:val="tx1"/>
            </w14:solidFill>
          </w14:textFill>
        </w:rPr>
        <w:t>，</w:t>
      </w:r>
      <w:r>
        <w:rPr>
          <w:rFonts w:ascii="仿宋" w:hAnsi="仿宋" w:cs="仿宋"/>
          <w:color w:val="000000" w:themeColor="text1"/>
          <w:sz w:val="24"/>
          <w:szCs w:val="24"/>
          <w14:textFill>
            <w14:solidFill>
              <w14:schemeClr w14:val="tx1"/>
            </w14:solidFill>
          </w14:textFill>
        </w:rPr>
        <w:t>显热型显热交换效率不应低于75%</w:t>
      </w:r>
      <w:r>
        <w:rPr>
          <w:rFonts w:hint="eastAsia" w:ascii="仿宋" w:hAnsi="仿宋" w:cs="仿宋"/>
          <w:color w:val="000000" w:themeColor="text1"/>
          <w:sz w:val="24"/>
          <w:szCs w:val="24"/>
          <w14:textFill>
            <w14:solidFill>
              <w14:schemeClr w14:val="tx1"/>
            </w14:solidFill>
          </w14:textFill>
        </w:rPr>
        <w:t>；</w:t>
      </w:r>
      <w:r>
        <w:rPr>
          <w:rFonts w:ascii="仿宋" w:hAnsi="仿宋" w:cs="仿宋"/>
          <w:color w:val="000000" w:themeColor="text1"/>
          <w:sz w:val="24"/>
          <w:szCs w:val="24"/>
          <w14:textFill>
            <w14:solidFill>
              <w14:schemeClr w14:val="tx1"/>
            </w14:solidFill>
          </w14:textFill>
        </w:rPr>
        <w:t>全热型全热交换效率不应低于70%。</w:t>
      </w:r>
    </w:p>
    <w:p w14:paraId="444E120C">
      <w:pPr>
        <w:snapToGrid w:val="0"/>
        <w:spacing w:line="360" w:lineRule="auto"/>
        <w:ind w:firstLine="0" w:firstLineChars="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5.5.6</w:t>
      </w:r>
      <w:r>
        <w:rPr>
          <w:rFonts w:ascii="仿宋" w:hAnsi="仿宋" w:cs="仿宋"/>
          <w:color w:val="000000" w:themeColor="text1"/>
          <w:sz w:val="24"/>
          <w:szCs w:val="24"/>
          <w14:textFill>
            <w14:solidFill>
              <w14:schemeClr w14:val="tx1"/>
            </w14:solidFill>
          </w14:textFill>
        </w:rPr>
        <w:t xml:space="preserve"> </w:t>
      </w:r>
      <w:r>
        <w:rPr>
          <w:rFonts w:ascii="仿宋" w:hAnsi="仿宋" w:cs="仿宋"/>
          <w:color w:val="000000" w:themeColor="text1"/>
          <w:sz w:val="24"/>
          <w:szCs w:val="24"/>
          <w14:textFill>
            <w14:solidFill>
              <w14:schemeClr w14:val="tx1"/>
            </w14:solidFill>
          </w14:textFill>
        </w:rPr>
        <w:t>新风机组的运行控制应符合下列要求</w:t>
      </w:r>
      <w:r>
        <w:rPr>
          <w:rFonts w:hint="eastAsia" w:ascii="仿宋" w:hAnsi="仿宋" w:cs="仿宋"/>
          <w:color w:val="000000" w:themeColor="text1"/>
          <w:sz w:val="24"/>
          <w:szCs w:val="24"/>
          <w:lang w:eastAsia="zh-CN"/>
          <w14:textFill>
            <w14:solidFill>
              <w14:schemeClr w14:val="tx1"/>
            </w14:solidFill>
          </w14:textFill>
        </w:rPr>
        <w:t>：</w:t>
      </w:r>
    </w:p>
    <w:p w14:paraId="146C90D4">
      <w:pPr>
        <w:snapToGrid w:val="0"/>
        <w:spacing w:line="360" w:lineRule="auto"/>
        <w:ind w:firstLine="640"/>
        <w:rPr>
          <w:rFonts w:ascii="仿宋" w:hAnsi="仿宋" w:cs="仿宋"/>
          <w:color w:val="000000" w:themeColor="text1"/>
          <w:sz w:val="24"/>
          <w:szCs w:val="24"/>
          <w14:textFill>
            <w14:solidFill>
              <w14:schemeClr w14:val="tx1"/>
            </w14:solidFill>
          </w14:textFill>
        </w:rPr>
      </w:pPr>
      <w:r>
        <w:rPr>
          <w:rFonts w:ascii="仿宋" w:hAnsi="仿宋" w:cs="仿宋"/>
          <w:color w:val="000000" w:themeColor="text1"/>
          <w:sz w:val="24"/>
          <w:szCs w:val="24"/>
          <w14:textFill>
            <w14:solidFill>
              <w14:schemeClr w14:val="tx1"/>
            </w14:solidFill>
          </w14:textFill>
        </w:rPr>
        <w:t>1</w:t>
      </w:r>
      <w:r>
        <w:rPr>
          <w:rFonts w:hint="eastAsia" w:ascii="仿宋" w:hAnsi="仿宋" w:cs="仿宋"/>
          <w:color w:val="000000" w:themeColor="text1"/>
          <w:sz w:val="24"/>
          <w:szCs w:val="24"/>
          <w14:textFill>
            <w14:solidFill>
              <w14:schemeClr w14:val="tx1"/>
            </w14:solidFill>
          </w14:textFill>
        </w:rPr>
        <w:t xml:space="preserve"> </w:t>
      </w:r>
      <w:r>
        <w:rPr>
          <w:rFonts w:ascii="仿宋" w:hAnsi="仿宋" w:cs="仿宋"/>
          <w:color w:val="000000" w:themeColor="text1"/>
          <w:sz w:val="24"/>
          <w:szCs w:val="24"/>
          <w14:textFill>
            <w14:solidFill>
              <w14:schemeClr w14:val="tx1"/>
            </w14:solidFill>
          </w14:textFill>
        </w:rPr>
        <w:t>根据室内二氧化碳浓度变化，实现相应的设备启停、风机转速及新风阀开度调节</w:t>
      </w:r>
      <w:r>
        <w:rPr>
          <w:rFonts w:hint="eastAsia" w:ascii="仿宋" w:hAnsi="仿宋" w:cs="仿宋"/>
          <w:color w:val="000000" w:themeColor="text1"/>
          <w:sz w:val="24"/>
          <w:szCs w:val="24"/>
          <w:lang w:eastAsia="zh-CN"/>
          <w14:textFill>
            <w14:solidFill>
              <w14:schemeClr w14:val="tx1"/>
            </w14:solidFill>
          </w14:textFill>
        </w:rPr>
        <w:t>；</w:t>
      </w:r>
    </w:p>
    <w:p w14:paraId="532227FF">
      <w:pPr>
        <w:snapToGrid w:val="0"/>
        <w:spacing w:line="360" w:lineRule="auto"/>
        <w:ind w:firstLine="640"/>
        <w:rPr>
          <w:rFonts w:ascii="仿宋" w:hAnsi="仿宋" w:cs="仿宋"/>
          <w:color w:val="000000" w:themeColor="text1"/>
          <w:sz w:val="24"/>
          <w:szCs w:val="24"/>
          <w14:textFill>
            <w14:solidFill>
              <w14:schemeClr w14:val="tx1"/>
            </w14:solidFill>
          </w14:textFill>
        </w:rPr>
      </w:pPr>
      <w:r>
        <w:rPr>
          <w:rFonts w:ascii="仿宋" w:hAnsi="仿宋" w:cs="仿宋"/>
          <w:color w:val="000000" w:themeColor="text1"/>
          <w:sz w:val="24"/>
          <w:szCs w:val="24"/>
          <w14:textFill>
            <w14:solidFill>
              <w14:schemeClr w14:val="tx1"/>
            </w14:solidFill>
          </w14:textFill>
        </w:rPr>
        <w:t>2</w:t>
      </w:r>
      <w:r>
        <w:rPr>
          <w:rFonts w:hint="eastAsia" w:ascii="仿宋" w:hAnsi="仿宋" w:cs="仿宋"/>
          <w:color w:val="000000" w:themeColor="text1"/>
          <w:sz w:val="24"/>
          <w:szCs w:val="24"/>
          <w14:textFill>
            <w14:solidFill>
              <w14:schemeClr w14:val="tx1"/>
            </w14:solidFill>
          </w14:textFill>
        </w:rPr>
        <w:t xml:space="preserve"> </w:t>
      </w:r>
      <w:r>
        <w:rPr>
          <w:rFonts w:ascii="仿宋" w:hAnsi="仿宋" w:cs="仿宋"/>
          <w:color w:val="000000" w:themeColor="text1"/>
          <w:sz w:val="24"/>
          <w:szCs w:val="24"/>
          <w14:textFill>
            <w14:solidFill>
              <w14:schemeClr w14:val="tx1"/>
            </w14:solidFill>
          </w14:textFill>
        </w:rPr>
        <w:t>设置压差传感器检测过滤器压差变化</w:t>
      </w:r>
      <w:r>
        <w:rPr>
          <w:rFonts w:hint="eastAsia" w:ascii="仿宋" w:hAnsi="仿宋" w:cs="仿宋"/>
          <w:color w:val="000000" w:themeColor="text1"/>
          <w:sz w:val="24"/>
          <w:szCs w:val="24"/>
          <w:lang w:eastAsia="zh-CN"/>
          <w14:textFill>
            <w14:solidFill>
              <w14:schemeClr w14:val="tx1"/>
            </w14:solidFill>
          </w14:textFill>
        </w:rPr>
        <w:t>；</w:t>
      </w:r>
    </w:p>
    <w:p w14:paraId="09904496">
      <w:pPr>
        <w:snapToGrid w:val="0"/>
        <w:spacing w:line="360" w:lineRule="auto"/>
        <w:ind w:firstLine="640"/>
        <w:rPr>
          <w:rFonts w:ascii="仿宋" w:hAnsi="仿宋" w:cs="仿宋"/>
          <w:color w:val="000000" w:themeColor="text1"/>
          <w:sz w:val="24"/>
          <w:szCs w:val="24"/>
          <w14:textFill>
            <w14:solidFill>
              <w14:schemeClr w14:val="tx1"/>
            </w14:solidFill>
          </w14:textFill>
        </w:rPr>
      </w:pPr>
      <w:r>
        <w:rPr>
          <w:rFonts w:ascii="仿宋" w:hAnsi="仿宋" w:cs="仿宋"/>
          <w:color w:val="000000" w:themeColor="text1"/>
          <w:sz w:val="24"/>
          <w:szCs w:val="24"/>
          <w14:textFill>
            <w14:solidFill>
              <w14:schemeClr w14:val="tx1"/>
            </w14:solidFill>
          </w14:textFill>
        </w:rPr>
        <w:t>3 宜根据最小经济温差</w:t>
      </w:r>
      <w:r>
        <w:rPr>
          <w:rFonts w:hint="eastAsia" w:ascii="仿宋" w:hAnsi="仿宋" w:cs="仿宋"/>
          <w:color w:val="000000" w:themeColor="text1"/>
          <w:sz w:val="24"/>
          <w:szCs w:val="24"/>
          <w:lang w:eastAsia="zh-CN"/>
          <w14:textFill>
            <w14:solidFill>
              <w14:schemeClr w14:val="tx1"/>
            </w14:solidFill>
          </w14:textFill>
        </w:rPr>
        <w:t>（</w:t>
      </w:r>
      <w:r>
        <w:rPr>
          <w:rFonts w:ascii="仿宋" w:hAnsi="仿宋" w:cs="仿宋"/>
          <w:color w:val="000000" w:themeColor="text1"/>
          <w:sz w:val="24"/>
          <w:szCs w:val="24"/>
          <w14:textFill>
            <w14:solidFill>
              <w14:schemeClr w14:val="tx1"/>
            </w14:solidFill>
          </w14:textFill>
        </w:rPr>
        <w:t>焓差</w:t>
      </w:r>
      <w:r>
        <w:rPr>
          <w:rFonts w:hint="eastAsia" w:ascii="仿宋" w:hAnsi="仿宋" w:cs="仿宋"/>
          <w:color w:val="000000" w:themeColor="text1"/>
          <w:sz w:val="24"/>
          <w:szCs w:val="24"/>
          <w:lang w:eastAsia="zh-CN"/>
          <w14:textFill>
            <w14:solidFill>
              <w14:schemeClr w14:val="tx1"/>
            </w14:solidFill>
          </w14:textFill>
        </w:rPr>
        <w:t>）</w:t>
      </w:r>
      <w:r>
        <w:rPr>
          <w:rFonts w:ascii="仿宋" w:hAnsi="仿宋" w:cs="仿宋"/>
          <w:color w:val="000000" w:themeColor="text1"/>
          <w:sz w:val="24"/>
          <w:szCs w:val="24"/>
          <w14:textFill>
            <w14:solidFill>
              <w14:schemeClr w14:val="tx1"/>
            </w14:solidFill>
          </w14:textFill>
        </w:rPr>
        <w:t>控制新风热回收装置的旁通阀，或联动外窗开启进行自然通风</w:t>
      </w:r>
      <w:r>
        <w:rPr>
          <w:rFonts w:hint="eastAsia" w:ascii="仿宋" w:hAnsi="仿宋" w:cs="仿宋"/>
          <w:color w:val="000000" w:themeColor="text1"/>
          <w:sz w:val="24"/>
          <w:szCs w:val="24"/>
          <w:lang w:eastAsia="zh-CN"/>
          <w14:textFill>
            <w14:solidFill>
              <w14:schemeClr w14:val="tx1"/>
            </w14:solidFill>
          </w14:textFill>
        </w:rPr>
        <w:t>；</w:t>
      </w:r>
    </w:p>
    <w:p w14:paraId="372CEFAB">
      <w:pPr>
        <w:snapToGrid w:val="0"/>
        <w:spacing w:line="360" w:lineRule="auto"/>
        <w:ind w:firstLine="640"/>
        <w:rPr>
          <w:rFonts w:ascii="仿宋" w:hAnsi="仿宋" w:cs="仿宋"/>
          <w:color w:val="000000" w:themeColor="text1"/>
          <w:sz w:val="24"/>
          <w:szCs w:val="24"/>
          <w14:textFill>
            <w14:solidFill>
              <w14:schemeClr w14:val="tx1"/>
            </w14:solidFill>
          </w14:textFill>
        </w:rPr>
      </w:pPr>
      <w:r>
        <w:rPr>
          <w:rFonts w:ascii="仿宋" w:hAnsi="仿宋" w:cs="仿宋"/>
          <w:color w:val="000000" w:themeColor="text1"/>
          <w:sz w:val="24"/>
          <w:szCs w:val="24"/>
          <w14:textFill>
            <w14:solidFill>
              <w14:schemeClr w14:val="tx1"/>
            </w14:solidFill>
          </w14:textFill>
        </w:rPr>
        <w:t>4 寒冷地区的新风热回收装置应具备防冻保护功能</w:t>
      </w:r>
      <w:r>
        <w:rPr>
          <w:rFonts w:hint="eastAsia" w:ascii="仿宋" w:hAnsi="仿宋" w:cs="仿宋"/>
          <w:color w:val="000000" w:themeColor="text1"/>
          <w:sz w:val="24"/>
          <w:szCs w:val="24"/>
          <w:lang w:eastAsia="zh-CN"/>
          <w14:textFill>
            <w14:solidFill>
              <w14:schemeClr w14:val="tx1"/>
            </w14:solidFill>
          </w14:textFill>
        </w:rPr>
        <w:t>：</w:t>
      </w:r>
    </w:p>
    <w:p w14:paraId="76B75F81">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14:textFill>
            <w14:solidFill>
              <w14:schemeClr w14:val="tx1"/>
            </w14:solidFill>
          </w14:textFill>
        </w:rPr>
        <w:t xml:space="preserve"> </w:t>
      </w:r>
      <w:r>
        <w:rPr>
          <w:rFonts w:ascii="仿宋" w:hAnsi="仿宋" w:cs="仿宋"/>
          <w:color w:val="000000" w:themeColor="text1"/>
          <w:sz w:val="24"/>
          <w:szCs w:val="24"/>
          <w14:textFill>
            <w14:solidFill>
              <w14:schemeClr w14:val="tx1"/>
            </w14:solidFill>
          </w14:textFill>
        </w:rPr>
        <w:t>宜提供触摸屏、移动端操作软件等便捷的人机界面。</w:t>
      </w:r>
    </w:p>
    <w:p w14:paraId="59DE7FBD">
      <w:pPr>
        <w:snapToGrid w:val="0"/>
        <w:spacing w:line="360" w:lineRule="auto"/>
        <w:ind w:firstLine="0" w:firstLineChars="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5.5.7 </w:t>
      </w:r>
      <w:r>
        <w:rPr>
          <w:rFonts w:ascii="仿宋" w:hAnsi="仿宋" w:cs="仿宋"/>
          <w:color w:val="000000" w:themeColor="text1"/>
          <w:sz w:val="24"/>
          <w:szCs w:val="24"/>
          <w14:textFill>
            <w14:solidFill>
              <w14:schemeClr w14:val="tx1"/>
            </w14:solidFill>
          </w14:textFill>
        </w:rPr>
        <w:t>宜设置空气质量监控与显示系统，并符合下列要求</w:t>
      </w:r>
      <w:r>
        <w:rPr>
          <w:rFonts w:hint="eastAsia" w:ascii="仿宋" w:hAnsi="仿宋" w:cs="仿宋"/>
          <w:color w:val="000000" w:themeColor="text1"/>
          <w:sz w:val="24"/>
          <w:szCs w:val="24"/>
          <w:lang w:eastAsia="zh-CN"/>
          <w14:textFill>
            <w14:solidFill>
              <w14:schemeClr w14:val="tx1"/>
            </w14:solidFill>
          </w14:textFill>
        </w:rPr>
        <w:t>：</w:t>
      </w:r>
    </w:p>
    <w:p w14:paraId="5099AD7F">
      <w:pPr>
        <w:snapToGrid w:val="0"/>
        <w:spacing w:line="360" w:lineRule="auto"/>
        <w:ind w:firstLine="640"/>
        <w:rPr>
          <w:rFonts w:ascii="仿宋" w:hAnsi="仿宋" w:cs="仿宋"/>
          <w:color w:val="000000" w:themeColor="text1"/>
          <w:sz w:val="24"/>
          <w:szCs w:val="24"/>
          <w14:textFill>
            <w14:solidFill>
              <w14:schemeClr w14:val="tx1"/>
            </w14:solidFill>
          </w14:textFill>
        </w:rPr>
      </w:pPr>
      <w:r>
        <w:rPr>
          <w:rFonts w:ascii="仿宋" w:hAnsi="仿宋" w:cs="仿宋"/>
          <w:color w:val="000000" w:themeColor="text1"/>
          <w:sz w:val="24"/>
          <w:szCs w:val="24"/>
          <w14:textFill>
            <w14:solidFill>
              <w14:schemeClr w14:val="tx1"/>
            </w14:solidFill>
          </w14:textFill>
        </w:rPr>
        <w:t>1</w:t>
      </w:r>
      <w:r>
        <w:rPr>
          <w:rFonts w:hint="eastAsia" w:ascii="仿宋" w:hAnsi="仿宋" w:cs="仿宋"/>
          <w:color w:val="000000" w:themeColor="text1"/>
          <w:sz w:val="24"/>
          <w:szCs w:val="24"/>
          <w14:textFill>
            <w14:solidFill>
              <w14:schemeClr w14:val="tx1"/>
            </w14:solidFill>
          </w14:textFill>
        </w:rPr>
        <w:t xml:space="preserve"> </w:t>
      </w:r>
      <w:r>
        <w:rPr>
          <w:rFonts w:ascii="仿宋" w:hAnsi="仿宋" w:cs="仿宋"/>
          <w:color w:val="000000" w:themeColor="text1"/>
          <w:sz w:val="24"/>
          <w:szCs w:val="24"/>
          <w14:textFill>
            <w14:solidFill>
              <w14:schemeClr w14:val="tx1"/>
            </w14:solidFill>
          </w14:textFill>
        </w:rPr>
        <w:t>监测并实时显示室内PM0、PM5、CO</w:t>
      </w:r>
      <w:r>
        <w:rPr>
          <w:rFonts w:hint="eastAsia" w:ascii="仿宋" w:hAnsi="仿宋" w:cs="仿宋"/>
          <w:color w:val="000000" w:themeColor="text1"/>
          <w:sz w:val="24"/>
          <w:szCs w:val="24"/>
          <w:lang w:eastAsia="zh-CN"/>
          <w14:textFill>
            <w14:solidFill>
              <w14:schemeClr w14:val="tx1"/>
            </w14:solidFill>
          </w14:textFill>
        </w:rPr>
        <w:t>，</w:t>
      </w:r>
      <w:r>
        <w:rPr>
          <w:rFonts w:ascii="仿宋" w:hAnsi="仿宋" w:cs="仿宋"/>
          <w:color w:val="000000" w:themeColor="text1"/>
          <w:sz w:val="24"/>
          <w:szCs w:val="24"/>
          <w14:textFill>
            <w14:solidFill>
              <w14:schemeClr w14:val="tx1"/>
            </w14:solidFill>
          </w14:textFill>
        </w:rPr>
        <w:t>浓度，且有参数越限报警、事故报警及报警记录功能，并设有系统或设备故障诊断功能，其存储介质和数据库能记录连续一年以上的运行参数</w:t>
      </w:r>
      <w:r>
        <w:rPr>
          <w:rFonts w:hint="eastAsia" w:ascii="仿宋" w:hAnsi="仿宋" w:cs="仿宋"/>
          <w:color w:val="000000" w:themeColor="text1"/>
          <w:sz w:val="24"/>
          <w:szCs w:val="24"/>
          <w:lang w:eastAsia="zh-CN"/>
          <w14:textFill>
            <w14:solidFill>
              <w14:schemeClr w14:val="tx1"/>
            </w14:solidFill>
          </w14:textFill>
        </w:rPr>
        <w:t>；</w:t>
      </w:r>
    </w:p>
    <w:p w14:paraId="4465EC14">
      <w:pPr>
        <w:snapToGrid w:val="0"/>
        <w:spacing w:line="360" w:lineRule="auto"/>
        <w:ind w:firstLine="640"/>
        <w:rPr>
          <w:rFonts w:ascii="仿宋" w:hAnsi="仿宋" w:cs="仿宋"/>
          <w:color w:val="000000" w:themeColor="text1"/>
          <w:sz w:val="24"/>
          <w:szCs w:val="24"/>
          <w14:textFill>
            <w14:solidFill>
              <w14:schemeClr w14:val="tx1"/>
            </w14:solidFill>
          </w14:textFill>
        </w:rPr>
      </w:pPr>
      <w:r>
        <w:rPr>
          <w:rFonts w:ascii="仿宋" w:hAnsi="仿宋" w:cs="仿宋"/>
          <w:color w:val="000000" w:themeColor="text1"/>
          <w:sz w:val="24"/>
          <w:szCs w:val="24"/>
          <w14:textFill>
            <w14:solidFill>
              <w14:schemeClr w14:val="tx1"/>
            </w14:solidFill>
          </w14:textFill>
        </w:rPr>
        <w:t>2</w:t>
      </w:r>
      <w:r>
        <w:rPr>
          <w:rFonts w:hint="eastAsia" w:ascii="仿宋" w:hAnsi="仿宋" w:cs="仿宋"/>
          <w:color w:val="000000" w:themeColor="text1"/>
          <w:sz w:val="24"/>
          <w:szCs w:val="24"/>
          <w14:textFill>
            <w14:solidFill>
              <w14:schemeClr w14:val="tx1"/>
            </w14:solidFill>
          </w14:textFill>
        </w:rPr>
        <w:t xml:space="preserve"> </w:t>
      </w:r>
      <w:r>
        <w:rPr>
          <w:rFonts w:ascii="仿宋" w:hAnsi="仿宋" w:cs="仿宋"/>
          <w:color w:val="000000" w:themeColor="text1"/>
          <w:sz w:val="24"/>
          <w:szCs w:val="24"/>
          <w14:textFill>
            <w14:solidFill>
              <w14:schemeClr w14:val="tx1"/>
            </w14:solidFill>
          </w14:textFill>
        </w:rPr>
        <w:t>空气质量监测系统与所有室内空气质量调控设备组成自动控制系统</w:t>
      </w:r>
      <w:r>
        <w:rPr>
          <w:rFonts w:hint="eastAsia" w:ascii="仿宋" w:hAnsi="仿宋" w:cs="仿宋"/>
          <w:color w:val="000000" w:themeColor="text1"/>
          <w:sz w:val="24"/>
          <w:szCs w:val="24"/>
          <w:lang w:eastAsia="zh-CN"/>
          <w14:textFill>
            <w14:solidFill>
              <w14:schemeClr w14:val="tx1"/>
            </w14:solidFill>
          </w14:textFill>
        </w:rPr>
        <w:t>；</w:t>
      </w:r>
    </w:p>
    <w:p w14:paraId="2459B93B">
      <w:pPr>
        <w:snapToGrid w:val="0"/>
        <w:spacing w:line="360" w:lineRule="auto"/>
        <w:ind w:firstLine="640"/>
        <w:rPr>
          <w:rFonts w:hint="eastAsia"/>
          <w:i/>
          <w:iCs/>
          <w:color w:val="000000" w:themeColor="text1"/>
          <w:sz w:val="24"/>
          <w:szCs w:val="24"/>
          <w14:textFill>
            <w14:solidFill>
              <w14:schemeClr w14:val="tx1"/>
            </w14:solidFill>
          </w14:textFill>
        </w:rPr>
      </w:pPr>
      <w:r>
        <w:rPr>
          <w:rFonts w:ascii="仿宋" w:hAnsi="仿宋" w:cs="仿宋"/>
          <w:color w:val="000000" w:themeColor="text1"/>
          <w:sz w:val="24"/>
          <w:szCs w:val="24"/>
          <w14:textFill>
            <w14:solidFill>
              <w14:schemeClr w14:val="tx1"/>
            </w14:solidFill>
          </w14:textFill>
        </w:rPr>
        <w:t>3 显示室内空气质量表观指数</w:t>
      </w:r>
      <w:r>
        <w:rPr>
          <w:rFonts w:hint="eastAsia" w:ascii="仿宋" w:hAnsi="仿宋" w:cs="仿宋"/>
          <w:color w:val="000000" w:themeColor="text1"/>
          <w:sz w:val="24"/>
          <w:szCs w:val="24"/>
          <w14:textFill>
            <w14:solidFill>
              <w14:schemeClr w14:val="tx1"/>
            </w14:solidFill>
          </w14:textFill>
        </w:rPr>
        <w:t>。</w:t>
      </w:r>
    </w:p>
    <w:p w14:paraId="645FC75E">
      <w:pPr>
        <w:snapToGrid w:val="0"/>
        <w:spacing w:line="360" w:lineRule="auto"/>
        <w:ind w:firstLine="0" w:firstLineChars="0"/>
        <w:rPr>
          <w:rFonts w:hint="eastAsia"/>
          <w:i/>
          <w:iCs/>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5.5.8</w:t>
      </w:r>
      <w:r>
        <w:rPr>
          <w:rFonts w:ascii="仿宋" w:hAnsi="仿宋" w:cs="仿宋"/>
          <w:color w:val="000000" w:themeColor="text1"/>
          <w:sz w:val="24"/>
          <w:szCs w:val="24"/>
          <w14:textFill>
            <w14:solidFill>
              <w14:schemeClr w14:val="tx1"/>
            </w14:solidFill>
          </w14:textFill>
        </w:rPr>
        <w:t xml:space="preserve"> 厨房和卫生间应设机械排风系统，排风管道应具备防火、导流、防倒灌功能，连接主排风管或排风竖井的排风支管应设置止回阀，排风竖井顶部应设置防止室外倒灌的措施</w:t>
      </w:r>
      <w:r>
        <w:rPr>
          <w:rFonts w:hint="eastAsia" w:ascii="仿宋" w:hAnsi="仿宋" w:cs="仿宋"/>
          <w:color w:val="000000" w:themeColor="text1"/>
          <w:sz w:val="24"/>
          <w:szCs w:val="24"/>
          <w14:textFill>
            <w14:solidFill>
              <w14:schemeClr w14:val="tx1"/>
            </w14:solidFill>
          </w14:textFill>
        </w:rPr>
        <w:t>，宜</w:t>
      </w:r>
      <w:r>
        <w:rPr>
          <w:rFonts w:ascii="仿宋" w:hAnsi="仿宋" w:cs="仿宋"/>
          <w:color w:val="000000" w:themeColor="text1"/>
          <w:sz w:val="24"/>
          <w:szCs w:val="24"/>
          <w14:textFill>
            <w14:solidFill>
              <w14:schemeClr w14:val="tx1"/>
            </w14:solidFill>
          </w14:textFill>
        </w:rPr>
        <w:t>在油烟道顶部设置集中排油烟动力装置及油烟净化处理设备。</w:t>
      </w:r>
    </w:p>
    <w:p w14:paraId="6FB32A39">
      <w:pPr>
        <w:snapToGrid w:val="0"/>
        <w:spacing w:line="360" w:lineRule="auto"/>
        <w:ind w:firstLine="0" w:firstLineChars="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5.5.9 采用分体空调的住宅每户应合理设置空调室外机平台，</w:t>
      </w:r>
      <w:r>
        <w:rPr>
          <w:rFonts w:ascii="仿宋" w:hAnsi="仿宋" w:cs="仿宋"/>
          <w:color w:val="000000" w:themeColor="text1"/>
          <w:sz w:val="24"/>
          <w:szCs w:val="24"/>
          <w14:textFill>
            <w14:solidFill>
              <w14:schemeClr w14:val="tx1"/>
            </w14:solidFill>
          </w14:textFill>
        </w:rPr>
        <w:t>冷媒管不应进入或穿过无关房间</w:t>
      </w:r>
      <w:r>
        <w:rPr>
          <w:rFonts w:hint="eastAsia" w:ascii="仿宋" w:hAnsi="仿宋" w:cs="仿宋"/>
          <w:color w:val="000000" w:themeColor="text1"/>
          <w:sz w:val="24"/>
          <w:szCs w:val="24"/>
          <w14:textFill>
            <w14:solidFill>
              <w14:schemeClr w14:val="tx1"/>
            </w14:solidFill>
          </w14:textFill>
        </w:rPr>
        <w:t>，</w:t>
      </w:r>
      <w:r>
        <w:rPr>
          <w:rFonts w:ascii="仿宋" w:hAnsi="仿宋" w:cs="仿宋"/>
          <w:color w:val="000000" w:themeColor="text1"/>
          <w:sz w:val="24"/>
          <w:szCs w:val="24"/>
          <w14:textFill>
            <w14:solidFill>
              <w14:schemeClr w14:val="tx1"/>
            </w14:solidFill>
          </w14:textFill>
        </w:rPr>
        <w:t>空调室外机的布置宜远离或避开相邻的卧室或邻户的卧室</w:t>
      </w:r>
      <w:r>
        <w:rPr>
          <w:rFonts w:hint="eastAsia" w:ascii="仿宋" w:hAnsi="仿宋" w:cs="仿宋"/>
          <w:color w:val="000000" w:themeColor="text1"/>
          <w:sz w:val="24"/>
          <w:szCs w:val="24"/>
          <w:lang w:eastAsia="zh-CN"/>
          <w14:textFill>
            <w14:solidFill>
              <w14:schemeClr w14:val="tx1"/>
            </w14:solidFill>
          </w14:textFill>
        </w:rPr>
        <w:t>。</w:t>
      </w:r>
    </w:p>
    <w:p w14:paraId="62853982">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p>
    <w:p w14:paraId="39E47268">
      <w:pPr>
        <w:pStyle w:val="3"/>
        <w:ind w:firstLine="643"/>
        <w:jc w:val="center"/>
        <w:rPr>
          <w:rFonts w:hint="eastAsia" w:ascii="仿宋" w:hAnsi="仿宋" w:cs="仿宋"/>
          <w:color w:val="000000" w:themeColor="text1"/>
          <w:sz w:val="24"/>
          <w:szCs w:val="24"/>
          <w14:textFill>
            <w14:solidFill>
              <w14:schemeClr w14:val="tx1"/>
            </w14:solidFill>
          </w14:textFill>
        </w:rPr>
      </w:pPr>
      <w:bookmarkStart w:id="31" w:name="_Toc28119"/>
      <w:r>
        <w:rPr>
          <w:rFonts w:hint="eastAsia"/>
          <w:color w:val="000000" w:themeColor="text1"/>
          <w:sz w:val="24"/>
          <w:szCs w:val="24"/>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6</w:t>
      </w:r>
      <w:r>
        <w:rPr>
          <w:rFonts w:hint="eastAsia"/>
          <w:color w:val="000000" w:themeColor="text1"/>
          <w:sz w:val="24"/>
          <w:szCs w:val="24"/>
          <w14:textFill>
            <w14:solidFill>
              <w14:schemeClr w14:val="tx1"/>
            </w14:solidFill>
          </w14:textFill>
        </w:rPr>
        <w:t xml:space="preserve"> </w:t>
      </w:r>
      <w:r>
        <w:rPr>
          <w:rFonts w:hint="eastAsia"/>
          <w:color w:val="000000" w:themeColor="text1"/>
          <w:sz w:val="24"/>
          <w:szCs w:val="24"/>
          <w:lang w:val="en-US" w:eastAsia="zh-CN"/>
          <w14:textFill>
            <w14:solidFill>
              <w14:schemeClr w14:val="tx1"/>
            </w14:solidFill>
          </w14:textFill>
        </w:rPr>
        <w:t>燃气</w:t>
      </w:r>
      <w:r>
        <w:rPr>
          <w:rFonts w:hint="eastAsia"/>
          <w:color w:val="000000" w:themeColor="text1"/>
          <w:sz w:val="24"/>
          <w:szCs w:val="24"/>
          <w14:textFill>
            <w14:solidFill>
              <w14:schemeClr w14:val="tx1"/>
            </w14:solidFill>
          </w14:textFill>
        </w:rPr>
        <w:t>设计</w:t>
      </w:r>
      <w:bookmarkEnd w:id="31"/>
    </w:p>
    <w:p w14:paraId="33ADFF53">
      <w:pPr>
        <w:snapToGrid w:val="0"/>
        <w:spacing w:line="360" w:lineRule="auto"/>
        <w:ind w:firstLine="0" w:firstLineChars="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6</w:t>
      </w:r>
      <w:r>
        <w:rPr>
          <w:rFonts w:hint="eastAsia" w:ascii="仿宋" w:hAnsi="仿宋" w:cs="仿宋"/>
          <w:color w:val="000000" w:themeColor="text1"/>
          <w:sz w:val="24"/>
          <w:szCs w:val="24"/>
          <w14:textFill>
            <w14:solidFill>
              <w14:schemeClr w14:val="tx1"/>
            </w14:solidFill>
          </w14:textFill>
        </w:rPr>
        <w:t>.1 燃气引入管的阀门应设置在公共区域内，不得对套内造成影响，并设有明显标识。</w:t>
      </w:r>
    </w:p>
    <w:p w14:paraId="118376F3">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6</w:t>
      </w:r>
      <w:r>
        <w:rPr>
          <w:rFonts w:hint="eastAsia" w:ascii="仿宋" w:hAnsi="仿宋" w:cs="仿宋"/>
          <w:color w:val="000000" w:themeColor="text1"/>
          <w:sz w:val="24"/>
          <w:szCs w:val="24"/>
          <w14:textFill>
            <w14:solidFill>
              <w14:schemeClr w14:val="tx1"/>
            </w14:solidFill>
          </w14:textFill>
        </w:rPr>
        <w:t>.</w:t>
      </w:r>
      <w:r>
        <w:rPr>
          <w:rFonts w:hint="eastAsia" w:ascii="仿宋" w:hAnsi="仿宋" w:cs="仿宋"/>
          <w:color w:val="000000" w:themeColor="text1"/>
          <w:sz w:val="24"/>
          <w:szCs w:val="24"/>
          <w:lang w:val="en-US" w:eastAsia="zh-CN"/>
          <w14:textFill>
            <w14:solidFill>
              <w14:schemeClr w14:val="tx1"/>
            </w14:solidFill>
          </w14:textFill>
        </w:rPr>
        <w:t>2</w:t>
      </w:r>
      <w:r>
        <w:rPr>
          <w:rFonts w:hint="eastAsia" w:ascii="仿宋" w:hAnsi="仿宋" w:cs="仿宋"/>
          <w:color w:val="000000" w:themeColor="text1"/>
          <w:sz w:val="24"/>
          <w:szCs w:val="24"/>
          <w14:textFill>
            <w14:solidFill>
              <w14:schemeClr w14:val="tx1"/>
            </w14:solidFill>
          </w14:textFill>
        </w:rPr>
        <w:t xml:space="preserve"> 燃气管道共用部分不得在套内水平敷设，确有困难时，共用管道的敷设不得影响套内使用。</w:t>
      </w:r>
    </w:p>
    <w:p w14:paraId="447E6C3F">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6</w:t>
      </w:r>
      <w:r>
        <w:rPr>
          <w:rFonts w:hint="eastAsia" w:ascii="仿宋" w:hAnsi="仿宋" w:cs="仿宋"/>
          <w:color w:val="000000" w:themeColor="text1"/>
          <w:sz w:val="24"/>
          <w:szCs w:val="24"/>
          <w14:textFill>
            <w14:solidFill>
              <w14:schemeClr w14:val="tx1"/>
            </w14:solidFill>
          </w14:textFill>
        </w:rPr>
        <w:t>.</w:t>
      </w:r>
      <w:r>
        <w:rPr>
          <w:rFonts w:hint="eastAsia" w:ascii="仿宋" w:hAnsi="仿宋" w:cs="仿宋"/>
          <w:color w:val="000000" w:themeColor="text1"/>
          <w:sz w:val="24"/>
          <w:szCs w:val="24"/>
          <w:lang w:val="en-US" w:eastAsia="zh-CN"/>
          <w14:textFill>
            <w14:solidFill>
              <w14:schemeClr w14:val="tx1"/>
            </w14:solidFill>
          </w14:textFill>
        </w:rPr>
        <w:t>3</w:t>
      </w:r>
      <w:r>
        <w:rPr>
          <w:rFonts w:hint="eastAsia" w:ascii="仿宋" w:hAnsi="仿宋" w:cs="仿宋"/>
          <w:color w:val="000000" w:themeColor="text1"/>
          <w:sz w:val="24"/>
          <w:szCs w:val="24"/>
          <w14:textFill>
            <w14:solidFill>
              <w14:schemeClr w14:val="tx1"/>
            </w14:solidFill>
          </w14:textFill>
        </w:rPr>
        <w:t xml:space="preserve"> 厨房等有燃气设备使用的房间应设置</w:t>
      </w:r>
      <w:r>
        <w:rPr>
          <w:rFonts w:hint="eastAsia" w:ascii="仿宋" w:hAnsi="仿宋" w:cs="仿宋"/>
          <w:color w:val="000000" w:themeColor="text1"/>
          <w:sz w:val="24"/>
          <w:szCs w:val="24"/>
          <w14:textFill>
            <w14:solidFill>
              <w14:schemeClr w14:val="tx1"/>
            </w14:solidFill>
          </w14:textFill>
        </w:rPr>
        <w:t>燃气</w:t>
      </w:r>
      <w:r>
        <w:rPr>
          <w:rFonts w:hint="eastAsia" w:ascii="仿宋" w:hAnsi="仿宋" w:cs="仿宋"/>
          <w:color w:val="000000" w:themeColor="text1"/>
          <w:sz w:val="24"/>
          <w:szCs w:val="24"/>
          <w:lang w:val="en-US" w:eastAsia="zh-CN"/>
          <w14:textFill>
            <w14:solidFill>
              <w14:schemeClr w14:val="tx1"/>
            </w14:solidFill>
          </w14:textFill>
        </w:rPr>
        <w:t>泄露</w:t>
      </w:r>
      <w:r>
        <w:rPr>
          <w:rFonts w:hint="eastAsia" w:ascii="仿宋" w:hAnsi="仿宋" w:cs="仿宋"/>
          <w:color w:val="000000" w:themeColor="text1"/>
          <w:sz w:val="24"/>
          <w:szCs w:val="24"/>
          <w14:textFill>
            <w14:solidFill>
              <w14:schemeClr w14:val="tx1"/>
            </w14:solidFill>
          </w14:textFill>
        </w:rPr>
        <w:t>报警</w:t>
      </w:r>
      <w:r>
        <w:rPr>
          <w:rFonts w:hint="eastAsia" w:ascii="仿宋" w:hAnsi="仿宋" w:cs="仿宋"/>
          <w:color w:val="000000" w:themeColor="text1"/>
          <w:sz w:val="24"/>
          <w:szCs w:val="24"/>
          <w:lang w:val="en-US" w:eastAsia="zh-CN"/>
          <w14:textFill>
            <w14:solidFill>
              <w14:schemeClr w14:val="tx1"/>
            </w14:solidFill>
          </w14:textFill>
        </w:rPr>
        <w:t>装置</w:t>
      </w:r>
      <w:r>
        <w:rPr>
          <w:rFonts w:hint="eastAsia" w:ascii="仿宋" w:hAnsi="仿宋" w:cs="仿宋"/>
          <w:color w:val="000000" w:themeColor="text1"/>
          <w:sz w:val="24"/>
          <w:szCs w:val="24"/>
          <w14:textFill>
            <w14:solidFill>
              <w14:schemeClr w14:val="tx1"/>
            </w14:solidFill>
          </w14:textFill>
        </w:rPr>
        <w:t>。</w:t>
      </w:r>
    </w:p>
    <w:p w14:paraId="2B2D2A38">
      <w:pPr>
        <w:snapToGrid w:val="0"/>
        <w:spacing w:line="360" w:lineRule="auto"/>
        <w:ind w:firstLine="0" w:firstLineChars="0"/>
        <w:rPr>
          <w:rFonts w:hint="eastAsia"/>
          <w:i/>
          <w:iCs/>
          <w:color w:val="000000" w:themeColor="text1"/>
          <w:sz w:val="24"/>
          <w:szCs w:val="24"/>
          <w14:textFill>
            <w14:solidFill>
              <w14:schemeClr w14:val="tx1"/>
            </w14:solidFill>
          </w14:textFill>
        </w:rPr>
      </w:pPr>
    </w:p>
    <w:p w14:paraId="5A2F6E13">
      <w:pPr>
        <w:pStyle w:val="19"/>
        <w:ind w:firstLine="0" w:firstLineChars="0"/>
        <w:rPr>
          <w:rFonts w:hint="eastAsia" w:cs="黑体"/>
          <w:i/>
          <w:iCs/>
          <w:color w:val="000000" w:themeColor="text1"/>
          <w:sz w:val="24"/>
          <w:szCs w:val="24"/>
          <w14:textFill>
            <w14:solidFill>
              <w14:schemeClr w14:val="tx1"/>
            </w14:solidFill>
          </w14:textFill>
        </w:rPr>
      </w:pPr>
    </w:p>
    <w:p w14:paraId="3F0C29BA">
      <w:pPr>
        <w:pStyle w:val="3"/>
        <w:ind w:firstLine="643"/>
        <w:jc w:val="center"/>
        <w:rPr>
          <w:color w:val="000000" w:themeColor="text1"/>
          <w:sz w:val="24"/>
          <w:szCs w:val="24"/>
          <w14:textFill>
            <w14:solidFill>
              <w14:schemeClr w14:val="tx1"/>
            </w14:solidFill>
          </w14:textFill>
        </w:rPr>
      </w:pPr>
      <w:bookmarkStart w:id="32" w:name="_Toc22166"/>
      <w:r>
        <w:rPr>
          <w:rFonts w:hint="eastAsia"/>
          <w:color w:val="000000" w:themeColor="text1"/>
          <w:sz w:val="24"/>
          <w:szCs w:val="24"/>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7</w:t>
      </w:r>
      <w:r>
        <w:rPr>
          <w:rFonts w:hint="eastAsia"/>
          <w:color w:val="000000" w:themeColor="text1"/>
          <w:sz w:val="24"/>
          <w:szCs w:val="24"/>
          <w14:textFill>
            <w14:solidFill>
              <w14:schemeClr w14:val="tx1"/>
            </w14:solidFill>
          </w14:textFill>
        </w:rPr>
        <w:t xml:space="preserve"> 供配电设计</w:t>
      </w:r>
      <w:bookmarkEnd w:id="32"/>
    </w:p>
    <w:p w14:paraId="039CC91A">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7</w:t>
      </w:r>
      <w:r>
        <w:rPr>
          <w:rFonts w:hint="eastAsia" w:ascii="仿宋" w:hAnsi="仿宋" w:cs="仿宋"/>
          <w:color w:val="000000" w:themeColor="text1"/>
          <w:sz w:val="24"/>
          <w:szCs w:val="24"/>
          <w14:textFill>
            <w14:solidFill>
              <w14:schemeClr w14:val="tx1"/>
            </w14:solidFill>
          </w14:textFill>
        </w:rPr>
        <w:t>.1 单元入户大堂应设置应急救护插座，单独回路，并应具有显著标识。</w:t>
      </w:r>
    </w:p>
    <w:p w14:paraId="5F54BFC7">
      <w:pPr>
        <w:pStyle w:val="19"/>
        <w:ind w:firstLine="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w:t>
      </w:r>
      <w:r>
        <w:rPr>
          <w:rFonts w:hint="eastAsia" w:ascii="仿宋" w:hAnsi="仿宋" w:eastAsia="仿宋" w:cs="仿宋"/>
          <w:color w:val="000000" w:themeColor="text1"/>
          <w:sz w:val="24"/>
          <w:szCs w:val="24"/>
          <w:lang w:val="en-US" w:eastAsia="zh-CN"/>
          <w14:textFill>
            <w14:solidFill>
              <w14:schemeClr w14:val="tx1"/>
            </w14:solidFill>
          </w14:textFill>
        </w:rPr>
        <w:t>7</w:t>
      </w:r>
      <w:r>
        <w:rPr>
          <w:rFonts w:hint="eastAsia" w:ascii="仿宋" w:hAnsi="仿宋" w:eastAsia="仿宋" w:cs="仿宋"/>
          <w:color w:val="000000" w:themeColor="text1"/>
          <w:sz w:val="24"/>
          <w:szCs w:val="24"/>
          <w14:textFill>
            <w14:solidFill>
              <w14:schemeClr w14:val="tx1"/>
            </w14:solidFill>
          </w14:textFill>
        </w:rPr>
        <w:t>.2 住宅电源插座的数量应根据家用电器设置，并满足下列规定：</w:t>
      </w:r>
    </w:p>
    <w:p w14:paraId="5E450792">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1.家用监控摄像头电源、弱电设备电源、冰箱插座应单独设置电源回路，独立控制。</w:t>
      </w:r>
    </w:p>
    <w:p w14:paraId="58B9521E">
      <w:pPr>
        <w:snapToGrid w:val="0"/>
        <w:spacing w:line="360" w:lineRule="auto"/>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全装修住宅应在坐便器附近设置低位电源插座，在卫生间洗手池、厨房洗涤盆下方设置电源插座，在洗碗机、直饮水机等位置设置电源插座，在晾晒空间设置电动晾衣架高位插座，并宜在阳台设置高位节日彩灯插座。</w:t>
      </w:r>
    </w:p>
    <w:p w14:paraId="46AB764A">
      <w:pPr>
        <w:snapToGrid w:val="0"/>
        <w:spacing w:line="360" w:lineRule="auto"/>
        <w:ind w:firstLine="0" w:firstLineChars="0"/>
        <w:rPr>
          <w:rFonts w:hint="eastAsia" w:ascii="仿宋" w:hAnsi="仿宋" w:cs="仿宋"/>
          <w:i/>
          <w:iCs/>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7</w:t>
      </w:r>
      <w:r>
        <w:rPr>
          <w:rFonts w:hint="eastAsia" w:ascii="仿宋" w:hAnsi="仿宋" w:cs="仿宋"/>
          <w:color w:val="000000" w:themeColor="text1"/>
          <w:sz w:val="24"/>
          <w:szCs w:val="24"/>
          <w14:textFill>
            <w14:solidFill>
              <w14:schemeClr w14:val="tx1"/>
            </w14:solidFill>
          </w14:textFill>
        </w:rPr>
        <w:t>.3小区应</w:t>
      </w:r>
      <w:r>
        <w:rPr>
          <w:rFonts w:hint="eastAsia" w:ascii="仿宋" w:hAnsi="仿宋" w:cs="仿宋"/>
          <w:color w:val="000000" w:themeColor="text1"/>
          <w:kern w:val="0"/>
          <w:sz w:val="24"/>
          <w:szCs w:val="24"/>
          <w14:textFill>
            <w14:solidFill>
              <w14:schemeClr w14:val="tx1"/>
            </w14:solidFill>
          </w14:textFill>
        </w:rPr>
        <w:t>设置与电动汽车停车位数量对应的电动汽车充电桩。小区应设置电动自行车充电场所，满足《电动自行车停放充电场所防火技术标准》DBJ04/T440的相关规定。</w:t>
      </w:r>
    </w:p>
    <w:p w14:paraId="309126B1">
      <w:pPr>
        <w:snapToGrid w:val="0"/>
        <w:spacing w:line="360" w:lineRule="auto"/>
        <w:ind w:firstLine="0" w:firstLineChars="0"/>
        <w:rPr>
          <w:rFonts w:hint="eastAsia" w:ascii="仿宋" w:hAnsi="仿宋" w:eastAsia="仿宋" w:cs="仿宋"/>
          <w:i/>
          <w:iCs/>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7</w:t>
      </w:r>
      <w:r>
        <w:rPr>
          <w:rFonts w:hint="eastAsia" w:ascii="仿宋" w:hAnsi="仿宋" w:cs="仿宋"/>
          <w:color w:val="000000" w:themeColor="text1"/>
          <w:sz w:val="24"/>
          <w:szCs w:val="24"/>
          <w14:textFill>
            <w14:solidFill>
              <w14:schemeClr w14:val="tx1"/>
            </w14:solidFill>
          </w14:textFill>
        </w:rPr>
        <w:t>.4 小区泳池、喷水池等潮湿场所均应采用触电防护技术措施。</w:t>
      </w:r>
    </w:p>
    <w:p w14:paraId="3BD69DB4">
      <w:pPr>
        <w:snapToGrid w:val="0"/>
        <w:spacing w:line="360" w:lineRule="auto"/>
        <w:ind w:left="0" w:leftChars="0"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7</w:t>
      </w:r>
      <w:r>
        <w:rPr>
          <w:rFonts w:hint="eastAsia" w:ascii="仿宋" w:hAnsi="仿宋" w:cs="仿宋"/>
          <w:color w:val="000000" w:themeColor="text1"/>
          <w:sz w:val="24"/>
          <w:szCs w:val="24"/>
          <w14:textFill>
            <w14:solidFill>
              <w14:schemeClr w14:val="tx1"/>
            </w14:solidFill>
          </w14:textFill>
        </w:rPr>
        <w:t>.</w:t>
      </w:r>
      <w:r>
        <w:rPr>
          <w:rFonts w:hint="eastAsia" w:ascii="仿宋" w:hAnsi="仿宋" w:cs="仿宋"/>
          <w:color w:val="000000" w:themeColor="text1"/>
          <w:sz w:val="24"/>
          <w:szCs w:val="24"/>
          <w:lang w:val="en-US" w:eastAsia="zh-CN"/>
          <w14:textFill>
            <w14:solidFill>
              <w14:schemeClr w14:val="tx1"/>
            </w14:solidFill>
          </w14:textFill>
        </w:rPr>
        <w:t xml:space="preserve">5 </w:t>
      </w:r>
      <w:r>
        <w:rPr>
          <w:rFonts w:hint="eastAsia" w:ascii="仿宋" w:hAnsi="仿宋" w:cs="仿宋"/>
          <w:color w:val="000000" w:themeColor="text1"/>
          <w:sz w:val="24"/>
          <w:szCs w:val="24"/>
          <w14:textFill>
            <w14:solidFill>
              <w14:schemeClr w14:val="tx1"/>
            </w14:solidFill>
          </w14:textFill>
        </w:rPr>
        <w:t>小区应预留楼栋编号标识电源。</w:t>
      </w:r>
    </w:p>
    <w:p w14:paraId="5593414A">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7</w:t>
      </w:r>
      <w:r>
        <w:rPr>
          <w:rFonts w:hint="eastAsia" w:ascii="仿宋" w:hAnsi="仿宋" w:cs="仿宋"/>
          <w:color w:val="000000" w:themeColor="text1"/>
          <w:sz w:val="24"/>
          <w:szCs w:val="24"/>
          <w14:textFill>
            <w14:solidFill>
              <w14:schemeClr w14:val="tx1"/>
            </w14:solidFill>
          </w14:textFill>
        </w:rPr>
        <w:t>.</w:t>
      </w:r>
      <w:r>
        <w:rPr>
          <w:rFonts w:hint="eastAsia" w:ascii="仿宋" w:hAnsi="仿宋" w:cs="仿宋"/>
          <w:color w:val="000000" w:themeColor="text1"/>
          <w:sz w:val="24"/>
          <w:szCs w:val="24"/>
          <w:lang w:val="en-US" w:eastAsia="zh-CN"/>
          <w14:textFill>
            <w14:solidFill>
              <w14:schemeClr w14:val="tx1"/>
            </w14:solidFill>
          </w14:textFill>
        </w:rPr>
        <w:t>6</w:t>
      </w:r>
      <w:r>
        <w:rPr>
          <w:rFonts w:hint="eastAsia" w:ascii="仿宋" w:hAnsi="仿宋" w:cs="仿宋"/>
          <w:color w:val="000000" w:themeColor="text1"/>
          <w:sz w:val="24"/>
          <w:szCs w:val="24"/>
          <w14:textFill>
            <w14:solidFill>
              <w14:schemeClr w14:val="tx1"/>
            </w14:solidFill>
          </w14:textFill>
        </w:rPr>
        <w:t xml:space="preserve"> 户内照明开关的设置，应满足下列规定：</w:t>
      </w:r>
    </w:p>
    <w:p w14:paraId="11C01EC5">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1.在入户处应设置户内一般照明总开关。</w:t>
      </w:r>
    </w:p>
    <w:p w14:paraId="0953B77D">
      <w:pPr>
        <w:pStyle w:val="19"/>
        <w:ind w:firstLine="480" w:firstLineChars="200"/>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kern w:val="0"/>
          <w:sz w:val="24"/>
          <w:szCs w:val="24"/>
          <w14:textFill>
            <w14:solidFill>
              <w14:schemeClr w14:val="tx1"/>
            </w14:solidFill>
          </w14:textFill>
        </w:rPr>
        <w:t>卧室主照明应能在卧室门边和床头分别控制。</w:t>
      </w:r>
    </w:p>
    <w:p w14:paraId="253CB11C">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7</w:t>
      </w:r>
      <w:r>
        <w:rPr>
          <w:rFonts w:hint="eastAsia" w:ascii="仿宋" w:hAnsi="仿宋" w:cs="仿宋"/>
          <w:color w:val="000000" w:themeColor="text1"/>
          <w:sz w:val="24"/>
          <w:szCs w:val="24"/>
          <w14:textFill>
            <w14:solidFill>
              <w14:schemeClr w14:val="tx1"/>
            </w14:solidFill>
          </w14:textFill>
        </w:rPr>
        <w:t>.</w:t>
      </w:r>
      <w:r>
        <w:rPr>
          <w:rFonts w:hint="eastAsia" w:ascii="仿宋" w:hAnsi="仿宋" w:cs="仿宋"/>
          <w:color w:val="000000" w:themeColor="text1"/>
          <w:sz w:val="24"/>
          <w:szCs w:val="24"/>
          <w:lang w:val="en-US" w:eastAsia="zh-CN"/>
          <w14:textFill>
            <w14:solidFill>
              <w14:schemeClr w14:val="tx1"/>
            </w14:solidFill>
          </w14:textFill>
        </w:rPr>
        <w:t xml:space="preserve">7 </w:t>
      </w:r>
      <w:r>
        <w:rPr>
          <w:rFonts w:hint="eastAsia" w:ascii="仿宋" w:hAnsi="仿宋" w:cs="仿宋"/>
          <w:color w:val="000000" w:themeColor="text1"/>
          <w:sz w:val="24"/>
          <w:szCs w:val="24"/>
          <w14:textFill>
            <w14:solidFill>
              <w14:schemeClr w14:val="tx1"/>
            </w14:solidFill>
          </w14:textFill>
        </w:rPr>
        <w:t>住户配电箱内宜采用智能断路器，实现过负荷、短路、过电压和欠电压、剩余电流动作等保护功能自检及功率限定、电量计算、在线检测、手机遥控、智能预警等功能。</w:t>
      </w:r>
    </w:p>
    <w:p w14:paraId="45BB7DAF">
      <w:pPr>
        <w:pStyle w:val="19"/>
        <w:ind w:firstLine="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w:t>
      </w:r>
      <w:r>
        <w:rPr>
          <w:rFonts w:hint="eastAsia" w:ascii="仿宋" w:hAnsi="仿宋" w:eastAsia="仿宋" w:cs="仿宋"/>
          <w:color w:val="000000" w:themeColor="text1"/>
          <w:sz w:val="24"/>
          <w:szCs w:val="24"/>
          <w:lang w:val="en-US" w:eastAsia="zh-CN"/>
          <w14:textFill>
            <w14:solidFill>
              <w14:schemeClr w14:val="tx1"/>
            </w14:solidFill>
          </w14:textFill>
        </w:rPr>
        <w:t>7</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 xml:space="preserve">8 </w:t>
      </w:r>
      <w:r>
        <w:rPr>
          <w:rFonts w:hint="eastAsia" w:ascii="仿宋" w:hAnsi="仿宋" w:eastAsia="仿宋" w:cs="仿宋"/>
          <w:color w:val="000000" w:themeColor="text1"/>
          <w:sz w:val="24"/>
          <w:szCs w:val="24"/>
          <w14:textFill>
            <w14:solidFill>
              <w14:schemeClr w14:val="tx1"/>
            </w14:solidFill>
          </w14:textFill>
        </w:rPr>
        <w:t>灯具开关盒内应预留中性线。</w:t>
      </w:r>
    </w:p>
    <w:p w14:paraId="02E04051">
      <w:pPr>
        <w:pStyle w:val="19"/>
        <w:ind w:firstLine="0" w:firstLineChars="0"/>
        <w:rPr>
          <w:rFonts w:hint="eastAsia" w:ascii="仿宋" w:hAnsi="仿宋" w:eastAsia="仿宋" w:cs="仿宋"/>
          <w:i/>
          <w:iCs/>
          <w:color w:val="000000" w:themeColor="text1"/>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w:t>
      </w:r>
      <w:r>
        <w:rPr>
          <w:rFonts w:hint="eastAsia" w:ascii="仿宋" w:hAnsi="仿宋" w:eastAsia="仿宋" w:cs="仿宋"/>
          <w:color w:val="000000" w:themeColor="text1"/>
          <w:kern w:val="0"/>
          <w:sz w:val="24"/>
          <w:szCs w:val="24"/>
          <w:lang w:val="en-US" w:eastAsia="zh-CN"/>
          <w14:textFill>
            <w14:solidFill>
              <w14:schemeClr w14:val="tx1"/>
            </w14:solidFill>
          </w14:textFill>
        </w:rPr>
        <w:t>7</w:t>
      </w:r>
      <w:r>
        <w:rPr>
          <w:rFonts w:hint="eastAsia" w:ascii="仿宋" w:hAnsi="仿宋" w:eastAsia="仿宋" w:cs="仿宋"/>
          <w:color w:val="000000" w:themeColor="text1"/>
          <w:kern w:val="0"/>
          <w:sz w:val="24"/>
          <w:szCs w:val="24"/>
          <w14:textFill>
            <w14:solidFill>
              <w14:schemeClr w14:val="tx1"/>
            </w14:solidFill>
          </w14:textFill>
        </w:rPr>
        <w:t>.</w:t>
      </w:r>
      <w:r>
        <w:rPr>
          <w:rFonts w:hint="eastAsia" w:ascii="仿宋" w:hAnsi="仿宋" w:eastAsia="仿宋" w:cs="仿宋"/>
          <w:color w:val="000000" w:themeColor="text1"/>
          <w:kern w:val="0"/>
          <w:sz w:val="24"/>
          <w:szCs w:val="24"/>
          <w:lang w:val="en-US" w:eastAsia="zh-CN"/>
          <w14:textFill>
            <w14:solidFill>
              <w14:schemeClr w14:val="tx1"/>
            </w14:solidFill>
          </w14:textFill>
        </w:rPr>
        <w:t xml:space="preserve">9 </w:t>
      </w:r>
      <w:r>
        <w:rPr>
          <w:rFonts w:hint="eastAsia" w:ascii="仿宋" w:hAnsi="仿宋" w:eastAsia="仿宋" w:cs="仿宋"/>
          <w:color w:val="000000" w:themeColor="text1"/>
          <w:kern w:val="0"/>
          <w:sz w:val="24"/>
          <w:szCs w:val="24"/>
          <w14:textFill>
            <w14:solidFill>
              <w14:schemeClr w14:val="tx1"/>
            </w14:solidFill>
          </w14:textFill>
        </w:rPr>
        <w:t>厨房、卫生间应分别设置独立的通风设备。</w:t>
      </w:r>
    </w:p>
    <w:p w14:paraId="59FDB371">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7</w:t>
      </w:r>
      <w:r>
        <w:rPr>
          <w:rFonts w:hint="eastAsia" w:ascii="仿宋" w:hAnsi="仿宋" w:cs="仿宋"/>
          <w:color w:val="000000" w:themeColor="text1"/>
          <w:sz w:val="24"/>
          <w:szCs w:val="24"/>
          <w14:textFill>
            <w14:solidFill>
              <w14:schemeClr w14:val="tx1"/>
            </w14:solidFill>
          </w14:textFill>
        </w:rPr>
        <w:t>.</w:t>
      </w:r>
      <w:r>
        <w:rPr>
          <w:rFonts w:hint="eastAsia" w:ascii="仿宋" w:hAnsi="仿宋" w:cs="仿宋"/>
          <w:color w:val="000000" w:themeColor="text1"/>
          <w:sz w:val="24"/>
          <w:szCs w:val="24"/>
          <w:lang w:val="en-US" w:eastAsia="zh-CN"/>
          <w14:textFill>
            <w14:solidFill>
              <w14:schemeClr w14:val="tx1"/>
            </w14:solidFill>
          </w14:textFill>
        </w:rPr>
        <w:t xml:space="preserve">10 </w:t>
      </w:r>
      <w:r>
        <w:rPr>
          <w:rFonts w:hint="eastAsia" w:ascii="仿宋" w:hAnsi="仿宋" w:cs="仿宋"/>
          <w:color w:val="000000" w:themeColor="text1"/>
          <w:sz w:val="24"/>
          <w:szCs w:val="24"/>
          <w14:textFill>
            <w14:solidFill>
              <w14:schemeClr w14:val="tx1"/>
            </w14:solidFill>
          </w14:textFill>
        </w:rPr>
        <w:t>小区内公共区域宜预留自动售卖机、打印机、自动回收机等设备电源。</w:t>
      </w:r>
    </w:p>
    <w:p w14:paraId="171676C5">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p>
    <w:p w14:paraId="04A0E980">
      <w:pPr>
        <w:pStyle w:val="3"/>
        <w:ind w:firstLine="643"/>
        <w:jc w:val="center"/>
        <w:rPr>
          <w:color w:val="000000" w:themeColor="text1"/>
          <w:sz w:val="24"/>
          <w:szCs w:val="24"/>
          <w14:textFill>
            <w14:solidFill>
              <w14:schemeClr w14:val="tx1"/>
            </w14:solidFill>
          </w14:textFill>
        </w:rPr>
      </w:pPr>
      <w:bookmarkStart w:id="33" w:name="_Toc8868"/>
      <w:r>
        <w:rPr>
          <w:rFonts w:hint="eastAsia"/>
          <w:color w:val="000000" w:themeColor="text1"/>
          <w:sz w:val="24"/>
          <w:szCs w:val="24"/>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8</w:t>
      </w:r>
      <w:r>
        <w:rPr>
          <w:rFonts w:hint="eastAsia"/>
          <w:color w:val="000000" w:themeColor="text1"/>
          <w:sz w:val="24"/>
          <w:szCs w:val="24"/>
          <w14:textFill>
            <w14:solidFill>
              <w14:schemeClr w14:val="tx1"/>
            </w14:solidFill>
          </w14:textFill>
        </w:rPr>
        <w:t xml:space="preserve"> 智能化设计</w:t>
      </w:r>
      <w:bookmarkEnd w:id="33"/>
    </w:p>
    <w:p w14:paraId="543CC782">
      <w:pPr>
        <w:snapToGrid w:val="0"/>
        <w:spacing w:line="360" w:lineRule="auto"/>
        <w:ind w:firstLine="0" w:firstLineChars="0"/>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5.8.1室外人员集中活动场所、有吊顶的单元大堂应设置公共广播系统，公共广播系统宜与消防应急广播分开设置。</w:t>
      </w:r>
    </w:p>
    <w:p w14:paraId="31E2E0B6">
      <w:pPr>
        <w:snapToGrid w:val="0"/>
        <w:spacing w:line="360" w:lineRule="auto"/>
        <w:ind w:firstLine="0" w:firstLineChars="0"/>
        <w:rPr>
          <w:rFonts w:hint="eastAsia"/>
          <w:i/>
          <w:iCs/>
          <w:color w:val="000000" w:themeColor="text1"/>
          <w:sz w:val="24"/>
          <w:lang w:val="en-US" w:eastAsia="zh-CN"/>
          <w14:textFill>
            <w14:solidFill>
              <w14:schemeClr w14:val="tx1"/>
            </w14:solidFill>
          </w14:textFill>
        </w:rPr>
      </w:pPr>
      <w:r>
        <w:rPr>
          <w:rFonts w:hint="eastAsia" w:ascii="仿宋" w:hAnsi="仿宋" w:cs="仿宋"/>
          <w:color w:val="000000" w:themeColor="text1"/>
          <w:sz w:val="24"/>
          <w14:textFill>
            <w14:solidFill>
              <w14:schemeClr w14:val="tx1"/>
            </w14:solidFill>
          </w14:textFill>
        </w:rPr>
        <w:t>5.8.2地面层门厅应设置信息引导及发布系统，系统应预留有与智慧社区的接口，宜支持双向</w:t>
      </w:r>
      <w:bookmarkStart w:id="34" w:name="OLE_LINK11"/>
      <w:r>
        <w:rPr>
          <w:rFonts w:hint="eastAsia" w:ascii="仿宋" w:hAnsi="仿宋" w:cs="仿宋"/>
          <w:color w:val="000000" w:themeColor="text1"/>
          <w:sz w:val="24"/>
          <w14:textFill>
            <w14:solidFill>
              <w14:schemeClr w14:val="tx1"/>
            </w14:solidFill>
          </w14:textFill>
        </w:rPr>
        <w:t>交互</w:t>
      </w:r>
      <w:bookmarkEnd w:id="34"/>
      <w:r>
        <w:rPr>
          <w:rFonts w:hint="eastAsia" w:ascii="仿宋" w:hAnsi="仿宋" w:cs="仿宋"/>
          <w:color w:val="000000" w:themeColor="text1"/>
          <w:sz w:val="24"/>
          <w14:textFill>
            <w14:solidFill>
              <w14:schemeClr w14:val="tx1"/>
            </w14:solidFill>
          </w14:textFill>
        </w:rPr>
        <w:t>，宜支持语音交互。</w:t>
      </w:r>
    </w:p>
    <w:p w14:paraId="3116AEFF">
      <w:pPr>
        <w:snapToGrid w:val="0"/>
        <w:spacing w:line="360" w:lineRule="auto"/>
        <w:ind w:firstLine="0" w:firstLineChars="0"/>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5.8.3小区应设置无线对讲系统。</w:t>
      </w:r>
    </w:p>
    <w:p w14:paraId="09AABDE4">
      <w:pPr>
        <w:snapToGrid w:val="0"/>
        <w:spacing w:line="360" w:lineRule="auto"/>
        <w:ind w:firstLine="0" w:firstLineChars="0"/>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5.8.4下列位置应按表5.</w:t>
      </w:r>
      <w:r>
        <w:rPr>
          <w:rFonts w:hint="eastAsia" w:ascii="仿宋" w:hAnsi="仿宋" w:cs="仿宋"/>
          <w:color w:val="000000" w:themeColor="text1"/>
          <w:sz w:val="24"/>
          <w:lang w:val="en-US" w:eastAsia="zh-CN"/>
          <w14:textFill>
            <w14:solidFill>
              <w14:schemeClr w14:val="tx1"/>
            </w14:solidFill>
          </w14:textFill>
        </w:rPr>
        <w:t>8</w:t>
      </w:r>
      <w:r>
        <w:rPr>
          <w:rFonts w:hint="eastAsia" w:ascii="仿宋" w:hAnsi="仿宋" w:cs="仿宋"/>
          <w:color w:val="000000" w:themeColor="text1"/>
          <w:sz w:val="24"/>
          <w14:textFill>
            <w14:solidFill>
              <w14:schemeClr w14:val="tx1"/>
            </w14:solidFill>
          </w14:textFill>
        </w:rPr>
        <w:t>.4 要求设置入侵报警系统。</w:t>
      </w:r>
    </w:p>
    <w:p w14:paraId="57924912">
      <w:pPr>
        <w:pStyle w:val="39"/>
        <w:tabs>
          <w:tab w:val="left" w:pos="1084"/>
        </w:tabs>
        <w:ind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表5.</w:t>
      </w:r>
      <w:r>
        <w:rPr>
          <w:rFonts w:hint="eastAsia" w:ascii="仿宋" w:hAnsi="仿宋" w:eastAsia="仿宋" w:cs="仿宋"/>
          <w:color w:val="000000" w:themeColor="text1"/>
          <w:sz w:val="22"/>
          <w:szCs w:val="22"/>
          <w:lang w:val="en-US" w:eastAsia="zh-CN"/>
          <w14:textFill>
            <w14:solidFill>
              <w14:schemeClr w14:val="tx1"/>
            </w14:solidFill>
          </w14:textFill>
        </w:rPr>
        <w:t>8</w:t>
      </w:r>
      <w:r>
        <w:rPr>
          <w:rFonts w:hint="eastAsia" w:ascii="仿宋" w:hAnsi="仿宋" w:eastAsia="仿宋" w:cs="仿宋"/>
          <w:color w:val="000000" w:themeColor="text1"/>
          <w:sz w:val="22"/>
          <w:szCs w:val="22"/>
          <w14:textFill>
            <w14:solidFill>
              <w14:schemeClr w14:val="tx1"/>
            </w14:solidFill>
          </w14:textFill>
        </w:rPr>
        <w:t>.4 入侵报警系统设置部位要求</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116"/>
        <w:gridCol w:w="709"/>
        <w:gridCol w:w="709"/>
        <w:gridCol w:w="708"/>
      </w:tblGrid>
      <w:tr w14:paraId="1AA0C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16" w:type="dxa"/>
            <w:vAlign w:val="center"/>
          </w:tcPr>
          <w:p w14:paraId="06D09C73">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设置位置</w:t>
            </w:r>
          </w:p>
        </w:tc>
        <w:tc>
          <w:tcPr>
            <w:tcW w:w="709" w:type="dxa"/>
            <w:vAlign w:val="center"/>
          </w:tcPr>
          <w:p w14:paraId="2F62C2CD">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一级</w:t>
            </w:r>
          </w:p>
        </w:tc>
        <w:tc>
          <w:tcPr>
            <w:tcW w:w="709" w:type="dxa"/>
            <w:vAlign w:val="center"/>
          </w:tcPr>
          <w:p w14:paraId="0FCF0E4A">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二级</w:t>
            </w:r>
          </w:p>
        </w:tc>
        <w:tc>
          <w:tcPr>
            <w:tcW w:w="708" w:type="dxa"/>
            <w:vAlign w:val="center"/>
          </w:tcPr>
          <w:p w14:paraId="01CEF154">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三级</w:t>
            </w:r>
          </w:p>
        </w:tc>
      </w:tr>
      <w:tr w14:paraId="5CC20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16" w:type="dxa"/>
            <w:vAlign w:val="center"/>
          </w:tcPr>
          <w:p w14:paraId="79D4DCBA">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小区周界</w:t>
            </w:r>
          </w:p>
        </w:tc>
        <w:tc>
          <w:tcPr>
            <w:tcW w:w="709" w:type="dxa"/>
            <w:vAlign w:val="center"/>
          </w:tcPr>
          <w:p w14:paraId="3596CF70">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可</w:t>
            </w:r>
          </w:p>
        </w:tc>
        <w:tc>
          <w:tcPr>
            <w:tcW w:w="709" w:type="dxa"/>
            <w:vAlign w:val="center"/>
          </w:tcPr>
          <w:p w14:paraId="5EFCFBCE">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宜</w:t>
            </w:r>
          </w:p>
        </w:tc>
        <w:tc>
          <w:tcPr>
            <w:tcW w:w="708" w:type="dxa"/>
            <w:vAlign w:val="center"/>
          </w:tcPr>
          <w:p w14:paraId="226F8976">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应</w:t>
            </w:r>
          </w:p>
        </w:tc>
      </w:tr>
      <w:tr w14:paraId="701E6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16" w:type="dxa"/>
            <w:vAlign w:val="center"/>
          </w:tcPr>
          <w:p w14:paraId="7311B285">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重要设备间出入口</w:t>
            </w:r>
          </w:p>
        </w:tc>
        <w:tc>
          <w:tcPr>
            <w:tcW w:w="709" w:type="dxa"/>
            <w:vAlign w:val="center"/>
          </w:tcPr>
          <w:p w14:paraId="270216E9">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可</w:t>
            </w:r>
          </w:p>
        </w:tc>
        <w:tc>
          <w:tcPr>
            <w:tcW w:w="709" w:type="dxa"/>
            <w:vAlign w:val="center"/>
          </w:tcPr>
          <w:p w14:paraId="49B20308">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宜</w:t>
            </w:r>
          </w:p>
        </w:tc>
        <w:tc>
          <w:tcPr>
            <w:tcW w:w="708" w:type="dxa"/>
            <w:vAlign w:val="center"/>
          </w:tcPr>
          <w:p w14:paraId="08860048">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应</w:t>
            </w:r>
          </w:p>
        </w:tc>
      </w:tr>
    </w:tbl>
    <w:p w14:paraId="01064C09">
      <w:pPr>
        <w:snapToGrid w:val="0"/>
        <w:spacing w:line="360" w:lineRule="auto"/>
        <w:ind w:firstLine="0" w:firstLineChars="0"/>
        <w:rPr>
          <w:rFonts w:hint="eastAsia"/>
          <w:i/>
          <w:iCs/>
          <w:color w:val="000000" w:themeColor="text1"/>
          <w:sz w:val="24"/>
          <w:lang w:val="en-US" w:eastAsia="zh-CN"/>
          <w14:textFill>
            <w14:solidFill>
              <w14:schemeClr w14:val="tx1"/>
            </w14:solidFill>
          </w14:textFill>
        </w:rPr>
      </w:pPr>
    </w:p>
    <w:p w14:paraId="3DC1F7AF">
      <w:pPr>
        <w:snapToGrid w:val="0"/>
        <w:spacing w:line="360" w:lineRule="auto"/>
        <w:ind w:firstLine="0" w:firstLineChars="0"/>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5.8.5应设置视频监控系统并符合以下要求：</w:t>
      </w:r>
    </w:p>
    <w:p w14:paraId="5BF6FA3B">
      <w:pPr>
        <w:snapToGrid w:val="0"/>
        <w:spacing w:line="360" w:lineRule="auto"/>
        <w:ind w:firstLine="480" w:firstLineChars="200"/>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1 应按表5.</w:t>
      </w:r>
      <w:r>
        <w:rPr>
          <w:rFonts w:hint="eastAsia" w:ascii="仿宋" w:hAnsi="仿宋" w:cs="仿宋"/>
          <w:color w:val="000000" w:themeColor="text1"/>
          <w:sz w:val="24"/>
          <w:lang w:val="en-US" w:eastAsia="zh-CN"/>
          <w14:textFill>
            <w14:solidFill>
              <w14:schemeClr w14:val="tx1"/>
            </w14:solidFill>
          </w14:textFill>
        </w:rPr>
        <w:t>8</w:t>
      </w:r>
      <w:r>
        <w:rPr>
          <w:rFonts w:hint="eastAsia" w:ascii="仿宋" w:hAnsi="仿宋" w:cs="仿宋"/>
          <w:color w:val="000000" w:themeColor="text1"/>
          <w:sz w:val="24"/>
          <w14:textFill>
            <w14:solidFill>
              <w14:schemeClr w14:val="tx1"/>
            </w14:solidFill>
          </w14:textFill>
        </w:rPr>
        <w:t>.5 设置视频监控系统；</w:t>
      </w:r>
    </w:p>
    <w:p w14:paraId="6B0C44CC">
      <w:pPr>
        <w:pStyle w:val="39"/>
        <w:tabs>
          <w:tab w:val="left" w:pos="1084"/>
        </w:tabs>
        <w:ind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表5.</w:t>
      </w:r>
      <w:r>
        <w:rPr>
          <w:rFonts w:hint="eastAsia" w:ascii="仿宋" w:hAnsi="仿宋" w:eastAsia="仿宋" w:cs="仿宋"/>
          <w:b w:val="0"/>
          <w:bCs w:val="0"/>
          <w:color w:val="000000" w:themeColor="text1"/>
          <w:sz w:val="22"/>
          <w:szCs w:val="22"/>
          <w:lang w:val="en-US" w:eastAsia="zh-CN"/>
          <w14:textFill>
            <w14:solidFill>
              <w14:schemeClr w14:val="tx1"/>
            </w14:solidFill>
          </w14:textFill>
        </w:rPr>
        <w:t>8</w:t>
      </w:r>
      <w:r>
        <w:rPr>
          <w:rFonts w:hint="eastAsia" w:ascii="仿宋" w:hAnsi="仿宋" w:eastAsia="仿宋" w:cs="仿宋"/>
          <w:b w:val="0"/>
          <w:bCs w:val="0"/>
          <w:color w:val="000000" w:themeColor="text1"/>
          <w:sz w:val="22"/>
          <w:szCs w:val="22"/>
          <w14:textFill>
            <w14:solidFill>
              <w14:schemeClr w14:val="tx1"/>
            </w14:solidFill>
          </w14:textFill>
        </w:rPr>
        <w:t>.5 视频监控系统设置要求</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691"/>
        <w:gridCol w:w="709"/>
        <w:gridCol w:w="708"/>
        <w:gridCol w:w="709"/>
      </w:tblGrid>
      <w:tr w14:paraId="7D8E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91" w:type="dxa"/>
            <w:vAlign w:val="center"/>
          </w:tcPr>
          <w:p w14:paraId="51419B0E">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监控位置</w:t>
            </w:r>
          </w:p>
        </w:tc>
        <w:tc>
          <w:tcPr>
            <w:tcW w:w="709" w:type="dxa"/>
            <w:vAlign w:val="center"/>
          </w:tcPr>
          <w:p w14:paraId="43EE436D">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一级</w:t>
            </w:r>
          </w:p>
        </w:tc>
        <w:tc>
          <w:tcPr>
            <w:tcW w:w="708" w:type="dxa"/>
            <w:vAlign w:val="center"/>
          </w:tcPr>
          <w:p w14:paraId="3C081D5F">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二级</w:t>
            </w:r>
          </w:p>
        </w:tc>
        <w:tc>
          <w:tcPr>
            <w:tcW w:w="709" w:type="dxa"/>
            <w:vAlign w:val="center"/>
          </w:tcPr>
          <w:p w14:paraId="60C8E447">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三级</w:t>
            </w:r>
          </w:p>
        </w:tc>
      </w:tr>
      <w:tr w14:paraId="00515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91" w:type="dxa"/>
            <w:vAlign w:val="center"/>
          </w:tcPr>
          <w:p w14:paraId="799A0DE7">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小区周界</w:t>
            </w:r>
          </w:p>
        </w:tc>
        <w:tc>
          <w:tcPr>
            <w:tcW w:w="709" w:type="dxa"/>
            <w:vAlign w:val="center"/>
          </w:tcPr>
          <w:p w14:paraId="3539DA51">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宜</w:t>
            </w:r>
          </w:p>
        </w:tc>
        <w:tc>
          <w:tcPr>
            <w:tcW w:w="708" w:type="dxa"/>
            <w:vAlign w:val="center"/>
          </w:tcPr>
          <w:p w14:paraId="572BF93E">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c>
          <w:tcPr>
            <w:tcW w:w="709" w:type="dxa"/>
            <w:vAlign w:val="center"/>
          </w:tcPr>
          <w:p w14:paraId="7EBD969D">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r>
      <w:tr w14:paraId="7F861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91" w:type="dxa"/>
            <w:vAlign w:val="center"/>
          </w:tcPr>
          <w:p w14:paraId="588E5CE2">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小区机动车出入口</w:t>
            </w:r>
          </w:p>
        </w:tc>
        <w:tc>
          <w:tcPr>
            <w:tcW w:w="709" w:type="dxa"/>
            <w:vAlign w:val="center"/>
          </w:tcPr>
          <w:p w14:paraId="1B9E4960">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c>
          <w:tcPr>
            <w:tcW w:w="708" w:type="dxa"/>
            <w:vAlign w:val="center"/>
          </w:tcPr>
          <w:p w14:paraId="16212662">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c>
          <w:tcPr>
            <w:tcW w:w="709" w:type="dxa"/>
            <w:vAlign w:val="center"/>
          </w:tcPr>
          <w:p w14:paraId="08FD8DEF">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r>
      <w:tr w14:paraId="6D5E9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91" w:type="dxa"/>
            <w:vAlign w:val="center"/>
          </w:tcPr>
          <w:p w14:paraId="6945A600">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小区人员 / 非机动出入口</w:t>
            </w:r>
          </w:p>
        </w:tc>
        <w:tc>
          <w:tcPr>
            <w:tcW w:w="709" w:type="dxa"/>
            <w:vAlign w:val="center"/>
          </w:tcPr>
          <w:p w14:paraId="603822E5">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c>
          <w:tcPr>
            <w:tcW w:w="708" w:type="dxa"/>
            <w:vAlign w:val="center"/>
          </w:tcPr>
          <w:p w14:paraId="160703B3">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c>
          <w:tcPr>
            <w:tcW w:w="709" w:type="dxa"/>
            <w:vAlign w:val="center"/>
          </w:tcPr>
          <w:p w14:paraId="1F921E4B">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r>
      <w:tr w14:paraId="6E1C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91" w:type="dxa"/>
            <w:vAlign w:val="center"/>
          </w:tcPr>
          <w:p w14:paraId="03EF571A">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非封闭式小区出入通道</w:t>
            </w:r>
          </w:p>
        </w:tc>
        <w:tc>
          <w:tcPr>
            <w:tcW w:w="709" w:type="dxa"/>
            <w:vAlign w:val="center"/>
          </w:tcPr>
          <w:p w14:paraId="40DD4614">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c>
          <w:tcPr>
            <w:tcW w:w="708" w:type="dxa"/>
            <w:vAlign w:val="center"/>
          </w:tcPr>
          <w:p w14:paraId="7FCBA1EB">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c>
          <w:tcPr>
            <w:tcW w:w="709" w:type="dxa"/>
            <w:vAlign w:val="center"/>
          </w:tcPr>
          <w:p w14:paraId="7ECA90FC">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r>
      <w:tr w14:paraId="702E4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91" w:type="dxa"/>
            <w:vAlign w:val="center"/>
          </w:tcPr>
          <w:p w14:paraId="5A43EF54">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内部主要道路</w:t>
            </w:r>
          </w:p>
        </w:tc>
        <w:tc>
          <w:tcPr>
            <w:tcW w:w="709" w:type="dxa"/>
            <w:vAlign w:val="center"/>
          </w:tcPr>
          <w:p w14:paraId="155E26AF">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c>
          <w:tcPr>
            <w:tcW w:w="708" w:type="dxa"/>
            <w:vAlign w:val="center"/>
          </w:tcPr>
          <w:p w14:paraId="1B6FD6F9">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c>
          <w:tcPr>
            <w:tcW w:w="709" w:type="dxa"/>
            <w:vAlign w:val="center"/>
          </w:tcPr>
          <w:p w14:paraId="76D65C70">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r>
      <w:tr w14:paraId="15A32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91" w:type="dxa"/>
            <w:vAlign w:val="center"/>
          </w:tcPr>
          <w:p w14:paraId="7936249C">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default" w:cs="宋体"/>
                <w:b w:val="0"/>
                <w:bCs w:val="0"/>
                <w:color w:val="000000" w:themeColor="text1"/>
                <w:szCs w:val="21"/>
                <w14:textFill>
                  <w14:solidFill>
                    <w14:schemeClr w14:val="tx1"/>
                  </w14:solidFill>
                </w14:textFill>
              </w:rPr>
              <w:t>小</w:t>
            </w:r>
            <w:r>
              <w:rPr>
                <w:rFonts w:hint="default" w:ascii="仿宋" w:hAnsi="仿宋" w:eastAsia="仿宋" w:cs="仿宋"/>
                <w:b w:val="0"/>
                <w:bCs w:val="0"/>
                <w:color w:val="000000" w:themeColor="text1"/>
                <w:sz w:val="22"/>
                <w:szCs w:val="22"/>
                <w14:textFill>
                  <w14:solidFill>
                    <w14:schemeClr w14:val="tx1"/>
                  </w14:solidFill>
                </w14:textFill>
              </w:rPr>
              <w:t>区外围及内部商业区域</w:t>
            </w:r>
          </w:p>
        </w:tc>
        <w:tc>
          <w:tcPr>
            <w:tcW w:w="709" w:type="dxa"/>
            <w:vAlign w:val="center"/>
          </w:tcPr>
          <w:p w14:paraId="68FB27BA">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c>
          <w:tcPr>
            <w:tcW w:w="708" w:type="dxa"/>
            <w:vAlign w:val="center"/>
          </w:tcPr>
          <w:p w14:paraId="23C2073A">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c>
          <w:tcPr>
            <w:tcW w:w="709" w:type="dxa"/>
            <w:vAlign w:val="center"/>
          </w:tcPr>
          <w:p w14:paraId="1827AF39">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r>
      <w:tr w14:paraId="3BFB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91" w:type="dxa"/>
            <w:vAlign w:val="center"/>
          </w:tcPr>
          <w:p w14:paraId="144606A7">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机动车停车库（场）</w:t>
            </w:r>
          </w:p>
        </w:tc>
        <w:tc>
          <w:tcPr>
            <w:tcW w:w="709" w:type="dxa"/>
            <w:vAlign w:val="center"/>
          </w:tcPr>
          <w:p w14:paraId="14C04E83">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c>
          <w:tcPr>
            <w:tcW w:w="708" w:type="dxa"/>
            <w:vAlign w:val="center"/>
          </w:tcPr>
          <w:p w14:paraId="080B7341">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c>
          <w:tcPr>
            <w:tcW w:w="709" w:type="dxa"/>
            <w:vAlign w:val="center"/>
          </w:tcPr>
          <w:p w14:paraId="7D6CAF49">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r>
      <w:tr w14:paraId="54EF0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91" w:type="dxa"/>
            <w:vAlign w:val="center"/>
          </w:tcPr>
          <w:p w14:paraId="52B075F4">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非机动车集中停放区</w:t>
            </w:r>
          </w:p>
        </w:tc>
        <w:tc>
          <w:tcPr>
            <w:tcW w:w="709" w:type="dxa"/>
            <w:vAlign w:val="center"/>
          </w:tcPr>
          <w:p w14:paraId="3144A48F">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c>
          <w:tcPr>
            <w:tcW w:w="708" w:type="dxa"/>
            <w:vAlign w:val="center"/>
          </w:tcPr>
          <w:p w14:paraId="746C4566">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c>
          <w:tcPr>
            <w:tcW w:w="709" w:type="dxa"/>
            <w:vAlign w:val="center"/>
          </w:tcPr>
          <w:p w14:paraId="30E92EC1">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r>
      <w:tr w14:paraId="47AF5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91" w:type="dxa"/>
            <w:vAlign w:val="center"/>
          </w:tcPr>
          <w:p w14:paraId="40B26C6C">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寄递物品存放区</w:t>
            </w:r>
          </w:p>
        </w:tc>
        <w:tc>
          <w:tcPr>
            <w:tcW w:w="709" w:type="dxa"/>
            <w:vAlign w:val="center"/>
          </w:tcPr>
          <w:p w14:paraId="2AF9636F">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c>
          <w:tcPr>
            <w:tcW w:w="708" w:type="dxa"/>
            <w:vAlign w:val="center"/>
          </w:tcPr>
          <w:p w14:paraId="1259AAC2">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c>
          <w:tcPr>
            <w:tcW w:w="709" w:type="dxa"/>
            <w:vAlign w:val="center"/>
          </w:tcPr>
          <w:p w14:paraId="216C40E8">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r>
      <w:tr w14:paraId="65FF2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91" w:type="dxa"/>
            <w:vAlign w:val="center"/>
          </w:tcPr>
          <w:p w14:paraId="6CC17334">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室外消防通道</w:t>
            </w:r>
          </w:p>
        </w:tc>
        <w:tc>
          <w:tcPr>
            <w:tcW w:w="709" w:type="dxa"/>
            <w:vAlign w:val="center"/>
          </w:tcPr>
          <w:p w14:paraId="399733D1">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c>
          <w:tcPr>
            <w:tcW w:w="708" w:type="dxa"/>
            <w:vAlign w:val="center"/>
          </w:tcPr>
          <w:p w14:paraId="7C38955A">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c>
          <w:tcPr>
            <w:tcW w:w="709" w:type="dxa"/>
            <w:vAlign w:val="center"/>
          </w:tcPr>
          <w:p w14:paraId="28A470F4">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r>
      <w:tr w14:paraId="1DA4F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91" w:type="dxa"/>
            <w:vAlign w:val="center"/>
          </w:tcPr>
          <w:p w14:paraId="69E55E87">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人员集中活动场所</w:t>
            </w:r>
          </w:p>
        </w:tc>
        <w:tc>
          <w:tcPr>
            <w:tcW w:w="709" w:type="dxa"/>
            <w:vAlign w:val="center"/>
          </w:tcPr>
          <w:p w14:paraId="3CEB7AD1">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c>
          <w:tcPr>
            <w:tcW w:w="708" w:type="dxa"/>
            <w:vAlign w:val="center"/>
          </w:tcPr>
          <w:p w14:paraId="07DE8A91">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c>
          <w:tcPr>
            <w:tcW w:w="709" w:type="dxa"/>
            <w:vAlign w:val="center"/>
          </w:tcPr>
          <w:p w14:paraId="6BAEA288">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r>
      <w:tr w14:paraId="0762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91" w:type="dxa"/>
            <w:vAlign w:val="center"/>
          </w:tcPr>
          <w:p w14:paraId="3D0D73C6">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重要设备间出入口</w:t>
            </w:r>
          </w:p>
        </w:tc>
        <w:tc>
          <w:tcPr>
            <w:tcW w:w="709" w:type="dxa"/>
            <w:vAlign w:val="center"/>
          </w:tcPr>
          <w:p w14:paraId="4EE8BC42">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宜</w:t>
            </w:r>
          </w:p>
        </w:tc>
        <w:tc>
          <w:tcPr>
            <w:tcW w:w="708" w:type="dxa"/>
            <w:vAlign w:val="center"/>
          </w:tcPr>
          <w:p w14:paraId="3CF3BEFD">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c>
          <w:tcPr>
            <w:tcW w:w="709" w:type="dxa"/>
            <w:vAlign w:val="center"/>
          </w:tcPr>
          <w:p w14:paraId="68E6A761">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r>
      <w:tr w14:paraId="15D5B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91" w:type="dxa"/>
            <w:vAlign w:val="center"/>
          </w:tcPr>
          <w:p w14:paraId="27983430">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重要设备间内</w:t>
            </w:r>
          </w:p>
        </w:tc>
        <w:tc>
          <w:tcPr>
            <w:tcW w:w="709" w:type="dxa"/>
            <w:vAlign w:val="center"/>
          </w:tcPr>
          <w:p w14:paraId="29FA0E84">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可</w:t>
            </w:r>
          </w:p>
        </w:tc>
        <w:tc>
          <w:tcPr>
            <w:tcW w:w="708" w:type="dxa"/>
            <w:vAlign w:val="center"/>
          </w:tcPr>
          <w:p w14:paraId="70B3EAD0">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宜</w:t>
            </w:r>
          </w:p>
        </w:tc>
        <w:tc>
          <w:tcPr>
            <w:tcW w:w="709" w:type="dxa"/>
            <w:vAlign w:val="center"/>
          </w:tcPr>
          <w:p w14:paraId="23DF581C">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r>
      <w:tr w14:paraId="61FC8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91" w:type="dxa"/>
            <w:vAlign w:val="center"/>
          </w:tcPr>
          <w:p w14:paraId="23422AD9">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监控中心（室）</w:t>
            </w:r>
          </w:p>
        </w:tc>
        <w:tc>
          <w:tcPr>
            <w:tcW w:w="709" w:type="dxa"/>
            <w:vAlign w:val="center"/>
          </w:tcPr>
          <w:p w14:paraId="5435EBC4">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c>
          <w:tcPr>
            <w:tcW w:w="708" w:type="dxa"/>
            <w:vAlign w:val="center"/>
          </w:tcPr>
          <w:p w14:paraId="49FA32D0">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c>
          <w:tcPr>
            <w:tcW w:w="709" w:type="dxa"/>
            <w:vAlign w:val="center"/>
          </w:tcPr>
          <w:p w14:paraId="77B0919A">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r>
      <w:tr w14:paraId="6ED32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91" w:type="dxa"/>
            <w:vAlign w:val="center"/>
          </w:tcPr>
          <w:p w14:paraId="0B7DE4AE">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楼前通道及住宅楼单元出入口</w:t>
            </w:r>
            <w:r>
              <w:rPr>
                <w:rFonts w:hint="eastAsia" w:ascii="仿宋" w:hAnsi="仿宋" w:eastAsia="仿宋" w:cs="仿宋"/>
                <w:b w:val="0"/>
                <w:bCs w:val="0"/>
                <w:color w:val="000000" w:themeColor="text1"/>
                <w:sz w:val="22"/>
                <w:szCs w:val="22"/>
                <w14:textFill>
                  <w14:solidFill>
                    <w14:schemeClr w14:val="tx1"/>
                  </w14:solidFill>
                </w14:textFill>
              </w:rPr>
              <w:t>、门厅</w:t>
            </w:r>
          </w:p>
        </w:tc>
        <w:tc>
          <w:tcPr>
            <w:tcW w:w="709" w:type="dxa"/>
            <w:vAlign w:val="center"/>
          </w:tcPr>
          <w:p w14:paraId="51FC51A9">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c>
          <w:tcPr>
            <w:tcW w:w="708" w:type="dxa"/>
            <w:vAlign w:val="center"/>
          </w:tcPr>
          <w:p w14:paraId="7057F783">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c>
          <w:tcPr>
            <w:tcW w:w="709" w:type="dxa"/>
            <w:vAlign w:val="center"/>
          </w:tcPr>
          <w:p w14:paraId="3C12B777">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r>
      <w:tr w14:paraId="65BB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91" w:type="dxa"/>
            <w:vAlign w:val="center"/>
          </w:tcPr>
          <w:p w14:paraId="7A25838F">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电梯轿厢</w:t>
            </w:r>
          </w:p>
        </w:tc>
        <w:tc>
          <w:tcPr>
            <w:tcW w:w="709" w:type="dxa"/>
            <w:vAlign w:val="center"/>
          </w:tcPr>
          <w:p w14:paraId="7510ED4C">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c>
          <w:tcPr>
            <w:tcW w:w="708" w:type="dxa"/>
            <w:vAlign w:val="center"/>
          </w:tcPr>
          <w:p w14:paraId="6304A9A1">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c>
          <w:tcPr>
            <w:tcW w:w="709" w:type="dxa"/>
            <w:vAlign w:val="center"/>
          </w:tcPr>
          <w:p w14:paraId="75A20E04">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r>
      <w:tr w14:paraId="31537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91" w:type="dxa"/>
            <w:vAlign w:val="center"/>
          </w:tcPr>
          <w:p w14:paraId="0BF72031">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单元内通往楼顶的出入口</w:t>
            </w:r>
          </w:p>
        </w:tc>
        <w:tc>
          <w:tcPr>
            <w:tcW w:w="709" w:type="dxa"/>
            <w:vAlign w:val="center"/>
          </w:tcPr>
          <w:p w14:paraId="24AE551C">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宜</w:t>
            </w:r>
          </w:p>
        </w:tc>
        <w:tc>
          <w:tcPr>
            <w:tcW w:w="708" w:type="dxa"/>
            <w:vAlign w:val="center"/>
          </w:tcPr>
          <w:p w14:paraId="3F7B112C">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c>
          <w:tcPr>
            <w:tcW w:w="709" w:type="dxa"/>
            <w:vAlign w:val="center"/>
          </w:tcPr>
          <w:p w14:paraId="1F980544">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r>
      <w:tr w14:paraId="3B60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91" w:type="dxa"/>
            <w:vAlign w:val="center"/>
          </w:tcPr>
          <w:p w14:paraId="04C03162">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非封闭式小区住宅楼周边区域</w:t>
            </w:r>
          </w:p>
        </w:tc>
        <w:tc>
          <w:tcPr>
            <w:tcW w:w="709" w:type="dxa"/>
            <w:vAlign w:val="center"/>
          </w:tcPr>
          <w:p w14:paraId="0B71CA4F">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c>
          <w:tcPr>
            <w:tcW w:w="708" w:type="dxa"/>
            <w:vAlign w:val="center"/>
          </w:tcPr>
          <w:p w14:paraId="7840F4B7">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c>
          <w:tcPr>
            <w:tcW w:w="709" w:type="dxa"/>
            <w:vAlign w:val="center"/>
          </w:tcPr>
          <w:p w14:paraId="68AB5725">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r>
      <w:tr w14:paraId="2DA77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91" w:type="dxa"/>
            <w:vAlign w:val="center"/>
          </w:tcPr>
          <w:p w14:paraId="2A77A787">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防高空抛物摄像机</w:t>
            </w:r>
          </w:p>
        </w:tc>
        <w:tc>
          <w:tcPr>
            <w:tcW w:w="709" w:type="dxa"/>
            <w:vAlign w:val="center"/>
          </w:tcPr>
          <w:p w14:paraId="3B0444AA">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宜</w:t>
            </w:r>
          </w:p>
        </w:tc>
        <w:tc>
          <w:tcPr>
            <w:tcW w:w="708" w:type="dxa"/>
            <w:vAlign w:val="center"/>
          </w:tcPr>
          <w:p w14:paraId="08D57D7F">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c>
          <w:tcPr>
            <w:tcW w:w="709" w:type="dxa"/>
            <w:vAlign w:val="center"/>
          </w:tcPr>
          <w:p w14:paraId="2072DDBD">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应</w:t>
            </w:r>
          </w:p>
        </w:tc>
      </w:tr>
    </w:tbl>
    <w:p w14:paraId="74DAA390">
      <w:pPr>
        <w:snapToGrid w:val="0"/>
        <w:spacing w:line="360" w:lineRule="auto"/>
        <w:ind w:firstLine="480" w:firstLineChars="200"/>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2安装在电动自行车能正常出入的单元出入口及电梯内摄像机应有识别电动自行车功能，当识别到电动自行车时，应发出语音报警。</w:t>
      </w:r>
    </w:p>
    <w:p w14:paraId="08F32BDC">
      <w:pPr>
        <w:snapToGrid w:val="0"/>
        <w:spacing w:line="360" w:lineRule="auto"/>
        <w:ind w:firstLine="480" w:firstLineChars="200"/>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3防高空抛物摄像机分辨率不应低于400万像素，应避免采集公民个人隐私信息。</w:t>
      </w:r>
    </w:p>
    <w:p w14:paraId="701EE15A">
      <w:pPr>
        <w:snapToGrid w:val="0"/>
        <w:spacing w:line="360" w:lineRule="auto"/>
        <w:ind w:firstLine="0" w:firstLineChars="0"/>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5.8.6应设置出入口控制系统并符合以下要求：</w:t>
      </w:r>
    </w:p>
    <w:p w14:paraId="588C9E6A">
      <w:pPr>
        <w:pStyle w:val="39"/>
        <w:tabs>
          <w:tab w:val="left" w:pos="1084"/>
        </w:tabs>
        <w:ind w:firstLine="48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 应按表5.</w:t>
      </w:r>
      <w:r>
        <w:rPr>
          <w:rFonts w:hint="eastAsia" w:ascii="仿宋" w:hAnsi="仿宋" w:eastAsia="仿宋" w:cs="仿宋"/>
          <w:color w:val="000000" w:themeColor="text1"/>
          <w:sz w:val="24"/>
          <w:lang w:val="en-US" w:eastAsia="zh-CN"/>
          <w14:textFill>
            <w14:solidFill>
              <w14:schemeClr w14:val="tx1"/>
            </w14:solidFill>
          </w14:textFill>
        </w:rPr>
        <w:t>8</w:t>
      </w:r>
      <w:r>
        <w:rPr>
          <w:rFonts w:hint="eastAsia" w:ascii="仿宋" w:hAnsi="仿宋" w:eastAsia="仿宋" w:cs="仿宋"/>
          <w:color w:val="000000" w:themeColor="text1"/>
          <w:sz w:val="24"/>
          <w14:textFill>
            <w14:solidFill>
              <w14:schemeClr w14:val="tx1"/>
            </w14:solidFill>
          </w14:textFill>
        </w:rPr>
        <w:t>.6 设置出入口控制系统；</w:t>
      </w:r>
    </w:p>
    <w:p w14:paraId="6A6DF21A">
      <w:pPr>
        <w:pStyle w:val="39"/>
        <w:tabs>
          <w:tab w:val="left" w:pos="1084"/>
        </w:tabs>
        <w:ind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表5.7.6 出入口控制设置要求</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41"/>
        <w:gridCol w:w="709"/>
        <w:gridCol w:w="851"/>
        <w:gridCol w:w="850"/>
      </w:tblGrid>
      <w:tr w14:paraId="47F8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41" w:type="dxa"/>
            <w:vAlign w:val="center"/>
          </w:tcPr>
          <w:p w14:paraId="358858D1">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控制位置</w:t>
            </w:r>
          </w:p>
        </w:tc>
        <w:tc>
          <w:tcPr>
            <w:tcW w:w="709" w:type="dxa"/>
            <w:vAlign w:val="center"/>
          </w:tcPr>
          <w:p w14:paraId="23887253">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一级</w:t>
            </w:r>
          </w:p>
        </w:tc>
        <w:tc>
          <w:tcPr>
            <w:tcW w:w="851" w:type="dxa"/>
            <w:vAlign w:val="center"/>
          </w:tcPr>
          <w:p w14:paraId="43734629">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二级</w:t>
            </w:r>
          </w:p>
        </w:tc>
        <w:tc>
          <w:tcPr>
            <w:tcW w:w="850" w:type="dxa"/>
            <w:vAlign w:val="center"/>
          </w:tcPr>
          <w:p w14:paraId="56664BC5">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三级</w:t>
            </w:r>
          </w:p>
        </w:tc>
      </w:tr>
      <w:tr w14:paraId="6502D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41" w:type="dxa"/>
            <w:vAlign w:val="center"/>
          </w:tcPr>
          <w:p w14:paraId="5E0C0E76">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小区人员 / 非机动车出入口</w:t>
            </w:r>
          </w:p>
        </w:tc>
        <w:tc>
          <w:tcPr>
            <w:tcW w:w="709" w:type="dxa"/>
            <w:vAlign w:val="center"/>
          </w:tcPr>
          <w:p w14:paraId="01A78875">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应</w:t>
            </w:r>
          </w:p>
        </w:tc>
        <w:tc>
          <w:tcPr>
            <w:tcW w:w="851" w:type="dxa"/>
            <w:vAlign w:val="center"/>
          </w:tcPr>
          <w:p w14:paraId="67945294">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应</w:t>
            </w:r>
          </w:p>
        </w:tc>
        <w:tc>
          <w:tcPr>
            <w:tcW w:w="850" w:type="dxa"/>
            <w:vAlign w:val="center"/>
          </w:tcPr>
          <w:p w14:paraId="5F573E18">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应</w:t>
            </w:r>
          </w:p>
        </w:tc>
      </w:tr>
      <w:tr w14:paraId="1F3C7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41" w:type="dxa"/>
            <w:vAlign w:val="center"/>
          </w:tcPr>
          <w:p w14:paraId="0F65507E">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机动车停车库（场）独立人员出入口</w:t>
            </w:r>
          </w:p>
        </w:tc>
        <w:tc>
          <w:tcPr>
            <w:tcW w:w="709" w:type="dxa"/>
            <w:vAlign w:val="center"/>
          </w:tcPr>
          <w:p w14:paraId="4A081A99">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应</w:t>
            </w:r>
          </w:p>
        </w:tc>
        <w:tc>
          <w:tcPr>
            <w:tcW w:w="851" w:type="dxa"/>
            <w:vAlign w:val="center"/>
          </w:tcPr>
          <w:p w14:paraId="0250D451">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应</w:t>
            </w:r>
          </w:p>
        </w:tc>
        <w:tc>
          <w:tcPr>
            <w:tcW w:w="850" w:type="dxa"/>
            <w:vAlign w:val="center"/>
          </w:tcPr>
          <w:p w14:paraId="5A115295">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应</w:t>
            </w:r>
          </w:p>
        </w:tc>
      </w:tr>
      <w:tr w14:paraId="0CBFB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41" w:type="dxa"/>
            <w:vAlign w:val="center"/>
          </w:tcPr>
          <w:p w14:paraId="77FD9ED9">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重要设备间出入口</w:t>
            </w:r>
          </w:p>
        </w:tc>
        <w:tc>
          <w:tcPr>
            <w:tcW w:w="709" w:type="dxa"/>
            <w:vAlign w:val="center"/>
          </w:tcPr>
          <w:p w14:paraId="4BB79FCD">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宜</w:t>
            </w:r>
          </w:p>
        </w:tc>
        <w:tc>
          <w:tcPr>
            <w:tcW w:w="851" w:type="dxa"/>
            <w:vAlign w:val="center"/>
          </w:tcPr>
          <w:p w14:paraId="0EB06168">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宜</w:t>
            </w:r>
          </w:p>
        </w:tc>
        <w:tc>
          <w:tcPr>
            <w:tcW w:w="850" w:type="dxa"/>
            <w:vAlign w:val="center"/>
          </w:tcPr>
          <w:p w14:paraId="29E64658">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应</w:t>
            </w:r>
          </w:p>
        </w:tc>
      </w:tr>
      <w:tr w14:paraId="3C47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41" w:type="dxa"/>
            <w:vAlign w:val="center"/>
          </w:tcPr>
          <w:p w14:paraId="0D268858">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单元内通往楼顶的出入口</w:t>
            </w:r>
          </w:p>
        </w:tc>
        <w:tc>
          <w:tcPr>
            <w:tcW w:w="709" w:type="dxa"/>
            <w:vAlign w:val="center"/>
          </w:tcPr>
          <w:p w14:paraId="4F59DEBF">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宜</w:t>
            </w:r>
          </w:p>
        </w:tc>
        <w:tc>
          <w:tcPr>
            <w:tcW w:w="851" w:type="dxa"/>
            <w:vAlign w:val="center"/>
          </w:tcPr>
          <w:p w14:paraId="4C19E7E4">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应</w:t>
            </w:r>
          </w:p>
        </w:tc>
        <w:tc>
          <w:tcPr>
            <w:tcW w:w="850" w:type="dxa"/>
            <w:vAlign w:val="center"/>
          </w:tcPr>
          <w:p w14:paraId="03B2D05B">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应</w:t>
            </w:r>
          </w:p>
        </w:tc>
      </w:tr>
      <w:tr w14:paraId="1F44E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41" w:type="dxa"/>
            <w:vAlign w:val="center"/>
          </w:tcPr>
          <w:p w14:paraId="52080D8A">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监控中心（室）出入口</w:t>
            </w:r>
          </w:p>
        </w:tc>
        <w:tc>
          <w:tcPr>
            <w:tcW w:w="709" w:type="dxa"/>
            <w:vAlign w:val="center"/>
          </w:tcPr>
          <w:p w14:paraId="44EF6A30">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应</w:t>
            </w:r>
          </w:p>
        </w:tc>
        <w:tc>
          <w:tcPr>
            <w:tcW w:w="851" w:type="dxa"/>
            <w:vAlign w:val="center"/>
          </w:tcPr>
          <w:p w14:paraId="07C19B95">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应</w:t>
            </w:r>
          </w:p>
        </w:tc>
        <w:tc>
          <w:tcPr>
            <w:tcW w:w="850" w:type="dxa"/>
            <w:vAlign w:val="center"/>
          </w:tcPr>
          <w:p w14:paraId="658F40A4">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应</w:t>
            </w:r>
          </w:p>
        </w:tc>
      </w:tr>
      <w:tr w14:paraId="1E4AA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41" w:type="dxa"/>
            <w:vAlign w:val="center"/>
          </w:tcPr>
          <w:p w14:paraId="74A7B2DA">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bookmarkStart w:id="35" w:name="OLE_LINK15"/>
            <w:r>
              <w:rPr>
                <w:rFonts w:hint="eastAsia" w:ascii="仿宋" w:hAnsi="仿宋" w:eastAsia="仿宋" w:cs="仿宋"/>
                <w:color w:val="000000" w:themeColor="text1"/>
                <w:sz w:val="22"/>
                <w:szCs w:val="22"/>
                <w14:textFill>
                  <w14:solidFill>
                    <w14:schemeClr w14:val="tx1"/>
                  </w14:solidFill>
                </w14:textFill>
              </w:rPr>
              <w:t>电梯控制（楼层控制）</w:t>
            </w:r>
            <w:bookmarkEnd w:id="35"/>
          </w:p>
        </w:tc>
        <w:tc>
          <w:tcPr>
            <w:tcW w:w="709" w:type="dxa"/>
            <w:vAlign w:val="center"/>
          </w:tcPr>
          <w:p w14:paraId="6F78F8B4">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不宜</w:t>
            </w:r>
          </w:p>
        </w:tc>
        <w:tc>
          <w:tcPr>
            <w:tcW w:w="851" w:type="dxa"/>
            <w:vAlign w:val="center"/>
          </w:tcPr>
          <w:p w14:paraId="2E14BFAD">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宜</w:t>
            </w:r>
          </w:p>
        </w:tc>
        <w:tc>
          <w:tcPr>
            <w:tcW w:w="850" w:type="dxa"/>
            <w:vAlign w:val="center"/>
          </w:tcPr>
          <w:p w14:paraId="3C93C4CB">
            <w:pPr>
              <w:pStyle w:val="39"/>
              <w:keepNext w:val="0"/>
              <w:keepLines w:val="0"/>
              <w:suppressLineNumbers w:val="0"/>
              <w:tabs>
                <w:tab w:val="left" w:pos="1084"/>
              </w:tabs>
              <w:spacing w:before="0" w:beforeAutospacing="0" w:after="0" w:afterAutospacing="0"/>
              <w:ind w:left="0" w:right="0" w:firstLine="0" w:firstLineChars="0"/>
              <w:jc w:val="center"/>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应</w:t>
            </w:r>
          </w:p>
        </w:tc>
      </w:tr>
    </w:tbl>
    <w:p w14:paraId="321F6E27">
      <w:pPr>
        <w:snapToGrid w:val="0"/>
        <w:spacing w:line="360" w:lineRule="auto"/>
        <w:ind w:firstLine="480" w:firstLineChars="200"/>
        <w:rPr>
          <w:rFonts w:hint="eastAsia" w:ascii="仿宋" w:hAnsi="仿宋" w:cs="仿宋"/>
          <w:color w:val="000000" w:themeColor="text1"/>
          <w:sz w:val="24"/>
          <w14:textFill>
            <w14:solidFill>
              <w14:schemeClr w14:val="tx1"/>
            </w14:solidFill>
          </w14:textFill>
        </w:rPr>
      </w:pPr>
    </w:p>
    <w:p w14:paraId="2A80F2B6">
      <w:pPr>
        <w:snapToGrid w:val="0"/>
        <w:spacing w:line="360" w:lineRule="auto"/>
        <w:ind w:firstLine="480" w:firstLineChars="200"/>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2包括人脸在内生物识别凭证不能作为系统唯一的识别凭证，系统应支持其他识别凭证；</w:t>
      </w:r>
    </w:p>
    <w:p w14:paraId="1F5E7BBA">
      <w:pPr>
        <w:snapToGrid w:val="0"/>
        <w:spacing w:line="360" w:lineRule="auto"/>
        <w:ind w:firstLine="480" w:firstLineChars="200"/>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3 电梯控制系统应设玻璃破碎按钮，当按下玻璃破碎按钮时应解除楼层控制及时停梯开门，并报警到监控中心（室）。</w:t>
      </w:r>
    </w:p>
    <w:p w14:paraId="54AB28F1">
      <w:pPr>
        <w:snapToGrid w:val="0"/>
        <w:spacing w:line="360" w:lineRule="auto"/>
        <w:ind w:firstLine="480" w:firstLineChars="200"/>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4系统宜开放API接口给智慧物业、智能家居等第三方程序，当开放API时应独立组网。</w:t>
      </w:r>
    </w:p>
    <w:p w14:paraId="3821D31A">
      <w:pPr>
        <w:snapToGrid w:val="0"/>
        <w:spacing w:line="360" w:lineRule="auto"/>
        <w:ind w:firstLine="0" w:firstLineChars="0"/>
        <w:rPr>
          <w:i/>
          <w:iCs/>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5.8.7应设置电子巡查系统：</w:t>
      </w:r>
    </w:p>
    <w:p w14:paraId="73A24599">
      <w:pPr>
        <w:snapToGrid w:val="0"/>
        <w:spacing w:line="360" w:lineRule="auto"/>
        <w:ind w:firstLine="0" w:firstLineChars="0"/>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5.8.8小区机动车出入口、机动车停车库（场）应设置停车库（场）管理系统，</w:t>
      </w:r>
      <w:r>
        <w:rPr>
          <w:rFonts w:hint="eastAsia" w:ascii="仿宋" w:hAnsi="仿宋" w:cs="仿宋"/>
          <w:color w:val="000000" w:themeColor="text1"/>
          <w:sz w:val="24"/>
          <w:lang w:eastAsia="zh-CN"/>
          <w14:textFill>
            <w14:solidFill>
              <w14:schemeClr w14:val="tx1"/>
            </w14:solidFill>
          </w14:textFill>
        </w:rPr>
        <w:t>系统</w:t>
      </w:r>
      <w:r>
        <w:rPr>
          <w:rFonts w:hint="eastAsia" w:ascii="仿宋" w:hAnsi="仿宋" w:cs="仿宋"/>
          <w:color w:val="000000" w:themeColor="text1"/>
          <w:sz w:val="24"/>
          <w14:textFill>
            <w14:solidFill>
              <w14:schemeClr w14:val="tx1"/>
            </w14:solidFill>
          </w14:textFill>
        </w:rPr>
        <w:t>能</w:t>
      </w:r>
      <w:r>
        <w:rPr>
          <w:rFonts w:hint="eastAsia" w:ascii="仿宋" w:hAnsi="仿宋" w:cs="仿宋"/>
          <w:color w:val="000000" w:themeColor="text1"/>
          <w:sz w:val="24"/>
          <w14:textFill>
            <w14:solidFill>
              <w14:schemeClr w14:val="tx1"/>
            </w14:solidFill>
          </w14:textFill>
        </w:rPr>
        <w:t>同时显示并记录出入车辆的号牌和驾驶员面部的抓拍图像，收费窗口及闸机均不宜设置在坡道上。</w:t>
      </w:r>
    </w:p>
    <w:p w14:paraId="3A578DB3">
      <w:pPr>
        <w:snapToGrid w:val="0"/>
        <w:spacing w:line="360" w:lineRule="auto"/>
        <w:ind w:firstLine="0" w:firstLineChars="0"/>
        <w:rPr>
          <w:rFonts w:hint="eastAsia" w:ascii="仿宋" w:hAnsi="仿宋" w:cs="仿宋"/>
          <w:b w:val="0"/>
          <w:bCs w:val="0"/>
          <w:color w:val="000000" w:themeColor="text1"/>
          <w:sz w:val="24"/>
          <w14:textFill>
            <w14:solidFill>
              <w14:schemeClr w14:val="tx1"/>
            </w14:solidFill>
          </w14:textFill>
        </w:rPr>
      </w:pPr>
      <w:r>
        <w:rPr>
          <w:rFonts w:hint="eastAsia" w:ascii="仿宋" w:hAnsi="仿宋" w:cs="仿宋"/>
          <w:b w:val="0"/>
          <w:bCs w:val="0"/>
          <w:color w:val="000000" w:themeColor="text1"/>
          <w:sz w:val="24"/>
          <w14:textFill>
            <w14:solidFill>
              <w14:schemeClr w14:val="tx1"/>
            </w14:solidFill>
          </w14:textFill>
        </w:rPr>
        <w:t>5.8.9应设置</w:t>
      </w:r>
      <w:r>
        <w:rPr>
          <w:rFonts w:hint="eastAsia" w:ascii="仿宋" w:hAnsi="仿宋" w:cs="仿宋"/>
          <w:b w:val="0"/>
          <w:bCs w:val="0"/>
          <w:color w:val="000000" w:themeColor="text1"/>
          <w:sz w:val="24"/>
          <w:lang w:eastAsia="zh-CN"/>
          <w14:textFill>
            <w14:solidFill>
              <w14:schemeClr w14:val="tx1"/>
            </w14:solidFill>
          </w14:textFill>
        </w:rPr>
        <w:t>楼寓对讲</w:t>
      </w:r>
      <w:r>
        <w:rPr>
          <w:rFonts w:hint="eastAsia" w:ascii="仿宋" w:hAnsi="仿宋" w:cs="仿宋"/>
          <w:b w:val="0"/>
          <w:bCs w:val="0"/>
          <w:color w:val="000000" w:themeColor="text1"/>
          <w:sz w:val="24"/>
          <w14:textFill>
            <w14:solidFill>
              <w14:schemeClr w14:val="tx1"/>
            </w14:solidFill>
          </w14:textFill>
        </w:rPr>
        <w:t>系统并符合以下要求：</w:t>
      </w:r>
    </w:p>
    <w:p w14:paraId="2BDCE4C1">
      <w:pPr>
        <w:snapToGrid w:val="0"/>
        <w:spacing w:line="360" w:lineRule="auto"/>
        <w:ind w:firstLine="482"/>
        <w:rPr>
          <w:rFonts w:hint="eastAsia" w:ascii="仿宋" w:hAnsi="仿宋" w:cs="仿宋"/>
          <w:b w:val="0"/>
          <w:bCs w:val="0"/>
          <w:color w:val="000000" w:themeColor="text1"/>
          <w:sz w:val="24"/>
          <w14:textFill>
            <w14:solidFill>
              <w14:schemeClr w14:val="tx1"/>
            </w14:solidFill>
          </w14:textFill>
        </w:rPr>
      </w:pPr>
      <w:r>
        <w:rPr>
          <w:rFonts w:hint="eastAsia" w:ascii="仿宋" w:hAnsi="仿宋" w:cs="仿宋"/>
          <w:b w:val="0"/>
          <w:bCs w:val="0"/>
          <w:color w:val="000000" w:themeColor="text1"/>
          <w:sz w:val="24"/>
          <w14:textFill>
            <w14:solidFill>
              <w14:schemeClr w14:val="tx1"/>
            </w14:solidFill>
          </w14:textFill>
        </w:rPr>
        <w:t>1住宅单元的全部出入口都应设置</w:t>
      </w:r>
      <w:bookmarkStart w:id="36" w:name="OLE_LINK16"/>
      <w:r>
        <w:rPr>
          <w:rFonts w:hint="eastAsia" w:ascii="仿宋" w:hAnsi="仿宋" w:cs="仿宋"/>
          <w:b w:val="0"/>
          <w:bCs w:val="0"/>
          <w:color w:val="000000" w:themeColor="text1"/>
          <w:sz w:val="24"/>
          <w14:textFill>
            <w14:solidFill>
              <w14:schemeClr w14:val="tx1"/>
            </w14:solidFill>
          </w14:textFill>
        </w:rPr>
        <w:t>对讲主机</w:t>
      </w:r>
      <w:bookmarkEnd w:id="36"/>
      <w:r>
        <w:rPr>
          <w:rFonts w:hint="eastAsia" w:ascii="仿宋" w:hAnsi="仿宋" w:cs="仿宋"/>
          <w:b w:val="0"/>
          <w:bCs w:val="0"/>
          <w:color w:val="000000" w:themeColor="text1"/>
          <w:sz w:val="24"/>
          <w14:textFill>
            <w14:solidFill>
              <w14:schemeClr w14:val="tx1"/>
            </w14:solidFill>
          </w14:textFill>
        </w:rPr>
        <w:t>，主要出入口应设置具有视频功能的对讲主机。对讲主机</w:t>
      </w:r>
      <w:r>
        <w:rPr>
          <w:rFonts w:hint="eastAsia" w:ascii="仿宋" w:hAnsi="仿宋" w:cs="仿宋"/>
          <w:b w:val="0"/>
          <w:bCs w:val="0"/>
          <w:color w:val="000000" w:themeColor="text1"/>
          <w:sz w:val="24"/>
          <w:lang w:eastAsia="zh-CN"/>
          <w14:textFill>
            <w14:solidFill>
              <w14:schemeClr w14:val="tx1"/>
            </w14:solidFill>
          </w14:textFill>
        </w:rPr>
        <w:t>及</w:t>
      </w:r>
      <w:r>
        <w:rPr>
          <w:rFonts w:hint="eastAsia" w:ascii="仿宋" w:hAnsi="仿宋" w:cs="仿宋"/>
          <w:b w:val="0"/>
          <w:bCs w:val="0"/>
          <w:color w:val="000000" w:themeColor="text1"/>
          <w:sz w:val="24"/>
          <w14:textFill>
            <w14:solidFill>
              <w14:schemeClr w14:val="tx1"/>
            </w14:solidFill>
          </w14:textFill>
        </w:rPr>
        <w:t>对讲分机</w:t>
      </w:r>
      <w:r>
        <w:rPr>
          <w:rFonts w:hint="eastAsia" w:ascii="仿宋" w:hAnsi="仿宋" w:cs="仿宋"/>
          <w:b w:val="0"/>
          <w:bCs w:val="0"/>
          <w:color w:val="000000" w:themeColor="text1"/>
          <w:sz w:val="24"/>
          <w14:textFill>
            <w14:solidFill>
              <w14:schemeClr w14:val="tx1"/>
            </w14:solidFill>
          </w14:textFill>
        </w:rPr>
        <w:t>应与小区安防监控中心（室）联网。</w:t>
      </w:r>
    </w:p>
    <w:p w14:paraId="1981C8FE">
      <w:pPr>
        <w:snapToGrid w:val="0"/>
        <w:spacing w:line="360" w:lineRule="auto"/>
        <w:ind w:firstLine="480" w:firstLineChars="200"/>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2地面层门厅，应设置求助按钮，求助信号接入对讲主机。</w:t>
      </w:r>
    </w:p>
    <w:p w14:paraId="03C4193B">
      <w:pPr>
        <w:snapToGrid w:val="0"/>
        <w:spacing w:line="360" w:lineRule="auto"/>
        <w:ind w:firstLine="480" w:firstLineChars="200"/>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3 住宅内起居室、主卧及预备给老人使用的卧室、卫生间应分别设置求助按钮，求助按钮接入室内对讲分机。</w:t>
      </w:r>
    </w:p>
    <w:p w14:paraId="4D7C279D">
      <w:pPr>
        <w:snapToGrid w:val="0"/>
        <w:spacing w:line="360" w:lineRule="auto"/>
        <w:ind w:firstLine="482"/>
        <w:rPr>
          <w:rFonts w:hint="eastAsia" w:ascii="仿宋" w:hAnsi="仿宋" w:cs="仿宋"/>
          <w:b w:val="0"/>
          <w:bCs w:val="0"/>
          <w:color w:val="000000" w:themeColor="text1"/>
          <w:sz w:val="24"/>
          <w14:textFill>
            <w14:solidFill>
              <w14:schemeClr w14:val="tx1"/>
            </w14:solidFill>
          </w14:textFill>
        </w:rPr>
      </w:pPr>
      <w:r>
        <w:rPr>
          <w:rFonts w:hint="eastAsia" w:ascii="仿宋" w:hAnsi="仿宋" w:cs="仿宋"/>
          <w:b w:val="0"/>
          <w:bCs w:val="0"/>
          <w:color w:val="000000" w:themeColor="text1"/>
          <w:sz w:val="24"/>
          <w14:textFill>
            <w14:solidFill>
              <w14:schemeClr w14:val="tx1"/>
            </w14:solidFill>
          </w14:textFill>
        </w:rPr>
        <w:t>4 住宅内主卧及预备给老年人使用的卧室、卫生间宜设置非视频型跌倒监测装置，其他房间可设置求助按钮、非视频型跌倒监测装置，报警信号接入室内对讲分机。</w:t>
      </w:r>
    </w:p>
    <w:p w14:paraId="10A8DCF8">
      <w:pPr>
        <w:snapToGrid w:val="0"/>
        <w:spacing w:line="360" w:lineRule="auto"/>
        <w:ind w:firstLine="482"/>
        <w:rPr>
          <w:rFonts w:hint="eastAsia" w:ascii="仿宋" w:hAnsi="仿宋" w:cs="仿宋"/>
          <w:b w:val="0"/>
          <w:bCs w:val="0"/>
          <w:color w:val="000000" w:themeColor="text1"/>
          <w:sz w:val="24"/>
          <w14:textFill>
            <w14:solidFill>
              <w14:schemeClr w14:val="tx1"/>
            </w14:solidFill>
          </w14:textFill>
        </w:rPr>
      </w:pPr>
      <w:r>
        <w:rPr>
          <w:rFonts w:hint="eastAsia" w:ascii="仿宋" w:hAnsi="仿宋" w:cs="仿宋"/>
          <w:b w:val="0"/>
          <w:bCs w:val="0"/>
          <w:color w:val="000000" w:themeColor="text1"/>
          <w:sz w:val="24"/>
          <w14:textFill>
            <w14:solidFill>
              <w14:schemeClr w14:val="tx1"/>
            </w14:solidFill>
          </w14:textFill>
        </w:rPr>
        <w:t>5住宅内厨房应设置</w:t>
      </w:r>
      <w:r>
        <w:rPr>
          <w:rFonts w:hint="eastAsia" w:ascii="仿宋" w:hAnsi="仿宋" w:cs="仿宋"/>
          <w:color w:val="000000" w:themeColor="text1"/>
          <w:sz w:val="24"/>
          <w:szCs w:val="24"/>
          <w14:textFill>
            <w14:solidFill>
              <w14:schemeClr w14:val="tx1"/>
            </w14:solidFill>
          </w14:textFill>
        </w:rPr>
        <w:t>燃气</w:t>
      </w:r>
      <w:r>
        <w:rPr>
          <w:rFonts w:hint="eastAsia" w:ascii="仿宋" w:hAnsi="仿宋" w:cs="仿宋"/>
          <w:color w:val="000000" w:themeColor="text1"/>
          <w:sz w:val="24"/>
          <w:szCs w:val="24"/>
          <w:lang w:val="en-US" w:eastAsia="zh-CN"/>
          <w14:textFill>
            <w14:solidFill>
              <w14:schemeClr w14:val="tx1"/>
            </w14:solidFill>
          </w14:textFill>
        </w:rPr>
        <w:t>泄露</w:t>
      </w:r>
      <w:r>
        <w:rPr>
          <w:rFonts w:hint="eastAsia" w:ascii="仿宋" w:hAnsi="仿宋" w:cs="仿宋"/>
          <w:color w:val="000000" w:themeColor="text1"/>
          <w:sz w:val="24"/>
          <w:szCs w:val="24"/>
          <w14:textFill>
            <w14:solidFill>
              <w14:schemeClr w14:val="tx1"/>
            </w14:solidFill>
          </w14:textFill>
        </w:rPr>
        <w:t>报警</w:t>
      </w:r>
      <w:r>
        <w:rPr>
          <w:rFonts w:hint="eastAsia" w:ascii="仿宋" w:hAnsi="仿宋" w:cs="仿宋"/>
          <w:color w:val="000000" w:themeColor="text1"/>
          <w:sz w:val="24"/>
          <w:szCs w:val="24"/>
          <w:lang w:val="en-US" w:eastAsia="zh-CN"/>
          <w14:textFill>
            <w14:solidFill>
              <w14:schemeClr w14:val="tx1"/>
            </w14:solidFill>
          </w14:textFill>
        </w:rPr>
        <w:t>装置</w:t>
      </w:r>
      <w:r>
        <w:rPr>
          <w:rFonts w:hint="eastAsia" w:ascii="仿宋" w:hAnsi="仿宋" w:cs="仿宋"/>
          <w:b w:val="0"/>
          <w:bCs w:val="0"/>
          <w:color w:val="000000" w:themeColor="text1"/>
          <w:sz w:val="24"/>
          <w14:textFill>
            <w14:solidFill>
              <w14:schemeClr w14:val="tx1"/>
            </w14:solidFill>
          </w14:textFill>
        </w:rPr>
        <w:t>，报警信号接入室内对讲分机。</w:t>
      </w:r>
    </w:p>
    <w:p w14:paraId="619E2E25">
      <w:pPr>
        <w:snapToGrid w:val="0"/>
        <w:spacing w:line="360" w:lineRule="auto"/>
        <w:ind w:firstLine="482"/>
        <w:rPr>
          <w:rFonts w:hint="eastAsia" w:ascii="仿宋" w:hAnsi="仿宋" w:cs="仿宋"/>
          <w:b w:val="0"/>
          <w:bCs w:val="0"/>
          <w:color w:val="000000" w:themeColor="text1"/>
          <w:sz w:val="24"/>
          <w14:textFill>
            <w14:solidFill>
              <w14:schemeClr w14:val="tx1"/>
            </w14:solidFill>
          </w14:textFill>
        </w:rPr>
      </w:pPr>
      <w:r>
        <w:rPr>
          <w:rFonts w:hint="eastAsia" w:ascii="仿宋" w:hAnsi="仿宋" w:cs="仿宋"/>
          <w:b w:val="0"/>
          <w:bCs w:val="0"/>
          <w:color w:val="000000" w:themeColor="text1"/>
          <w:sz w:val="24"/>
          <w14:textFill>
            <w14:solidFill>
              <w14:schemeClr w14:val="tx1"/>
            </w14:solidFill>
          </w14:textFill>
        </w:rPr>
        <w:t>6</w:t>
      </w:r>
      <w:r>
        <w:rPr>
          <w:rFonts w:hint="eastAsia" w:ascii="仿宋" w:hAnsi="仿宋" w:cs="仿宋"/>
          <w:b w:val="0"/>
          <w:bCs w:val="0"/>
          <w:color w:val="000000" w:themeColor="text1"/>
          <w:sz w:val="24"/>
          <w:lang w:eastAsia="zh-CN"/>
          <w14:textFill>
            <w14:solidFill>
              <w14:schemeClr w14:val="tx1"/>
            </w14:solidFill>
          </w14:textFill>
        </w:rPr>
        <w:t>燃气泄露报警装置</w:t>
      </w:r>
      <w:r>
        <w:rPr>
          <w:rFonts w:hint="eastAsia" w:ascii="仿宋" w:hAnsi="仿宋" w:cs="仿宋"/>
          <w:b w:val="0"/>
          <w:bCs w:val="0"/>
          <w:color w:val="000000" w:themeColor="text1"/>
          <w:sz w:val="24"/>
          <w14:textFill>
            <w14:solidFill>
              <w14:schemeClr w14:val="tx1"/>
            </w14:solidFill>
          </w14:textFill>
        </w:rPr>
        <w:t>宜联动机械手关闭表前阀门。</w:t>
      </w:r>
    </w:p>
    <w:p w14:paraId="40851F7D">
      <w:pPr>
        <w:snapToGrid w:val="0"/>
        <w:spacing w:line="360" w:lineRule="auto"/>
        <w:ind w:firstLine="482"/>
        <w:rPr>
          <w:rFonts w:hint="eastAsia" w:ascii="仿宋" w:hAnsi="仿宋" w:cs="仿宋"/>
          <w:b w:val="0"/>
          <w:bCs w:val="0"/>
          <w:color w:val="000000" w:themeColor="text1"/>
          <w:sz w:val="24"/>
          <w14:textFill>
            <w14:solidFill>
              <w14:schemeClr w14:val="tx1"/>
            </w14:solidFill>
          </w14:textFill>
        </w:rPr>
      </w:pPr>
      <w:r>
        <w:rPr>
          <w:rFonts w:hint="eastAsia" w:ascii="仿宋" w:hAnsi="仿宋" w:cs="仿宋"/>
          <w:b w:val="0"/>
          <w:bCs w:val="0"/>
          <w:color w:val="000000" w:themeColor="text1"/>
          <w:sz w:val="24"/>
          <w14:textFill>
            <w14:solidFill>
              <w14:schemeClr w14:val="tx1"/>
            </w14:solidFill>
          </w14:textFill>
        </w:rPr>
        <w:t>7 厨房、卫生间宜设置</w:t>
      </w:r>
      <w:bookmarkStart w:id="37" w:name="OLE_LINK20"/>
      <w:r>
        <w:rPr>
          <w:rFonts w:hint="eastAsia" w:ascii="仿宋" w:hAnsi="仿宋" w:cs="仿宋"/>
          <w:b w:val="0"/>
          <w:bCs w:val="0"/>
          <w:color w:val="000000" w:themeColor="text1"/>
          <w:sz w:val="24"/>
          <w14:textFill>
            <w14:solidFill>
              <w14:schemeClr w14:val="tx1"/>
            </w14:solidFill>
          </w14:textFill>
        </w:rPr>
        <w:t>水浸</w:t>
      </w:r>
      <w:bookmarkEnd w:id="37"/>
      <w:r>
        <w:rPr>
          <w:rFonts w:hint="eastAsia" w:ascii="仿宋" w:hAnsi="仿宋" w:cs="仿宋"/>
          <w:b w:val="0"/>
          <w:bCs w:val="0"/>
          <w:color w:val="000000" w:themeColor="text1"/>
          <w:sz w:val="24"/>
          <w14:textFill>
            <w14:solidFill>
              <w14:schemeClr w14:val="tx1"/>
            </w14:solidFill>
          </w14:textFill>
        </w:rPr>
        <w:t>报警装置，报警信号接入室内对讲分机。</w:t>
      </w:r>
    </w:p>
    <w:p w14:paraId="4AAF1E62">
      <w:pPr>
        <w:snapToGrid w:val="0"/>
        <w:spacing w:line="360" w:lineRule="auto"/>
        <w:ind w:firstLine="482"/>
        <w:rPr>
          <w:rFonts w:hint="eastAsia" w:ascii="仿宋" w:hAnsi="仿宋" w:cs="仿宋"/>
          <w:b w:val="0"/>
          <w:bCs w:val="0"/>
          <w:color w:val="000000" w:themeColor="text1"/>
          <w:sz w:val="24"/>
          <w14:textFill>
            <w14:solidFill>
              <w14:schemeClr w14:val="tx1"/>
            </w14:solidFill>
          </w14:textFill>
        </w:rPr>
      </w:pPr>
      <w:r>
        <w:rPr>
          <w:rFonts w:hint="eastAsia" w:ascii="仿宋" w:hAnsi="仿宋" w:cs="仿宋"/>
          <w:b w:val="0"/>
          <w:bCs w:val="0"/>
          <w:color w:val="000000" w:themeColor="text1"/>
          <w:sz w:val="24"/>
          <w14:textFill>
            <w14:solidFill>
              <w14:schemeClr w14:val="tx1"/>
            </w14:solidFill>
          </w14:textFill>
        </w:rPr>
        <w:t>8住宅内宜设置</w:t>
      </w:r>
      <w:bookmarkStart w:id="38" w:name="OLE_LINK21"/>
      <w:r>
        <w:rPr>
          <w:rFonts w:hint="eastAsia" w:ascii="仿宋" w:hAnsi="仿宋" w:cs="仿宋"/>
          <w:b w:val="0"/>
          <w:bCs w:val="0"/>
          <w:color w:val="000000" w:themeColor="text1"/>
          <w:sz w:val="24"/>
          <w14:textFill>
            <w14:solidFill>
              <w14:schemeClr w14:val="tx1"/>
            </w14:solidFill>
          </w14:textFill>
        </w:rPr>
        <w:t>入侵报警装置</w:t>
      </w:r>
      <w:bookmarkEnd w:id="38"/>
      <w:r>
        <w:rPr>
          <w:rFonts w:hint="eastAsia" w:ascii="仿宋" w:hAnsi="仿宋" w:cs="仿宋"/>
          <w:b w:val="0"/>
          <w:bCs w:val="0"/>
          <w:color w:val="000000" w:themeColor="text1"/>
          <w:sz w:val="24"/>
          <w14:textFill>
            <w14:solidFill>
              <w14:schemeClr w14:val="tx1"/>
            </w14:solidFill>
          </w14:textFill>
        </w:rPr>
        <w:t>，报警信号接入室内对讲分机。</w:t>
      </w:r>
    </w:p>
    <w:p w14:paraId="46660A97">
      <w:pPr>
        <w:snapToGrid w:val="0"/>
        <w:spacing w:line="360" w:lineRule="auto"/>
        <w:ind w:firstLine="482"/>
        <w:rPr>
          <w:rFonts w:hint="eastAsia" w:ascii="仿宋" w:hAnsi="仿宋" w:cs="仿宋"/>
          <w:b w:val="0"/>
          <w:bCs w:val="0"/>
          <w:color w:val="000000" w:themeColor="text1"/>
          <w:sz w:val="24"/>
          <w14:textFill>
            <w14:solidFill>
              <w14:schemeClr w14:val="tx1"/>
            </w14:solidFill>
          </w14:textFill>
        </w:rPr>
      </w:pPr>
      <w:r>
        <w:rPr>
          <w:rFonts w:hint="eastAsia" w:ascii="仿宋" w:hAnsi="仿宋" w:cs="仿宋"/>
          <w:b w:val="0"/>
          <w:bCs w:val="0"/>
          <w:color w:val="000000" w:themeColor="text1"/>
          <w:sz w:val="24"/>
          <w14:textFill>
            <w14:solidFill>
              <w14:schemeClr w14:val="tx1"/>
            </w14:solidFill>
          </w14:textFill>
        </w:rPr>
        <w:t>9征得业主同意后，物业应备有住户入户钥匙，接到求助、报警信号后应按预案及时处理。</w:t>
      </w:r>
    </w:p>
    <w:p w14:paraId="2928426C">
      <w:pPr>
        <w:snapToGrid w:val="0"/>
        <w:spacing w:line="360" w:lineRule="auto"/>
        <w:ind w:firstLine="482"/>
        <w:rPr>
          <w:rFonts w:hint="eastAsia" w:ascii="仿宋" w:hAnsi="仿宋" w:cs="仿宋"/>
          <w:b w:val="0"/>
          <w:bCs w:val="0"/>
          <w:color w:val="000000" w:themeColor="text1"/>
          <w:sz w:val="24"/>
          <w14:textFill>
            <w14:solidFill>
              <w14:schemeClr w14:val="tx1"/>
            </w14:solidFill>
          </w14:textFill>
        </w:rPr>
      </w:pPr>
      <w:r>
        <w:rPr>
          <w:rFonts w:hint="eastAsia" w:ascii="仿宋" w:hAnsi="仿宋" w:cs="仿宋"/>
          <w:b w:val="0"/>
          <w:bCs w:val="0"/>
          <w:color w:val="000000" w:themeColor="text1"/>
          <w:sz w:val="24"/>
          <w14:textFill>
            <w14:solidFill>
              <w14:schemeClr w14:val="tx1"/>
            </w14:solidFill>
          </w14:textFill>
        </w:rPr>
        <w:t>10系统宜开放API接口给智慧物业、智能家居等第三方程序，当开放API时应独立组网。</w:t>
      </w:r>
    </w:p>
    <w:p w14:paraId="3A2BF6E6">
      <w:pPr>
        <w:snapToGrid w:val="0"/>
        <w:spacing w:line="360" w:lineRule="auto"/>
        <w:ind w:firstLine="0" w:firstLineChars="0"/>
        <w:rPr>
          <w:i/>
          <w:iCs/>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5.8.10应设置安全防范管理平台，统一管理安全防范各子系统。</w:t>
      </w:r>
    </w:p>
    <w:p w14:paraId="62FC1E4B">
      <w:pPr>
        <w:snapToGrid w:val="0"/>
        <w:spacing w:line="360" w:lineRule="auto"/>
        <w:ind w:firstLine="0" w:firstLineChars="0"/>
        <w:rPr>
          <w:rFonts w:hint="eastAsia" w:ascii="仿宋" w:hAnsi="仿宋" w:cs="仿宋"/>
          <w:b w:val="0"/>
          <w:bCs w:val="0"/>
          <w:color w:val="000000" w:themeColor="text1"/>
          <w:sz w:val="24"/>
          <w14:textFill>
            <w14:solidFill>
              <w14:schemeClr w14:val="tx1"/>
            </w14:solidFill>
          </w14:textFill>
        </w:rPr>
      </w:pPr>
      <w:r>
        <w:rPr>
          <w:rFonts w:hint="eastAsia" w:ascii="仿宋" w:hAnsi="仿宋" w:cs="仿宋"/>
          <w:b w:val="0"/>
          <w:bCs w:val="0"/>
          <w:color w:val="000000" w:themeColor="text1"/>
          <w:sz w:val="24"/>
          <w14:textFill>
            <w14:solidFill>
              <w14:schemeClr w14:val="tx1"/>
            </w14:solidFill>
          </w14:textFill>
        </w:rPr>
        <w:t>5.8.11 小区应设置建筑设备管理系统：</w:t>
      </w:r>
    </w:p>
    <w:p w14:paraId="3721946A">
      <w:pPr>
        <w:snapToGrid w:val="0"/>
        <w:spacing w:line="360" w:lineRule="auto"/>
        <w:ind w:firstLine="482"/>
        <w:rPr>
          <w:rFonts w:hint="eastAsia" w:ascii="仿宋" w:hAnsi="仿宋" w:cs="仿宋"/>
          <w:b w:val="0"/>
          <w:bCs w:val="0"/>
          <w:color w:val="000000" w:themeColor="text1"/>
          <w:sz w:val="24"/>
          <w14:textFill>
            <w14:solidFill>
              <w14:schemeClr w14:val="tx1"/>
            </w14:solidFill>
          </w14:textFill>
        </w:rPr>
      </w:pPr>
      <w:r>
        <w:rPr>
          <w:rFonts w:hint="eastAsia" w:ascii="仿宋" w:hAnsi="仿宋" w:cs="仿宋"/>
          <w:b w:val="0"/>
          <w:bCs w:val="0"/>
          <w:color w:val="000000" w:themeColor="text1"/>
          <w:sz w:val="24"/>
          <w14:textFill>
            <w14:solidFill>
              <w14:schemeClr w14:val="tx1"/>
            </w14:solidFill>
          </w14:textFill>
        </w:rPr>
        <w:t>1 应监测生活水</w:t>
      </w:r>
      <w:r>
        <w:rPr>
          <w:rFonts w:hint="eastAsia" w:ascii="仿宋" w:hAnsi="仿宋" w:cs="仿宋"/>
          <w:b w:val="0"/>
          <w:bCs w:val="0"/>
          <w:color w:val="000000" w:themeColor="text1"/>
          <w:sz w:val="24"/>
          <w14:textFill>
            <w14:solidFill>
              <w14:schemeClr w14:val="tx1"/>
            </w14:solidFill>
          </w14:textFill>
        </w:rPr>
        <w:t>池</w:t>
      </w:r>
      <w:r>
        <w:rPr>
          <w:rFonts w:hint="eastAsia" w:ascii="仿宋" w:hAnsi="仿宋" w:cs="仿宋"/>
          <w:b w:val="0"/>
          <w:bCs w:val="0"/>
          <w:color w:val="000000" w:themeColor="text1"/>
          <w:sz w:val="24"/>
          <w:lang w:eastAsia="zh-CN"/>
          <w14:textFill>
            <w14:solidFill>
              <w14:schemeClr w14:val="tx1"/>
            </w14:solidFill>
          </w14:textFill>
        </w:rPr>
        <w:t>（</w:t>
      </w:r>
      <w:r>
        <w:rPr>
          <w:rFonts w:hint="eastAsia" w:ascii="仿宋" w:hAnsi="仿宋" w:cs="仿宋"/>
          <w:b w:val="0"/>
          <w:bCs w:val="0"/>
          <w:color w:val="000000" w:themeColor="text1"/>
          <w:sz w:val="24"/>
          <w14:textFill>
            <w14:solidFill>
              <w14:schemeClr w14:val="tx1"/>
            </w14:solidFill>
          </w14:textFill>
        </w:rPr>
        <w:t>箱</w:t>
      </w:r>
      <w:r>
        <w:rPr>
          <w:rFonts w:hint="eastAsia" w:ascii="仿宋" w:hAnsi="仿宋" w:cs="仿宋"/>
          <w:b w:val="0"/>
          <w:bCs w:val="0"/>
          <w:color w:val="000000" w:themeColor="text1"/>
          <w:sz w:val="24"/>
          <w:lang w:eastAsia="zh-CN"/>
          <w14:textFill>
            <w14:solidFill>
              <w14:schemeClr w14:val="tx1"/>
            </w14:solidFill>
          </w14:textFill>
        </w:rPr>
        <w:t>）</w:t>
      </w:r>
      <w:r>
        <w:rPr>
          <w:rFonts w:hint="eastAsia" w:ascii="仿宋" w:hAnsi="仿宋" w:cs="仿宋"/>
          <w:b w:val="0"/>
          <w:bCs w:val="0"/>
          <w:color w:val="000000" w:themeColor="text1"/>
          <w:sz w:val="24"/>
          <w14:textFill>
            <w14:solidFill>
              <w14:schemeClr w14:val="tx1"/>
            </w14:solidFill>
          </w14:textFill>
        </w:rPr>
        <w:t>、</w:t>
      </w:r>
      <w:r>
        <w:rPr>
          <w:rFonts w:ascii="仿宋" w:hAnsi="仿宋" w:cs="仿宋"/>
          <w:b w:val="0"/>
          <w:bCs w:val="0"/>
          <w:color w:val="000000" w:themeColor="text1"/>
          <w:sz w:val="24"/>
          <w14:textFill>
            <w14:solidFill>
              <w14:schemeClr w14:val="tx1"/>
            </w14:solidFill>
          </w14:textFill>
        </w:rPr>
        <w:t>消防蓄水池、污水池水位</w:t>
      </w:r>
      <w:r>
        <w:rPr>
          <w:rFonts w:hint="eastAsia" w:ascii="仿宋" w:hAnsi="仿宋" w:cs="仿宋"/>
          <w:b w:val="0"/>
          <w:bCs w:val="0"/>
          <w:color w:val="000000" w:themeColor="text1"/>
          <w:sz w:val="24"/>
          <w14:textFill>
            <w14:solidFill>
              <w14:schemeClr w14:val="tx1"/>
            </w14:solidFill>
          </w14:textFill>
        </w:rPr>
        <w:t>；</w:t>
      </w:r>
    </w:p>
    <w:p w14:paraId="73B44828">
      <w:pPr>
        <w:snapToGrid w:val="0"/>
        <w:spacing w:line="360" w:lineRule="auto"/>
        <w:ind w:firstLine="482"/>
        <w:rPr>
          <w:rFonts w:hint="eastAsia" w:ascii="仿宋" w:hAnsi="仿宋" w:cs="仿宋"/>
          <w:b w:val="0"/>
          <w:bCs w:val="0"/>
          <w:color w:val="000000" w:themeColor="text1"/>
          <w:sz w:val="24"/>
          <w14:textFill>
            <w14:solidFill>
              <w14:schemeClr w14:val="tx1"/>
            </w14:solidFill>
          </w14:textFill>
        </w:rPr>
      </w:pPr>
      <w:r>
        <w:rPr>
          <w:rFonts w:hint="eastAsia" w:ascii="仿宋" w:hAnsi="仿宋" w:cs="仿宋"/>
          <w:b w:val="0"/>
          <w:bCs w:val="0"/>
          <w:color w:val="000000" w:themeColor="text1"/>
          <w:sz w:val="24"/>
          <w14:textFill>
            <w14:solidFill>
              <w14:schemeClr w14:val="tx1"/>
            </w14:solidFill>
          </w14:textFill>
        </w:rPr>
        <w:t>2 应监测生活水泵、污水泵状态，</w:t>
      </w:r>
      <w:r>
        <w:rPr>
          <w:rFonts w:ascii="仿宋" w:hAnsi="仿宋" w:cs="仿宋"/>
          <w:b w:val="0"/>
          <w:bCs w:val="0"/>
          <w:color w:val="000000" w:themeColor="text1"/>
          <w:sz w:val="24"/>
          <w14:textFill>
            <w14:solidFill>
              <w14:schemeClr w14:val="tx1"/>
            </w14:solidFill>
          </w14:textFill>
        </w:rPr>
        <w:t>饮用水过滤设备、消毒设备</w:t>
      </w:r>
      <w:r>
        <w:rPr>
          <w:rFonts w:hint="eastAsia" w:ascii="仿宋" w:hAnsi="仿宋" w:cs="仿宋"/>
          <w:b w:val="0"/>
          <w:bCs w:val="0"/>
          <w:color w:val="000000" w:themeColor="text1"/>
          <w:sz w:val="24"/>
          <w14:textFill>
            <w14:solidFill>
              <w14:schemeClr w14:val="tx1"/>
            </w14:solidFill>
          </w14:textFill>
        </w:rPr>
        <w:t>状态；</w:t>
      </w:r>
    </w:p>
    <w:p w14:paraId="208AC125">
      <w:pPr>
        <w:snapToGrid w:val="0"/>
        <w:spacing w:line="360" w:lineRule="auto"/>
        <w:ind w:firstLine="482"/>
        <w:rPr>
          <w:rFonts w:hint="eastAsia" w:ascii="仿宋" w:hAnsi="仿宋" w:cs="仿宋"/>
          <w:b w:val="0"/>
          <w:bCs w:val="0"/>
          <w:color w:val="000000" w:themeColor="text1"/>
          <w:sz w:val="24"/>
          <w14:textFill>
            <w14:solidFill>
              <w14:schemeClr w14:val="tx1"/>
            </w14:solidFill>
          </w14:textFill>
        </w:rPr>
      </w:pPr>
      <w:r>
        <w:rPr>
          <w:rFonts w:hint="eastAsia" w:ascii="仿宋" w:hAnsi="仿宋" w:cs="仿宋"/>
          <w:b w:val="0"/>
          <w:bCs w:val="0"/>
          <w:color w:val="000000" w:themeColor="text1"/>
          <w:sz w:val="24"/>
          <w14:textFill>
            <w14:solidFill>
              <w14:schemeClr w14:val="tx1"/>
            </w14:solidFill>
          </w14:textFill>
        </w:rPr>
        <w:t>3 应监测电梯运行状态。</w:t>
      </w:r>
    </w:p>
    <w:p w14:paraId="45BCCE35">
      <w:pPr>
        <w:snapToGrid w:val="0"/>
        <w:spacing w:line="360" w:lineRule="auto"/>
        <w:ind w:firstLine="482"/>
        <w:rPr>
          <w:rFonts w:hint="eastAsia" w:ascii="仿宋" w:hAnsi="仿宋" w:cs="仿宋"/>
          <w:b w:val="0"/>
          <w:bCs w:val="0"/>
          <w:color w:val="000000" w:themeColor="text1"/>
          <w:sz w:val="24"/>
          <w14:textFill>
            <w14:solidFill>
              <w14:schemeClr w14:val="tx1"/>
            </w14:solidFill>
          </w14:textFill>
        </w:rPr>
      </w:pPr>
      <w:r>
        <w:rPr>
          <w:rFonts w:hint="eastAsia" w:ascii="仿宋" w:hAnsi="仿宋" w:cs="仿宋"/>
          <w:b w:val="0"/>
          <w:bCs w:val="0"/>
          <w:color w:val="000000" w:themeColor="text1"/>
          <w:sz w:val="24"/>
          <w14:textFill>
            <w14:solidFill>
              <w14:schemeClr w14:val="tx1"/>
            </w14:solidFill>
          </w14:textFill>
        </w:rPr>
        <w:t>4 宜监测公区供配电系统。</w:t>
      </w:r>
    </w:p>
    <w:p w14:paraId="6DF6D233">
      <w:pPr>
        <w:snapToGrid w:val="0"/>
        <w:spacing w:line="360" w:lineRule="auto"/>
        <w:ind w:firstLine="482"/>
        <w:rPr>
          <w:rFonts w:hint="eastAsia" w:ascii="仿宋" w:hAnsi="仿宋" w:cs="仿宋"/>
          <w:b w:val="0"/>
          <w:bCs w:val="0"/>
          <w:color w:val="000000" w:themeColor="text1"/>
          <w:sz w:val="24"/>
          <w14:textFill>
            <w14:solidFill>
              <w14:schemeClr w14:val="tx1"/>
            </w14:solidFill>
          </w14:textFill>
        </w:rPr>
      </w:pPr>
      <w:r>
        <w:rPr>
          <w:rFonts w:hint="eastAsia" w:ascii="仿宋" w:hAnsi="仿宋" w:cs="仿宋"/>
          <w:b w:val="0"/>
          <w:bCs w:val="0"/>
          <w:color w:val="000000" w:themeColor="text1"/>
          <w:sz w:val="24"/>
          <w14:textFill>
            <w14:solidFill>
              <w14:schemeClr w14:val="tx1"/>
            </w14:solidFill>
          </w14:textFill>
        </w:rPr>
        <w:t>5 宜监测生活给水总管压力。</w:t>
      </w:r>
    </w:p>
    <w:p w14:paraId="561A0CFA">
      <w:pPr>
        <w:snapToGrid w:val="0"/>
        <w:spacing w:line="360" w:lineRule="auto"/>
        <w:ind w:firstLine="482"/>
        <w:rPr>
          <w:rFonts w:hint="eastAsia" w:ascii="仿宋" w:hAnsi="仿宋" w:cs="仿宋"/>
          <w:b w:val="0"/>
          <w:bCs w:val="0"/>
          <w:color w:val="000000" w:themeColor="text1"/>
          <w:sz w:val="24"/>
          <w14:textFill>
            <w14:solidFill>
              <w14:schemeClr w14:val="tx1"/>
            </w14:solidFill>
          </w14:textFill>
        </w:rPr>
      </w:pPr>
      <w:r>
        <w:rPr>
          <w:rFonts w:hint="eastAsia" w:ascii="仿宋" w:hAnsi="仿宋" w:cs="仿宋"/>
          <w:b w:val="0"/>
          <w:bCs w:val="0"/>
          <w:color w:val="000000" w:themeColor="text1"/>
          <w:sz w:val="24"/>
          <w14:textFill>
            <w14:solidFill>
              <w14:schemeClr w14:val="tx1"/>
            </w14:solidFill>
          </w14:textFill>
        </w:rPr>
        <w:t>6 宜监测生活水泵房、消防水泵房、变配电室、柴油发电机房等应设置水浸监测装置。</w:t>
      </w:r>
    </w:p>
    <w:p w14:paraId="4BA6C72B">
      <w:pPr>
        <w:snapToGrid w:val="0"/>
        <w:spacing w:line="360" w:lineRule="auto"/>
        <w:ind w:firstLine="482"/>
        <w:rPr>
          <w:rFonts w:hint="eastAsia" w:ascii="仿宋" w:hAnsi="仿宋" w:cs="仿宋"/>
          <w:b w:val="0"/>
          <w:bCs w:val="0"/>
          <w:color w:val="000000" w:themeColor="text1"/>
          <w:sz w:val="24"/>
          <w14:textFill>
            <w14:solidFill>
              <w14:schemeClr w14:val="tx1"/>
            </w14:solidFill>
          </w14:textFill>
        </w:rPr>
      </w:pPr>
      <w:r>
        <w:rPr>
          <w:rFonts w:hint="eastAsia" w:ascii="仿宋" w:hAnsi="仿宋" w:cs="仿宋"/>
          <w:b w:val="0"/>
          <w:bCs w:val="0"/>
          <w:color w:val="000000" w:themeColor="text1"/>
          <w:sz w:val="24"/>
          <w14:textFill>
            <w14:solidFill>
              <w14:schemeClr w14:val="tx1"/>
            </w14:solidFill>
          </w14:textFill>
        </w:rPr>
        <w:t>7 宜监测生活饮用水水质监测。</w:t>
      </w:r>
    </w:p>
    <w:p w14:paraId="3A600714">
      <w:pPr>
        <w:snapToGrid w:val="0"/>
        <w:spacing w:line="360" w:lineRule="auto"/>
        <w:ind w:firstLine="482"/>
        <w:rPr>
          <w:i/>
          <w:iCs/>
          <w:color w:val="000000" w:themeColor="text1"/>
          <w:sz w:val="24"/>
          <w14:textFill>
            <w14:solidFill>
              <w14:schemeClr w14:val="tx1"/>
            </w14:solidFill>
          </w14:textFill>
        </w:rPr>
      </w:pPr>
      <w:r>
        <w:rPr>
          <w:rFonts w:hint="eastAsia" w:ascii="仿宋" w:hAnsi="仿宋" w:cs="仿宋"/>
          <w:b w:val="0"/>
          <w:bCs w:val="0"/>
          <w:color w:val="000000" w:themeColor="text1"/>
          <w:sz w:val="24"/>
          <w14:textFill>
            <w14:solidFill>
              <w14:schemeClr w14:val="tx1"/>
            </w14:solidFill>
          </w14:textFill>
        </w:rPr>
        <w:t>8 宜监测</w:t>
      </w:r>
      <w:r>
        <w:rPr>
          <w:rFonts w:ascii="仿宋" w:hAnsi="仿宋" w:cs="仿宋"/>
          <w:b w:val="0"/>
          <w:bCs w:val="0"/>
          <w:color w:val="000000" w:themeColor="text1"/>
          <w:sz w:val="24"/>
          <w14:textFill>
            <w14:solidFill>
              <w14:schemeClr w14:val="tx1"/>
            </w14:solidFill>
          </w14:textFill>
        </w:rPr>
        <w:t>集中式采暖通风及空气调节系统；</w:t>
      </w:r>
    </w:p>
    <w:p w14:paraId="68C13904">
      <w:pPr>
        <w:snapToGrid w:val="0"/>
        <w:spacing w:line="360" w:lineRule="auto"/>
        <w:ind w:firstLine="0" w:firstLineChars="0"/>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5.8.12</w:t>
      </w:r>
      <w:r>
        <w:rPr>
          <w:rFonts w:ascii="仿宋" w:hAnsi="仿宋" w:cs="仿宋"/>
          <w:color w:val="000000" w:themeColor="text1"/>
          <w:sz w:val="24"/>
          <w14:textFill>
            <w14:solidFill>
              <w14:schemeClr w14:val="tx1"/>
            </w14:solidFill>
          </w14:textFill>
        </w:rPr>
        <w:t xml:space="preserve"> </w:t>
      </w:r>
      <w:r>
        <w:rPr>
          <w:rFonts w:hint="eastAsia" w:ascii="仿宋" w:hAnsi="仿宋" w:cs="仿宋"/>
          <w:color w:val="000000" w:themeColor="text1"/>
          <w:sz w:val="24"/>
          <w14:textFill>
            <w14:solidFill>
              <w14:schemeClr w14:val="tx1"/>
            </w14:solidFill>
          </w14:textFill>
        </w:rPr>
        <w:t>小区应</w:t>
      </w:r>
      <w:r>
        <w:rPr>
          <w:rFonts w:ascii="仿宋" w:hAnsi="仿宋" w:cs="仿宋"/>
          <w:color w:val="000000" w:themeColor="text1"/>
          <w:sz w:val="24"/>
          <w14:textFill>
            <w14:solidFill>
              <w14:schemeClr w14:val="tx1"/>
            </w14:solidFill>
          </w14:textFill>
        </w:rPr>
        <w:t>设置能</w:t>
      </w:r>
      <w:r>
        <w:rPr>
          <w:rFonts w:hint="eastAsia" w:ascii="仿宋" w:hAnsi="仿宋" w:cs="仿宋"/>
          <w:color w:val="000000" w:themeColor="text1"/>
          <w:sz w:val="24"/>
          <w14:textFill>
            <w14:solidFill>
              <w14:schemeClr w14:val="tx1"/>
            </w14:solidFill>
          </w14:textFill>
        </w:rPr>
        <w:t>效</w:t>
      </w:r>
      <w:r>
        <w:rPr>
          <w:rFonts w:ascii="仿宋" w:hAnsi="仿宋" w:cs="仿宋"/>
          <w:color w:val="000000" w:themeColor="text1"/>
          <w:sz w:val="24"/>
          <w14:textFill>
            <w14:solidFill>
              <w14:schemeClr w14:val="tx1"/>
            </w14:solidFill>
          </w14:textFill>
        </w:rPr>
        <w:t>监管系统，实时采集能耗数据，实现在线监测与动态管理。</w:t>
      </w:r>
    </w:p>
    <w:p w14:paraId="207827BA">
      <w:pPr>
        <w:snapToGrid w:val="0"/>
        <w:spacing w:line="360" w:lineRule="auto"/>
        <w:ind w:firstLine="0" w:firstLineChars="0"/>
        <w:rPr>
          <w:rFonts w:ascii="Calibri" w:hAnsi="Calibri" w:eastAsia="仿宋" w:cs="黑体"/>
          <w:i/>
          <w:iCs/>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5.8.13 小区应设置室外环境质量监测系统并通过信息引导及发布系统显示，监测内容应包括PM2.5、PM10、温度、湿度等，宜包括风速、风向、气压等。</w:t>
      </w:r>
    </w:p>
    <w:p w14:paraId="315E0AD6">
      <w:pPr>
        <w:snapToGrid w:val="0"/>
        <w:spacing w:line="360" w:lineRule="auto"/>
        <w:ind w:firstLine="0" w:firstLineChars="0"/>
        <w:rPr>
          <w:i/>
          <w:iCs/>
          <w:color w:val="000000" w:themeColor="text1"/>
          <w:sz w:val="24"/>
          <w14:textFill>
            <w14:solidFill>
              <w14:schemeClr w14:val="tx1"/>
            </w14:solidFill>
          </w14:textFill>
        </w:rPr>
      </w:pPr>
      <w:r>
        <w:rPr>
          <w:rFonts w:hint="eastAsia" w:ascii="仿宋" w:hAnsi="仿宋" w:cs="仿宋"/>
          <w:b w:val="0"/>
          <w:bCs w:val="0"/>
          <w:color w:val="000000" w:themeColor="text1"/>
          <w:sz w:val="24"/>
          <w14:textFill>
            <w14:solidFill>
              <w14:schemeClr w14:val="tx1"/>
            </w14:solidFill>
          </w14:textFill>
        </w:rPr>
        <w:t>5.8.14 室外LED显示屏，应避免对居室</w:t>
      </w:r>
      <w:r>
        <w:rPr>
          <w:rFonts w:hint="eastAsia" w:ascii="仿宋" w:hAnsi="仿宋" w:cs="仿宋"/>
          <w:b w:val="0"/>
          <w:bCs w:val="0"/>
          <w:color w:val="000000" w:themeColor="text1"/>
          <w:sz w:val="24"/>
          <w14:textFill>
            <w14:solidFill>
              <w14:schemeClr w14:val="tx1"/>
            </w14:solidFill>
          </w14:textFill>
        </w:rPr>
        <w:t>光环境</w:t>
      </w:r>
      <w:r>
        <w:rPr>
          <w:rFonts w:hint="eastAsia" w:ascii="仿宋" w:hAnsi="仿宋" w:cs="仿宋"/>
          <w:b w:val="0"/>
          <w:bCs w:val="0"/>
          <w:color w:val="000000" w:themeColor="text1"/>
          <w:sz w:val="24"/>
          <w14:textFill>
            <w14:solidFill>
              <w14:schemeClr w14:val="tx1"/>
            </w14:solidFill>
          </w14:textFill>
        </w:rPr>
        <w:t>的影响，满足《建筑环境通用规范》55016 3.4.3要求，应有自动屏幕调节亮度的措施，夜间亮度全彩或多色显示屏应不大于400 cd/m</w:t>
      </w:r>
      <w:r>
        <w:rPr>
          <w:rFonts w:hint="eastAsia" w:ascii="仿宋" w:hAnsi="仿宋" w:cs="仿宋"/>
          <w:b w:val="0"/>
          <w:bCs w:val="0"/>
          <w:color w:val="000000" w:themeColor="text1"/>
          <w:sz w:val="24"/>
          <w:vertAlign w:val="superscript"/>
          <w14:textFill>
            <w14:solidFill>
              <w14:schemeClr w14:val="tx1"/>
            </w14:solidFill>
          </w14:textFill>
        </w:rPr>
        <w:t>2</w:t>
      </w:r>
      <w:r>
        <w:rPr>
          <w:rFonts w:hint="eastAsia" w:ascii="仿宋" w:hAnsi="仿宋" w:cs="仿宋"/>
          <w:b w:val="0"/>
          <w:bCs w:val="0"/>
          <w:color w:val="000000" w:themeColor="text1"/>
          <w:sz w:val="24"/>
          <w14:textFill>
            <w14:solidFill>
              <w14:schemeClr w14:val="tx1"/>
            </w14:solidFill>
          </w14:textFill>
        </w:rPr>
        <w:t>，单红色显示屏应不大于120 cd/m</w:t>
      </w:r>
      <w:r>
        <w:rPr>
          <w:rFonts w:hint="eastAsia" w:ascii="仿宋" w:hAnsi="仿宋" w:cs="仿宋"/>
          <w:b w:val="0"/>
          <w:bCs w:val="0"/>
          <w:color w:val="000000" w:themeColor="text1"/>
          <w:sz w:val="24"/>
          <w:vertAlign w:val="superscript"/>
          <w14:textFill>
            <w14:solidFill>
              <w14:schemeClr w14:val="tx1"/>
            </w14:solidFill>
          </w14:textFill>
        </w:rPr>
        <w:t>2</w:t>
      </w:r>
      <w:r>
        <w:rPr>
          <w:rFonts w:hint="eastAsia" w:ascii="仿宋" w:hAnsi="仿宋" w:cs="仿宋"/>
          <w:b w:val="0"/>
          <w:bCs w:val="0"/>
          <w:color w:val="000000" w:themeColor="text1"/>
          <w:sz w:val="24"/>
          <w14:textFill>
            <w14:solidFill>
              <w14:schemeClr w14:val="tx1"/>
            </w14:solidFill>
          </w14:textFill>
        </w:rPr>
        <w:t>，单绿色显示屏应不大于240 cd/m</w:t>
      </w:r>
      <w:r>
        <w:rPr>
          <w:rFonts w:hint="eastAsia" w:ascii="仿宋" w:hAnsi="仿宋" w:cs="仿宋"/>
          <w:b w:val="0"/>
          <w:bCs w:val="0"/>
          <w:color w:val="000000" w:themeColor="text1"/>
          <w:sz w:val="24"/>
          <w:vertAlign w:val="superscript"/>
          <w14:textFill>
            <w14:solidFill>
              <w14:schemeClr w14:val="tx1"/>
            </w14:solidFill>
          </w14:textFill>
        </w:rPr>
        <w:t>2</w:t>
      </w:r>
      <w:r>
        <w:rPr>
          <w:rFonts w:hint="eastAsia" w:ascii="仿宋" w:hAnsi="仿宋" w:cs="仿宋"/>
          <w:b w:val="0"/>
          <w:bCs w:val="0"/>
          <w:color w:val="000000" w:themeColor="text1"/>
          <w:sz w:val="24"/>
          <w14:textFill>
            <w14:solidFill>
              <w14:schemeClr w14:val="tx1"/>
            </w14:solidFill>
          </w14:textFill>
        </w:rPr>
        <w:t>，单蓝色显示屏应不大于40 cd/m</w:t>
      </w:r>
      <w:r>
        <w:rPr>
          <w:rFonts w:hint="eastAsia" w:ascii="仿宋" w:hAnsi="仿宋" w:cs="仿宋"/>
          <w:b w:val="0"/>
          <w:bCs w:val="0"/>
          <w:color w:val="000000" w:themeColor="text1"/>
          <w:sz w:val="24"/>
          <w:vertAlign w:val="superscript"/>
          <w14:textFill>
            <w14:solidFill>
              <w14:schemeClr w14:val="tx1"/>
            </w14:solidFill>
          </w14:textFill>
        </w:rPr>
        <w:t>2</w:t>
      </w:r>
      <w:r>
        <w:rPr>
          <w:rFonts w:hint="eastAsia" w:ascii="仿宋" w:hAnsi="仿宋" w:cs="仿宋"/>
          <w:b w:val="0"/>
          <w:bCs w:val="0"/>
          <w:color w:val="000000" w:themeColor="text1"/>
          <w:sz w:val="24"/>
          <w14:textFill>
            <w14:solidFill>
              <w14:schemeClr w14:val="tx1"/>
            </w14:solidFill>
          </w14:textFill>
        </w:rPr>
        <w:t>。</w:t>
      </w:r>
    </w:p>
    <w:p w14:paraId="037D859D">
      <w:pPr>
        <w:snapToGrid w:val="0"/>
        <w:spacing w:line="360" w:lineRule="auto"/>
        <w:ind w:firstLine="0" w:firstLineChars="0"/>
        <w:rPr>
          <w:i/>
          <w:iCs/>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5.8.15 住宅小区应设置物业管理系统，具有对住宅建筑内入住人员管理、住户房产维修管理、住户各项费用查询及收取、住宅建筑公共设施管理、住宅建筑工程图纸管理等功能。</w:t>
      </w:r>
    </w:p>
    <w:p w14:paraId="110780C5">
      <w:pPr>
        <w:snapToGrid w:val="0"/>
        <w:spacing w:line="360" w:lineRule="auto"/>
        <w:ind w:firstLine="0" w:firstLineChars="0"/>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5.8.16 住宅小区应设置智慧物业系统，系统应有面向全体住户的APP终端，支持访客邀请、访客停车、远程开门、费用查询、信息发布、网上报修等功能，APP用户数应满足全体业主接入需求。应最小化采集业主信息，且不应采集个人敏感信息。</w:t>
      </w:r>
    </w:p>
    <w:p w14:paraId="177B753B">
      <w:pPr>
        <w:snapToGrid w:val="0"/>
        <w:spacing w:line="360" w:lineRule="auto"/>
        <w:ind w:firstLine="0" w:firstLineChars="0"/>
        <w:rPr>
          <w:i/>
          <w:iCs/>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5.8.17 宜建设数字家庭系统，应满足获得家居产品智能化服务、线上社会化服务、线上申办政务服务的需求。</w:t>
      </w:r>
    </w:p>
    <w:p w14:paraId="0E57FCC3">
      <w:pPr>
        <w:snapToGrid w:val="0"/>
        <w:spacing w:line="360" w:lineRule="auto"/>
        <w:ind w:firstLine="0" w:firstLineChars="0"/>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5.8.18 应设置用于安装智能化系统核心设备的独立、封闭的信息机房。</w:t>
      </w:r>
    </w:p>
    <w:p w14:paraId="5D019D4F">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p>
    <w:p w14:paraId="64F2DFD3">
      <w:pPr>
        <w:pStyle w:val="3"/>
        <w:ind w:firstLine="643"/>
        <w:jc w:val="center"/>
        <w:rPr>
          <w:rFonts w:hint="eastAsia"/>
          <w:color w:val="000000" w:themeColor="text1"/>
          <w:sz w:val="24"/>
          <w:szCs w:val="24"/>
          <w14:textFill>
            <w14:solidFill>
              <w14:schemeClr w14:val="tx1"/>
            </w14:solidFill>
          </w14:textFill>
        </w:rPr>
      </w:pPr>
      <w:bookmarkStart w:id="39" w:name="_Toc14087"/>
      <w:r>
        <w:rPr>
          <w:rFonts w:hint="eastAsia"/>
          <w:color w:val="000000" w:themeColor="text1"/>
          <w:sz w:val="24"/>
          <w:szCs w:val="24"/>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9</w:t>
      </w:r>
      <w:r>
        <w:rPr>
          <w:rFonts w:hint="eastAsia"/>
          <w:color w:val="000000" w:themeColor="text1"/>
          <w:sz w:val="24"/>
          <w:szCs w:val="24"/>
          <w14:textFill>
            <w14:solidFill>
              <w14:schemeClr w14:val="tx1"/>
            </w14:solidFill>
          </w14:textFill>
        </w:rPr>
        <w:t xml:space="preserve"> 室内环境及装饰装修设计</w:t>
      </w:r>
      <w:bookmarkEnd w:id="39"/>
    </w:p>
    <w:p w14:paraId="22727CE5">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9</w:t>
      </w:r>
      <w:r>
        <w:rPr>
          <w:rFonts w:hint="eastAsia" w:ascii="仿宋" w:hAnsi="仿宋" w:cs="仿宋"/>
          <w:color w:val="000000" w:themeColor="text1"/>
          <w:sz w:val="24"/>
          <w:szCs w:val="24"/>
          <w14:textFill>
            <w14:solidFill>
              <w14:schemeClr w14:val="tx1"/>
            </w14:solidFill>
          </w14:textFill>
        </w:rPr>
        <w:t>.1 新建住宅应进行全装修，装修应采用一体化设计和施工。全装修工程质量、选用材料及产品质量应符合国家及山西省现行有关标准及政策文件要求。</w:t>
      </w:r>
    </w:p>
    <w:p w14:paraId="3F9F0D8F">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9</w:t>
      </w:r>
      <w:r>
        <w:rPr>
          <w:rFonts w:hint="eastAsia" w:ascii="仿宋" w:hAnsi="仿宋" w:cs="仿宋"/>
          <w:color w:val="000000" w:themeColor="text1"/>
          <w:sz w:val="24"/>
          <w:szCs w:val="24"/>
          <w14:textFill>
            <w14:solidFill>
              <w14:schemeClr w14:val="tx1"/>
            </w14:solidFill>
          </w14:textFill>
        </w:rPr>
        <w:t>.2 室内氨、甲醛、苯、总挥发性有机物、氡等污染物浓</w:t>
      </w:r>
      <w:r>
        <w:rPr>
          <w:color w:val="000000" w:themeColor="text1"/>
          <w:spacing w:val="2"/>
          <w:sz w:val="24"/>
          <w:szCs w:val="21"/>
          <w14:textFill>
            <w14:solidFill>
              <w14:schemeClr w14:val="tx1"/>
            </w14:solidFill>
          </w14:textFill>
        </w:rPr>
        <w:t>度应不高于现</w:t>
      </w:r>
      <w:r>
        <w:rPr>
          <w:color w:val="000000" w:themeColor="text1"/>
          <w:sz w:val="24"/>
          <w:szCs w:val="21"/>
          <w14:textFill>
            <w14:solidFill>
              <w14:schemeClr w14:val="tx1"/>
            </w14:solidFill>
          </w14:textFill>
        </w:rPr>
        <w:t>行国家标准《室内空气质量标准》</w:t>
      </w:r>
      <w:r>
        <w:rPr>
          <w:rFonts w:hint="eastAsia" w:ascii="仿宋" w:hAnsi="仿宋" w:cs="仿宋"/>
          <w:color w:val="000000" w:themeColor="text1"/>
          <w:sz w:val="24"/>
          <w:szCs w:val="21"/>
          <w14:textFill>
            <w14:solidFill>
              <w14:schemeClr w14:val="tx1"/>
            </w14:solidFill>
          </w14:textFill>
        </w:rPr>
        <w:t>（GB/T18883）</w:t>
      </w:r>
      <w:r>
        <w:rPr>
          <w:color w:val="000000" w:themeColor="text1"/>
          <w:sz w:val="24"/>
          <w:szCs w:val="21"/>
          <w14:textFill>
            <w14:solidFill>
              <w14:schemeClr w14:val="tx1"/>
            </w14:solidFill>
          </w14:textFill>
        </w:rPr>
        <w:t>规定限值的</w:t>
      </w:r>
      <w:r>
        <w:rPr>
          <w:rFonts w:hint="eastAsia" w:ascii="仿宋" w:hAnsi="仿宋" w:cs="仿宋"/>
          <w:color w:val="000000" w:themeColor="text1"/>
          <w:sz w:val="24"/>
          <w:szCs w:val="21"/>
          <w:lang w:val="en-US" w:eastAsia="zh-CN"/>
          <w14:textFill>
            <w14:solidFill>
              <w14:schemeClr w14:val="tx1"/>
            </w14:solidFill>
          </w14:textFill>
        </w:rPr>
        <w:t>8</w:t>
      </w:r>
      <w:r>
        <w:rPr>
          <w:rFonts w:hint="eastAsia" w:ascii="仿宋" w:hAnsi="仿宋" w:cs="仿宋"/>
          <w:color w:val="000000" w:themeColor="text1"/>
          <w:sz w:val="24"/>
          <w:szCs w:val="21"/>
          <w14:textFill>
            <w14:solidFill>
              <w14:schemeClr w14:val="tx1"/>
            </w14:solidFill>
          </w14:textFill>
        </w:rPr>
        <w:t>0%</w:t>
      </w:r>
      <w:r>
        <w:rPr>
          <w:color w:val="000000" w:themeColor="text1"/>
          <w:sz w:val="24"/>
          <w:szCs w:val="21"/>
          <w14:textFill>
            <w14:solidFill>
              <w14:schemeClr w14:val="tx1"/>
            </w14:solidFill>
          </w14:textFill>
        </w:rPr>
        <w:t>。</w:t>
      </w:r>
      <w:r>
        <w:rPr>
          <w:color w:val="000000" w:themeColor="text1"/>
          <w:sz w:val="24"/>
          <w:szCs w:val="21"/>
          <w14:textFill>
            <w14:solidFill>
              <w14:schemeClr w14:val="tx1"/>
            </w14:solidFill>
          </w14:textFill>
        </w:rPr>
        <w:t>户内应</w:t>
      </w:r>
      <w:r>
        <w:rPr>
          <w:color w:val="000000" w:themeColor="text1"/>
          <w:spacing w:val="1"/>
          <w:sz w:val="24"/>
          <w:szCs w:val="21"/>
          <w14:textFill>
            <w14:solidFill>
              <w14:schemeClr w14:val="tx1"/>
            </w14:solidFill>
          </w14:textFill>
        </w:rPr>
        <w:t>设置温度、湿度、</w:t>
      </w:r>
      <w:r>
        <w:rPr>
          <w:rFonts w:hint="eastAsia" w:ascii="仿宋" w:hAnsi="仿宋" w:cs="仿宋"/>
          <w:color w:val="000000" w:themeColor="text1"/>
          <w:sz w:val="24"/>
          <w:szCs w:val="21"/>
          <w14:textFill>
            <w14:solidFill>
              <w14:schemeClr w14:val="tx1"/>
            </w14:solidFill>
          </w14:textFill>
        </w:rPr>
        <w:t>PM</w:t>
      </w:r>
      <w:r>
        <w:rPr>
          <w:rFonts w:hint="eastAsia" w:ascii="仿宋" w:hAnsi="仿宋" w:cs="仿宋"/>
          <w:color w:val="000000" w:themeColor="text1"/>
          <w:spacing w:val="1"/>
          <w:sz w:val="24"/>
          <w:szCs w:val="21"/>
          <w14:textFill>
            <w14:solidFill>
              <w14:schemeClr w14:val="tx1"/>
            </w14:solidFill>
          </w14:textFill>
        </w:rPr>
        <w:t>10、</w:t>
      </w:r>
      <w:r>
        <w:rPr>
          <w:rFonts w:hint="eastAsia" w:ascii="仿宋" w:hAnsi="仿宋" w:cs="仿宋"/>
          <w:color w:val="000000" w:themeColor="text1"/>
          <w:sz w:val="24"/>
          <w:szCs w:val="21"/>
          <w14:textFill>
            <w14:solidFill>
              <w14:schemeClr w14:val="tx1"/>
            </w14:solidFill>
          </w14:textFill>
        </w:rPr>
        <w:t>PM</w:t>
      </w:r>
      <w:r>
        <w:rPr>
          <w:rFonts w:hint="eastAsia" w:ascii="仿宋" w:hAnsi="仿宋" w:cs="仿宋"/>
          <w:color w:val="000000" w:themeColor="text1"/>
          <w:spacing w:val="1"/>
          <w:sz w:val="24"/>
          <w:szCs w:val="21"/>
          <w14:textFill>
            <w14:solidFill>
              <w14:schemeClr w14:val="tx1"/>
            </w14:solidFill>
          </w14:textFill>
        </w:rPr>
        <w:t>2.5</w:t>
      </w:r>
      <w:r>
        <w:rPr>
          <w:color w:val="000000" w:themeColor="text1"/>
          <w:spacing w:val="1"/>
          <w:sz w:val="24"/>
          <w:szCs w:val="21"/>
          <w14:textFill>
            <w14:solidFill>
              <w14:schemeClr w14:val="tx1"/>
            </w14:solidFill>
          </w14:textFill>
        </w:rPr>
        <w:t>、</w:t>
      </w:r>
      <w:r>
        <w:rPr>
          <w:rFonts w:hint="eastAsia" w:ascii="仿宋" w:hAnsi="仿宋" w:cs="仿宋"/>
          <w:color w:val="000000" w:themeColor="text1"/>
          <w:sz w:val="24"/>
          <w:szCs w:val="21"/>
          <w14:textFill>
            <w14:solidFill>
              <w14:schemeClr w14:val="tx1"/>
            </w14:solidFill>
          </w14:textFill>
        </w:rPr>
        <w:t>CO</w:t>
      </w:r>
      <w:r>
        <w:rPr>
          <w:rFonts w:hint="eastAsia" w:ascii="仿宋" w:hAnsi="仿宋" w:cs="仿宋"/>
          <w:color w:val="000000" w:themeColor="text1"/>
          <w:spacing w:val="1"/>
          <w:sz w:val="24"/>
          <w:szCs w:val="21"/>
          <w:vertAlign w:val="subscript"/>
          <w14:textFill>
            <w14:solidFill>
              <w14:schemeClr w14:val="tx1"/>
            </w14:solidFill>
          </w14:textFill>
        </w:rPr>
        <w:t>2</w:t>
      </w:r>
      <w:r>
        <w:rPr>
          <w:color w:val="000000" w:themeColor="text1"/>
          <w:spacing w:val="1"/>
          <w:sz w:val="24"/>
          <w:szCs w:val="21"/>
          <w14:textFill>
            <w14:solidFill>
              <w14:schemeClr w14:val="tx1"/>
            </w14:solidFill>
          </w14:textFill>
        </w:rPr>
        <w:t>浓度的</w:t>
      </w:r>
      <w:r>
        <w:rPr>
          <w:color w:val="000000" w:themeColor="text1"/>
          <w:sz w:val="24"/>
          <w:szCs w:val="21"/>
          <w14:textFill>
            <w14:solidFill>
              <w14:schemeClr w14:val="tx1"/>
            </w14:solidFill>
          </w14:textFill>
        </w:rPr>
        <w:t>空气质量监测系统，且有参数</w:t>
      </w:r>
      <w:r>
        <w:rPr>
          <w:color w:val="000000" w:themeColor="text1"/>
          <w:spacing w:val="-1"/>
          <w:sz w:val="24"/>
          <w:szCs w:val="21"/>
          <w14:textFill>
            <w14:solidFill>
              <w14:schemeClr w14:val="tx1"/>
            </w14:solidFill>
          </w14:textFill>
        </w:rPr>
        <w:t>越限报警、事故报</w:t>
      </w:r>
      <w:r>
        <w:rPr>
          <w:rFonts w:hint="eastAsia" w:ascii="仿宋" w:hAnsi="仿宋" w:cs="仿宋"/>
          <w:color w:val="000000" w:themeColor="text1"/>
          <w:sz w:val="24"/>
          <w:szCs w:val="24"/>
          <w14:textFill>
            <w14:solidFill>
              <w14:schemeClr w14:val="tx1"/>
            </w14:solidFill>
          </w14:textFill>
        </w:rPr>
        <w:t>警、数据记录及数据存储功能。</w:t>
      </w:r>
    </w:p>
    <w:p w14:paraId="052153C3">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9</w:t>
      </w:r>
      <w:r>
        <w:rPr>
          <w:rFonts w:hint="eastAsia" w:ascii="仿宋" w:hAnsi="仿宋" w:cs="仿宋"/>
          <w:color w:val="000000" w:themeColor="text1"/>
          <w:sz w:val="24"/>
          <w:szCs w:val="24"/>
          <w14:textFill>
            <w14:solidFill>
              <w14:schemeClr w14:val="tx1"/>
            </w14:solidFill>
          </w14:textFill>
        </w:rPr>
        <w:t>.3 住宅隔声降噪性能应符合下列要求：</w:t>
      </w:r>
    </w:p>
    <w:p w14:paraId="2BA1688A">
      <w:pPr>
        <w:snapToGrid w:val="0"/>
        <w:spacing w:line="360" w:lineRule="auto"/>
        <w:ind w:firstLine="64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 住宅各部位隔声性能应符合《住宅项目规范》相关指标要求；</w:t>
      </w:r>
    </w:p>
    <w:p w14:paraId="40B79704">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 分户墙两侧同一位置的设备位置应错开，安装时不应直接穿透墙体；</w:t>
      </w:r>
    </w:p>
    <w:p w14:paraId="4A66BFBB">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 管线穿过楼板和墙体时，孔洞周边应采取密封隔声措施；</w:t>
      </w:r>
    </w:p>
    <w:p w14:paraId="7319C883">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 隔声吸声材料的性能应符合防火、防水、防腐、环保和装修效果等要求。</w:t>
      </w:r>
    </w:p>
    <w:p w14:paraId="3321BD85">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9</w:t>
      </w:r>
      <w:r>
        <w:rPr>
          <w:rFonts w:hint="eastAsia" w:ascii="仿宋" w:hAnsi="仿宋" w:cs="仿宋"/>
          <w:color w:val="000000" w:themeColor="text1"/>
          <w:sz w:val="24"/>
          <w:szCs w:val="24"/>
          <w14:textFill>
            <w14:solidFill>
              <w14:schemeClr w14:val="tx1"/>
            </w14:solidFill>
          </w14:textFill>
        </w:rPr>
        <w:t>.4 住宅室内照明宜符合下列要求：</w:t>
      </w:r>
    </w:p>
    <w:p w14:paraId="5D2343E9">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1住宅建筑应采取有效措施提高室内光环境质量，应符合《建筑照明设计标准》GB/T50034的相关规定；</w:t>
      </w:r>
    </w:p>
    <w:p w14:paraId="6CE322FA">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2室内照明的一般空间</w:t>
      </w:r>
      <w:r>
        <w:rPr>
          <w:rFonts w:hint="eastAsia" w:ascii="仿宋" w:hAnsi="仿宋" w:cs="仿宋"/>
          <w:color w:val="000000" w:themeColor="text1"/>
          <w:sz w:val="24"/>
          <w:szCs w:val="24"/>
          <w:lang w:eastAsia="zh-CN"/>
          <w14:textFill>
            <w14:solidFill>
              <w14:schemeClr w14:val="tx1"/>
            </w14:solidFill>
          </w14:textFill>
        </w:rPr>
        <w:t>统一眩光值</w:t>
      </w:r>
      <w:r>
        <w:rPr>
          <w:rFonts w:hint="eastAsia" w:ascii="仿宋" w:hAnsi="仿宋" w:cs="仿宋"/>
          <w:color w:val="000000" w:themeColor="text1"/>
          <w:sz w:val="24"/>
          <w:szCs w:val="24"/>
          <w14:textFill>
            <w14:solidFill>
              <w14:schemeClr w14:val="tx1"/>
            </w14:solidFill>
          </w14:textFill>
        </w:rPr>
        <w:t>UGR不宜大于21，书写阅读空间统一眩光值UGR不宜大于19；</w:t>
      </w:r>
    </w:p>
    <w:p w14:paraId="1887ABA2">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3室内宜设置照明、色温可调节的照明设备；</w:t>
      </w:r>
    </w:p>
    <w:p w14:paraId="3E0A85C1">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4卧室至卫生间的过道宜设置具有人体感应开关的夜间安全照明设施；</w:t>
      </w:r>
    </w:p>
    <w:p w14:paraId="07FAB4AD">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5应选用高效节能的光源；</w:t>
      </w:r>
    </w:p>
    <w:p w14:paraId="00A31364">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6墙面、顶棚、地面材料应避免使用高反射材料。</w:t>
      </w:r>
    </w:p>
    <w:p w14:paraId="4B945FDE">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9</w:t>
      </w:r>
      <w:r>
        <w:rPr>
          <w:rFonts w:hint="eastAsia" w:ascii="仿宋" w:hAnsi="仿宋" w:cs="仿宋"/>
          <w:color w:val="000000" w:themeColor="text1"/>
          <w:sz w:val="24"/>
          <w:szCs w:val="24"/>
          <w14:textFill>
            <w14:solidFill>
              <w14:schemeClr w14:val="tx1"/>
            </w14:solidFill>
          </w14:textFill>
        </w:rPr>
        <w:t>.5 为避免厨房、卫生间区域的污浊空气和污染物串通到室内其他空间，应采取以下措施：</w:t>
      </w:r>
    </w:p>
    <w:p w14:paraId="3321AFE5">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 厨房和卫生间应设机械排风系统，排风管道应具备防火、导流、防倒灌功能，连接主排风管或排风竖井的排风支管应设置止回阀，排风竖井顶部应设置防止室外倒灌的措施；</w:t>
      </w:r>
    </w:p>
    <w:p w14:paraId="032EC729">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 厨房和卫生间的用水空间应集中布置，存水弯出水管与排水管道连接处应使用良好密封材料和构造，便器应选用构造内自带水封的产品；</w:t>
      </w:r>
    </w:p>
    <w:p w14:paraId="52B15DA0">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 卫生间地漏应具有防反溢、防异味功能；洗衣机处地漏应采用具有防反溢、防干涸功能的专用地漏。</w:t>
      </w:r>
    </w:p>
    <w:p w14:paraId="4E170259">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p>
    <w:p w14:paraId="70AD339B">
      <w:pPr>
        <w:pStyle w:val="3"/>
        <w:ind w:firstLine="643"/>
        <w:jc w:val="center"/>
        <w:rPr>
          <w:rFonts w:hint="eastAsia"/>
          <w:color w:val="000000" w:themeColor="text1"/>
          <w:sz w:val="24"/>
          <w:szCs w:val="24"/>
          <w14:textFill>
            <w14:solidFill>
              <w14:schemeClr w14:val="tx1"/>
            </w14:solidFill>
          </w14:textFill>
        </w:rPr>
      </w:pPr>
      <w:bookmarkStart w:id="40" w:name="_Toc11754"/>
      <w:r>
        <w:rPr>
          <w:rFonts w:hint="eastAsia"/>
          <w:color w:val="000000" w:themeColor="text1"/>
          <w:sz w:val="24"/>
          <w:szCs w:val="24"/>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 xml:space="preserve">10 </w:t>
      </w:r>
      <w:r>
        <w:rPr>
          <w:rFonts w:hint="eastAsia"/>
          <w:color w:val="000000" w:themeColor="text1"/>
          <w:sz w:val="24"/>
          <w:szCs w:val="24"/>
          <w14:textFill>
            <w14:solidFill>
              <w14:schemeClr w14:val="tx1"/>
            </w14:solidFill>
          </w14:textFill>
        </w:rPr>
        <w:t>可再生能源利用</w:t>
      </w:r>
      <w:bookmarkEnd w:id="40"/>
    </w:p>
    <w:p w14:paraId="56DCE3E6">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10</w:t>
      </w:r>
      <w:r>
        <w:rPr>
          <w:rFonts w:hint="eastAsia" w:ascii="仿宋" w:hAnsi="仿宋" w:cs="仿宋"/>
          <w:color w:val="000000" w:themeColor="text1"/>
          <w:sz w:val="24"/>
          <w:szCs w:val="24"/>
          <w14:textFill>
            <w14:solidFill>
              <w14:schemeClr w14:val="tx1"/>
            </w14:solidFill>
          </w14:textFill>
        </w:rPr>
        <w:t>.1 新建建筑应安装太阳能系统，且太阳能系统应做到全年综合利用，根据使用地的气候特征、实际需求和适用条件，为建筑物供电、供生活热水、供暖或供冷。</w:t>
      </w:r>
    </w:p>
    <w:p w14:paraId="216892FA">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10</w:t>
      </w:r>
      <w:r>
        <w:rPr>
          <w:rFonts w:hint="eastAsia" w:ascii="仿宋" w:hAnsi="仿宋" w:cs="仿宋"/>
          <w:color w:val="000000" w:themeColor="text1"/>
          <w:sz w:val="24"/>
          <w:szCs w:val="24"/>
          <w14:textFill>
            <w14:solidFill>
              <w14:schemeClr w14:val="tx1"/>
            </w14:solidFill>
          </w14:textFill>
        </w:rPr>
        <w:t>.2 太阳能建筑一体化应用系统的设计应与建筑设计同步完成，确保系统与建筑的整体协调性。</w:t>
      </w:r>
    </w:p>
    <w:p w14:paraId="7B0887F3">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10</w:t>
      </w:r>
      <w:r>
        <w:rPr>
          <w:rFonts w:hint="eastAsia" w:ascii="仿宋" w:hAnsi="仿宋" w:cs="仿宋"/>
          <w:color w:val="000000" w:themeColor="text1"/>
          <w:sz w:val="24"/>
          <w:szCs w:val="24"/>
          <w14:textFill>
            <w14:solidFill>
              <w14:schemeClr w14:val="tx1"/>
            </w14:solidFill>
          </w14:textFill>
        </w:rPr>
        <w:t>.3 在技术经济条件合理时，可采用空气源热泵等可再生能源建筑应用形式。空气源热泵机组的供热性能系数（COP）应满足相关标准要求。</w:t>
      </w:r>
    </w:p>
    <w:p w14:paraId="4E8BAC40">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10</w:t>
      </w:r>
      <w:r>
        <w:rPr>
          <w:rFonts w:hint="eastAsia" w:ascii="仿宋" w:hAnsi="仿宋" w:cs="仿宋"/>
          <w:color w:val="000000" w:themeColor="text1"/>
          <w:sz w:val="24"/>
          <w:szCs w:val="24"/>
          <w14:textFill>
            <w14:solidFill>
              <w14:schemeClr w14:val="tx1"/>
            </w14:solidFill>
          </w14:textFill>
        </w:rPr>
        <w:t>.4 鼓励利用地热能等可再生能源，但需根据当地的资源条件和适用性进行分析。</w:t>
      </w:r>
    </w:p>
    <w:p w14:paraId="24FBE94B">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10</w:t>
      </w:r>
      <w:r>
        <w:rPr>
          <w:rFonts w:hint="eastAsia" w:ascii="仿宋" w:hAnsi="仿宋" w:cs="仿宋"/>
          <w:color w:val="000000" w:themeColor="text1"/>
          <w:sz w:val="24"/>
          <w:szCs w:val="24"/>
          <w14:textFill>
            <w14:solidFill>
              <w14:schemeClr w14:val="tx1"/>
            </w14:solidFill>
          </w14:textFill>
        </w:rPr>
        <w:t>.5 太阳能系统与构件及其安装应满足结构、电气及防火安全的要求。安装太阳能系统的建筑，应设置安装和运行维护的安全防护措施，以及防止太阳能集热器或光伏电池板损坏后部件坠落伤人的安全防护设施。</w:t>
      </w:r>
    </w:p>
    <w:p w14:paraId="2C491D08">
      <w:pPr>
        <w:widowControl/>
        <w:shd w:val="clear" w:color="auto" w:fill="FFFFFF"/>
        <w:spacing w:line="390" w:lineRule="atLeast"/>
        <w:ind w:firstLine="0" w:firstLineChars="0"/>
        <w:jc w:val="left"/>
        <w:textAlignment w:val="baseline"/>
        <w:rPr>
          <w:rFonts w:ascii="仿宋" w:hAnsi="仿宋" w:cs="仿宋"/>
          <w:color w:val="000000" w:themeColor="text1"/>
          <w:sz w:val="24"/>
          <w:szCs w:val="24"/>
          <w14:textFill>
            <w14:solidFill>
              <w14:schemeClr w14:val="tx1"/>
            </w14:solidFill>
          </w14:textFill>
        </w:rPr>
      </w:pPr>
    </w:p>
    <w:p w14:paraId="73D8EB97">
      <w:pPr>
        <w:snapToGrid w:val="0"/>
        <w:spacing w:line="360" w:lineRule="auto"/>
        <w:ind w:firstLine="0" w:firstLineChars="0"/>
        <w:rPr>
          <w:rFonts w:ascii="仿宋" w:hAnsi="仿宋"/>
          <w:color w:val="000000" w:themeColor="text1"/>
          <w:sz w:val="24"/>
          <w:szCs w:val="24"/>
          <w14:textFill>
            <w14:solidFill>
              <w14:schemeClr w14:val="tx1"/>
            </w14:solidFill>
          </w14:textFill>
        </w:rPr>
      </w:pPr>
      <w:r>
        <w:rPr>
          <w:rFonts w:ascii="仿宋" w:hAnsi="仿宋"/>
          <w:color w:val="000000" w:themeColor="text1"/>
          <w:sz w:val="24"/>
          <w:szCs w:val="24"/>
          <w14:textFill>
            <w14:solidFill>
              <w14:schemeClr w14:val="tx1"/>
            </w14:solidFill>
          </w14:textFill>
        </w:rPr>
        <w:br w:type="page"/>
      </w:r>
    </w:p>
    <w:p w14:paraId="0C1F42F4">
      <w:pPr>
        <w:pStyle w:val="2"/>
        <w:ind w:firstLine="643"/>
        <w:jc w:val="center"/>
        <w:rPr>
          <w:rFonts w:hint="default" w:ascii="黑体" w:hAnsi="黑体" w:eastAsia="黑体" w:cs="黑体"/>
          <w:color w:val="000000" w:themeColor="text1"/>
          <w:sz w:val="24"/>
          <w:szCs w:val="24"/>
          <w:lang w:val="en-US" w:eastAsia="zh-CN"/>
          <w14:textFill>
            <w14:solidFill>
              <w14:schemeClr w14:val="tx1"/>
            </w14:solidFill>
          </w14:textFill>
        </w:rPr>
      </w:pPr>
      <w:bookmarkStart w:id="41" w:name="_Toc21611"/>
      <w:bookmarkStart w:id="42" w:name="_Toc3385"/>
      <w:bookmarkStart w:id="43" w:name="_Toc5130"/>
      <w:r>
        <w:rPr>
          <w:rFonts w:hint="eastAsia" w:ascii="黑体" w:hAnsi="黑体" w:eastAsia="黑体" w:cs="黑体"/>
          <w:color w:val="000000" w:themeColor="text1"/>
          <w:sz w:val="24"/>
          <w:szCs w:val="24"/>
          <w14:textFill>
            <w14:solidFill>
              <w14:schemeClr w14:val="tx1"/>
            </w14:solidFill>
          </w14:textFill>
        </w:rPr>
        <w:t>6 建造</w:t>
      </w:r>
      <w:bookmarkEnd w:id="41"/>
      <w:bookmarkEnd w:id="42"/>
      <w:r>
        <w:rPr>
          <w:rFonts w:hint="eastAsia" w:ascii="黑体" w:hAnsi="黑体" w:eastAsia="黑体" w:cs="黑体"/>
          <w:color w:val="000000" w:themeColor="text1"/>
          <w:sz w:val="24"/>
          <w:szCs w:val="24"/>
          <w:lang w:val="en-US" w:eastAsia="zh-CN"/>
          <w14:textFill>
            <w14:solidFill>
              <w14:schemeClr w14:val="tx1"/>
            </w14:solidFill>
          </w14:textFill>
        </w:rPr>
        <w:t>与验收</w:t>
      </w:r>
      <w:bookmarkEnd w:id="43"/>
    </w:p>
    <w:p w14:paraId="02082388">
      <w:pPr>
        <w:pStyle w:val="3"/>
        <w:ind w:firstLine="643"/>
        <w:jc w:val="center"/>
        <w:rPr>
          <w:color w:val="000000" w:themeColor="text1"/>
          <w:sz w:val="24"/>
          <w:szCs w:val="24"/>
          <w14:textFill>
            <w14:solidFill>
              <w14:schemeClr w14:val="tx1"/>
            </w14:solidFill>
          </w14:textFill>
        </w:rPr>
      </w:pPr>
      <w:bookmarkStart w:id="44" w:name="_Toc3200"/>
      <w:bookmarkStart w:id="45" w:name="_Toc8101"/>
      <w:bookmarkStart w:id="46" w:name="_Toc27880"/>
      <w:r>
        <w:rPr>
          <w:color w:val="000000" w:themeColor="text1"/>
          <w:sz w:val="24"/>
          <w:szCs w:val="24"/>
          <w14:textFill>
            <w14:solidFill>
              <w14:schemeClr w14:val="tx1"/>
            </w14:solidFill>
          </w14:textFill>
        </w:rPr>
        <w:t>6.1 一般规定</w:t>
      </w:r>
      <w:bookmarkEnd w:id="44"/>
    </w:p>
    <w:p w14:paraId="4DD33387">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6.1.1应优先选用高性能、低能耗、环保型建筑材料，确保材料的质量符合相关标准要求。</w:t>
      </w:r>
    </w:p>
    <w:p w14:paraId="5A10E6AC">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6.1.2应强化建筑、结构、机电、装修、景观等全专业一体化协同设计与施工。总平面管线设计应与市政、电力、通信、环卫、燃气等部门协同推进。</w:t>
      </w:r>
    </w:p>
    <w:p w14:paraId="5846AC85">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6.1.3实体结构工程应与装修工程一体化设计及施工，应选用全装修交付，宜采用装配式装修施工。</w:t>
      </w:r>
    </w:p>
    <w:p w14:paraId="08C8F65B">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6.1.4外饰面材料、室内装饰装修材料、密封材料等应选择耐久性强、易维护的材料。</w:t>
      </w:r>
      <w:r>
        <w:rPr>
          <w:rFonts w:ascii="仿宋" w:hAnsi="仿宋" w:cs="仿宋"/>
          <w:color w:val="000000" w:themeColor="text1"/>
          <w:sz w:val="24"/>
          <w:szCs w:val="24"/>
          <w:lang w:bidi="ar"/>
          <w14:textFill>
            <w14:solidFill>
              <w14:schemeClr w14:val="tx1"/>
            </w14:solidFill>
          </w14:textFill>
        </w:rPr>
        <w:t>外立面涂料</w:t>
      </w:r>
      <w:r>
        <w:rPr>
          <w:rFonts w:hint="eastAsia" w:ascii="仿宋" w:hAnsi="仿宋" w:cs="仿宋"/>
          <w:color w:val="000000" w:themeColor="text1"/>
          <w:sz w:val="24"/>
          <w:szCs w:val="24"/>
          <w:lang w:bidi="ar"/>
          <w14:textFill>
            <w14:solidFill>
              <w14:schemeClr w14:val="tx1"/>
            </w14:solidFill>
          </w14:textFill>
        </w:rPr>
        <w:t>宜</w:t>
      </w:r>
      <w:r>
        <w:rPr>
          <w:rFonts w:ascii="仿宋" w:hAnsi="仿宋" w:cs="仿宋"/>
          <w:color w:val="000000" w:themeColor="text1"/>
          <w:sz w:val="24"/>
          <w:szCs w:val="24"/>
          <w:lang w:bidi="ar"/>
          <w14:textFill>
            <w14:solidFill>
              <w14:schemeClr w14:val="tx1"/>
            </w14:solidFill>
          </w14:textFill>
        </w:rPr>
        <w:t>选用带自洁功能的产品。</w:t>
      </w:r>
    </w:p>
    <w:p w14:paraId="5D4E712B">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6.1.5施工中应结合现场情况优化施工组织设计和施工方案，</w:t>
      </w:r>
      <w:r>
        <w:rPr>
          <w:rFonts w:ascii="仿宋" w:hAnsi="仿宋" w:cs="仿宋"/>
          <w:color w:val="000000" w:themeColor="text1"/>
          <w:sz w:val="24"/>
          <w:szCs w:val="24"/>
          <w:lang w:bidi="ar"/>
          <w14:textFill>
            <w14:solidFill>
              <w14:schemeClr w14:val="tx1"/>
            </w14:solidFill>
          </w14:textFill>
        </w:rPr>
        <w:t>选用</w:t>
      </w:r>
      <w:r>
        <w:rPr>
          <w:rFonts w:hint="eastAsia" w:ascii="仿宋" w:hAnsi="仿宋" w:cs="仿宋"/>
          <w:color w:val="000000" w:themeColor="text1"/>
          <w:sz w:val="24"/>
          <w:szCs w:val="24"/>
          <w:lang w:bidi="ar"/>
          <w14:textFill>
            <w14:solidFill>
              <w14:schemeClr w14:val="tx1"/>
            </w14:solidFill>
          </w14:textFill>
        </w:rPr>
        <w:t>资源消耗低、环境影响小的施工工艺和措施。</w:t>
      </w:r>
    </w:p>
    <w:p w14:paraId="1F353B95">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6.1.6应确保给排水、暖通空调、电气、智能化等设备安装质量，满足使用功能和安全要求，应预留足够的设备维护和更换空间。</w:t>
      </w:r>
    </w:p>
    <w:p w14:paraId="577A5003">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6.1.7</w:t>
      </w:r>
      <w:r>
        <w:rPr>
          <w:rFonts w:ascii="仿宋" w:hAnsi="仿宋" w:cs="仿宋"/>
          <w:color w:val="000000" w:themeColor="text1"/>
          <w:sz w:val="24"/>
          <w:szCs w:val="24"/>
          <w:lang w:bidi="ar"/>
          <w14:textFill>
            <w14:solidFill>
              <w14:schemeClr w14:val="tx1"/>
            </w14:solidFill>
          </w14:textFill>
        </w:rPr>
        <w:t>应实施样板先行制度。</w:t>
      </w:r>
      <w:r>
        <w:rPr>
          <w:rFonts w:hint="eastAsia" w:ascii="仿宋" w:hAnsi="仿宋" w:cs="仿宋"/>
          <w:color w:val="000000" w:themeColor="text1"/>
          <w:sz w:val="24"/>
          <w:szCs w:val="24"/>
          <w:lang w:bidi="ar"/>
          <w14:textFill>
            <w14:solidFill>
              <w14:schemeClr w14:val="tx1"/>
            </w14:solidFill>
          </w14:textFill>
        </w:rPr>
        <w:t>应保证大面积装饰装修施工与交付样板房采用相同的材料、工艺、工法及构配件，质量和标准不得低于样板房。</w:t>
      </w:r>
    </w:p>
    <w:p w14:paraId="225B923F">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6.1.8</w:t>
      </w:r>
      <w:bookmarkStart w:id="47" w:name="OLE_LINK26"/>
      <w:r>
        <w:rPr>
          <w:rFonts w:ascii="仿宋" w:hAnsi="仿宋" w:cs="仿宋"/>
          <w:color w:val="000000" w:themeColor="text1"/>
          <w:sz w:val="24"/>
          <w:szCs w:val="24"/>
          <w:lang w:bidi="ar"/>
          <w14:textFill>
            <w14:solidFill>
              <w14:schemeClr w14:val="tx1"/>
            </w14:solidFill>
          </w14:textFill>
        </w:rPr>
        <w:t>应建立质量监督机制</w:t>
      </w:r>
      <w:r>
        <w:rPr>
          <w:rFonts w:hint="eastAsia" w:ascii="仿宋" w:hAnsi="仿宋" w:cs="仿宋"/>
          <w:color w:val="000000" w:themeColor="text1"/>
          <w:sz w:val="24"/>
          <w:szCs w:val="24"/>
          <w:lang w:bidi="ar"/>
          <w14:textFill>
            <w14:solidFill>
              <w14:schemeClr w14:val="tx1"/>
            </w14:solidFill>
          </w14:textFill>
        </w:rPr>
        <w:t>，加强对施工过程质量检查与验收，确保施工质量符合设计要求和相关标准</w:t>
      </w:r>
      <w:bookmarkEnd w:id="47"/>
      <w:r>
        <w:rPr>
          <w:rFonts w:hint="eastAsia" w:ascii="仿宋" w:hAnsi="仿宋" w:cs="仿宋"/>
          <w:color w:val="000000" w:themeColor="text1"/>
          <w:sz w:val="24"/>
          <w:szCs w:val="24"/>
          <w:lang w:bidi="ar"/>
          <w14:textFill>
            <w14:solidFill>
              <w14:schemeClr w14:val="tx1"/>
            </w14:solidFill>
          </w14:textFill>
        </w:rPr>
        <w:t>。</w:t>
      </w:r>
    </w:p>
    <w:p w14:paraId="7BF2EC9B">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6.1.9施工质量应符合国家现行强制性工程建设规范、工程勘察设计文件要求和合同约定，并应符合现行国家标准《建筑工程施工质量验收统一标准》GB50300的相关规定。</w:t>
      </w:r>
    </w:p>
    <w:p w14:paraId="22F6808C">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6.1.10竣工验收应在室内装饰装修工程全部完成，各种设施设备安装到位，水、电、暖、智能等设备运转正常，室内空气质量检测符合国家标准后进行。</w:t>
      </w:r>
    </w:p>
    <w:p w14:paraId="4A63C4CF">
      <w:pPr>
        <w:snapToGrid w:val="0"/>
        <w:spacing w:line="360" w:lineRule="auto"/>
        <w:ind w:firstLine="0" w:firstLineChars="0"/>
        <w:rPr>
          <w:rFonts w:hint="eastAsia"/>
          <w:i/>
          <w:iCs/>
          <w:color w:val="000000" w:themeColor="text1"/>
          <w:sz w:val="24"/>
          <w:lang w:val="en-US" w:eastAsia="zh-CN"/>
          <w14:textFill>
            <w14:solidFill>
              <w14:schemeClr w14:val="tx1"/>
            </w14:solidFill>
          </w14:textFill>
        </w:rPr>
      </w:pPr>
    </w:p>
    <w:p w14:paraId="0E6E6AB5">
      <w:pPr>
        <w:pStyle w:val="3"/>
        <w:ind w:left="0" w:leftChars="0" w:firstLine="0" w:firstLineChars="0"/>
        <w:jc w:val="center"/>
        <w:rPr>
          <w:color w:val="000000" w:themeColor="text1"/>
          <w:sz w:val="24"/>
          <w:szCs w:val="24"/>
          <w14:textFill>
            <w14:solidFill>
              <w14:schemeClr w14:val="tx1"/>
            </w14:solidFill>
          </w14:textFill>
        </w:rPr>
      </w:pPr>
      <w:bookmarkStart w:id="48" w:name="_Toc16655"/>
      <w:r>
        <w:rPr>
          <w:color w:val="000000" w:themeColor="text1"/>
          <w:sz w:val="24"/>
          <w:szCs w:val="24"/>
          <w14:textFill>
            <w14:solidFill>
              <w14:schemeClr w14:val="tx1"/>
            </w14:solidFill>
          </w14:textFill>
        </w:rPr>
        <w:t>6.2材料与设备</w:t>
      </w:r>
      <w:bookmarkEnd w:id="48"/>
    </w:p>
    <w:p w14:paraId="18F898D3">
      <w:pPr>
        <w:adjustRightInd w:val="0"/>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w:t>
      </w:r>
      <w:r>
        <w:rPr>
          <w:rFonts w:hint="eastAsia" w:ascii="仿宋" w:hAnsi="仿宋" w:cs="仿宋"/>
          <w:color w:val="000000" w:themeColor="text1"/>
          <w:sz w:val="24"/>
          <w:szCs w:val="24"/>
          <w:lang w:bidi="ar"/>
          <w14:textFill>
            <w14:solidFill>
              <w14:schemeClr w14:val="tx1"/>
            </w14:solidFill>
          </w14:textFill>
        </w:rPr>
        <w:t>2</w:t>
      </w:r>
      <w:r>
        <w:rPr>
          <w:rFonts w:ascii="仿宋" w:hAnsi="仿宋" w:cs="仿宋"/>
          <w:color w:val="000000" w:themeColor="text1"/>
          <w:sz w:val="24"/>
          <w:szCs w:val="24"/>
          <w:lang w:bidi="ar"/>
          <w14:textFill>
            <w14:solidFill>
              <w14:schemeClr w14:val="tx1"/>
            </w14:solidFill>
          </w14:textFill>
        </w:rPr>
        <w:t>.1</w:t>
      </w:r>
      <w:bookmarkStart w:id="49" w:name="OLE_LINK36"/>
      <w:r>
        <w:rPr>
          <w:rFonts w:hint="eastAsia" w:ascii="仿宋" w:hAnsi="仿宋" w:cs="仿宋"/>
          <w:color w:val="000000" w:themeColor="text1"/>
          <w:sz w:val="24"/>
          <w:szCs w:val="24"/>
          <w:lang w:bidi="ar"/>
          <w14:textFill>
            <w14:solidFill>
              <w14:schemeClr w14:val="tx1"/>
            </w14:solidFill>
          </w14:textFill>
        </w:rPr>
        <w:t>建筑材料和制品的燃烧性能应符合现行国家标准《建筑防火通用规范》GB55037、《建筑设计防火规范》GB50016和《建筑内部装修设计防火规范》GB50222等有关规定</w:t>
      </w:r>
      <w:bookmarkEnd w:id="49"/>
      <w:r>
        <w:rPr>
          <w:rFonts w:hint="eastAsia" w:ascii="仿宋" w:hAnsi="仿宋" w:cs="仿宋"/>
          <w:color w:val="000000" w:themeColor="text1"/>
          <w:sz w:val="24"/>
          <w:szCs w:val="24"/>
          <w:lang w:bidi="ar"/>
          <w14:textFill>
            <w14:solidFill>
              <w14:schemeClr w14:val="tx1"/>
            </w14:solidFill>
          </w14:textFill>
        </w:rPr>
        <w:t>。</w:t>
      </w:r>
    </w:p>
    <w:p w14:paraId="28FC8012">
      <w:pPr>
        <w:adjustRightInd w:val="0"/>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6.2.</w:t>
      </w:r>
      <w:r>
        <w:rPr>
          <w:rFonts w:hint="eastAsia" w:ascii="仿宋" w:hAnsi="仿宋" w:cs="仿宋"/>
          <w:color w:val="000000" w:themeColor="text1"/>
          <w:sz w:val="24"/>
          <w:szCs w:val="24"/>
          <w:lang w:bidi="ar"/>
          <w14:textFill>
            <w14:solidFill>
              <w14:schemeClr w14:val="tx1"/>
            </w14:solidFill>
          </w14:textFill>
        </w:rPr>
        <w:t>2</w:t>
      </w:r>
      <w:bookmarkStart w:id="50" w:name="OLE_LINK44"/>
      <w:r>
        <w:rPr>
          <w:rFonts w:hint="eastAsia" w:ascii="仿宋" w:hAnsi="仿宋" w:cs="仿宋"/>
          <w:color w:val="000000" w:themeColor="text1"/>
          <w:sz w:val="24"/>
          <w:szCs w:val="24"/>
          <w:lang w:bidi="ar"/>
          <w14:textFill>
            <w14:solidFill>
              <w14:schemeClr w14:val="tx1"/>
            </w14:solidFill>
          </w14:textFill>
        </w:rPr>
        <w:t>模板工程应</w:t>
      </w:r>
      <w:r>
        <w:rPr>
          <w:rFonts w:ascii="仿宋" w:hAnsi="仿宋" w:cs="仿宋"/>
          <w:color w:val="000000" w:themeColor="text1"/>
          <w:sz w:val="24"/>
          <w:szCs w:val="24"/>
          <w:lang w:bidi="ar"/>
          <w14:textFill>
            <w14:solidFill>
              <w14:schemeClr w14:val="tx1"/>
            </w14:solidFill>
          </w14:textFill>
        </w:rPr>
        <w:t>选用</w:t>
      </w:r>
      <w:r>
        <w:rPr>
          <w:rFonts w:hint="eastAsia" w:ascii="仿宋" w:hAnsi="仿宋" w:cs="仿宋"/>
          <w:color w:val="000000" w:themeColor="text1"/>
          <w:sz w:val="24"/>
          <w:szCs w:val="24"/>
          <w:lang w:bidi="ar"/>
          <w14:textFill>
            <w14:solidFill>
              <w14:schemeClr w14:val="tx1"/>
            </w14:solidFill>
          </w14:textFill>
        </w:rPr>
        <w:t>周转率高的模板和受力体系稳定的支撑体系；宜选用组合铝合金模板、组合式带肋塑料模板、钢木结合模板，结构支撑架宜优先选择盘扣式架体、销键型架体等</w:t>
      </w:r>
      <w:r>
        <w:rPr>
          <w:rFonts w:ascii="仿宋" w:hAnsi="仿宋" w:cs="仿宋"/>
          <w:color w:val="000000" w:themeColor="text1"/>
          <w:sz w:val="24"/>
          <w:szCs w:val="24"/>
          <w:lang w:bidi="ar"/>
          <w14:textFill>
            <w14:solidFill>
              <w14:schemeClr w14:val="tx1"/>
            </w14:solidFill>
          </w14:textFill>
        </w:rPr>
        <w:t>高周转性</w:t>
      </w:r>
      <w:r>
        <w:rPr>
          <w:rFonts w:hint="eastAsia" w:ascii="仿宋" w:hAnsi="仿宋" w:cs="仿宋"/>
          <w:color w:val="000000" w:themeColor="text1"/>
          <w:sz w:val="24"/>
          <w:szCs w:val="24"/>
          <w:lang w:bidi="ar"/>
          <w14:textFill>
            <w14:solidFill>
              <w14:schemeClr w14:val="tx1"/>
            </w14:solidFill>
          </w14:textFill>
        </w:rPr>
        <w:t>架体材料</w:t>
      </w:r>
      <w:bookmarkEnd w:id="50"/>
      <w:r>
        <w:rPr>
          <w:rFonts w:hint="eastAsia" w:ascii="仿宋" w:hAnsi="仿宋" w:cs="仿宋"/>
          <w:color w:val="000000" w:themeColor="text1"/>
          <w:sz w:val="24"/>
          <w:szCs w:val="24"/>
          <w:lang w:bidi="ar"/>
          <w14:textFill>
            <w14:solidFill>
              <w14:schemeClr w14:val="tx1"/>
            </w14:solidFill>
          </w14:textFill>
        </w:rPr>
        <w:t>。</w:t>
      </w:r>
    </w:p>
    <w:p w14:paraId="1F6B3116">
      <w:pPr>
        <w:adjustRightInd w:val="0"/>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6.2.</w:t>
      </w:r>
      <w:r>
        <w:rPr>
          <w:rFonts w:hint="eastAsia" w:ascii="仿宋" w:hAnsi="仿宋" w:cs="仿宋"/>
          <w:color w:val="000000" w:themeColor="text1"/>
          <w:sz w:val="24"/>
          <w:szCs w:val="24"/>
          <w:lang w:bidi="ar"/>
          <w14:textFill>
            <w14:solidFill>
              <w14:schemeClr w14:val="tx1"/>
            </w14:solidFill>
          </w14:textFill>
        </w:rPr>
        <w:t>3</w:t>
      </w:r>
      <w:bookmarkStart w:id="51" w:name="OLE_LINK57"/>
      <w:r>
        <w:rPr>
          <w:rFonts w:hint="eastAsia" w:ascii="仿宋" w:hAnsi="仿宋" w:cs="仿宋"/>
          <w:color w:val="000000" w:themeColor="text1"/>
          <w:sz w:val="24"/>
          <w:szCs w:val="24"/>
          <w:lang w:bidi="ar"/>
          <w14:textFill>
            <w14:solidFill>
              <w14:schemeClr w14:val="tx1"/>
            </w14:solidFill>
          </w14:textFill>
        </w:rPr>
        <w:t>外围护脚手架工程宜使用集成附着式升降脚手架、支撑架，宜</w:t>
      </w:r>
      <w:r>
        <w:rPr>
          <w:rFonts w:ascii="仿宋" w:hAnsi="仿宋" w:cs="仿宋"/>
          <w:color w:val="000000" w:themeColor="text1"/>
          <w:sz w:val="24"/>
          <w:szCs w:val="24"/>
          <w:lang w:bidi="ar"/>
          <w14:textFill>
            <w14:solidFill>
              <w14:schemeClr w14:val="tx1"/>
            </w14:solidFill>
          </w14:textFill>
        </w:rPr>
        <w:t>选用</w:t>
      </w:r>
      <w:r>
        <w:rPr>
          <w:rFonts w:hint="eastAsia" w:ascii="仿宋" w:hAnsi="仿宋" w:cs="仿宋"/>
          <w:color w:val="000000" w:themeColor="text1"/>
          <w:sz w:val="24"/>
          <w:szCs w:val="24"/>
          <w:lang w:bidi="ar"/>
          <w14:textFill>
            <w14:solidFill>
              <w14:schemeClr w14:val="tx1"/>
            </w14:solidFill>
          </w14:textFill>
        </w:rPr>
        <w:t>管件合一的脚手架</w:t>
      </w:r>
      <w:bookmarkEnd w:id="51"/>
      <w:r>
        <w:rPr>
          <w:rFonts w:hint="eastAsia" w:ascii="仿宋" w:hAnsi="仿宋" w:cs="仿宋"/>
          <w:color w:val="000000" w:themeColor="text1"/>
          <w:sz w:val="24"/>
          <w:szCs w:val="24"/>
          <w:lang w:bidi="ar"/>
          <w14:textFill>
            <w14:solidFill>
              <w14:schemeClr w14:val="tx1"/>
            </w14:solidFill>
          </w14:textFill>
        </w:rPr>
        <w:t>。</w:t>
      </w:r>
    </w:p>
    <w:p w14:paraId="3AAB1575">
      <w:pPr>
        <w:adjustRightInd w:val="0"/>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6.2.</w:t>
      </w:r>
      <w:r>
        <w:rPr>
          <w:rFonts w:hint="eastAsia" w:ascii="仿宋" w:hAnsi="仿宋" w:cs="仿宋"/>
          <w:color w:val="000000" w:themeColor="text1"/>
          <w:sz w:val="24"/>
          <w:szCs w:val="24"/>
          <w:lang w:bidi="ar"/>
          <w14:textFill>
            <w14:solidFill>
              <w14:schemeClr w14:val="tx1"/>
            </w14:solidFill>
          </w14:textFill>
        </w:rPr>
        <w:t>4</w:t>
      </w:r>
      <w:bookmarkStart w:id="52" w:name="OLE_LINK58"/>
      <w:r>
        <w:rPr>
          <w:rFonts w:ascii="仿宋" w:hAnsi="仿宋" w:cs="仿宋"/>
          <w:color w:val="000000" w:themeColor="text1"/>
          <w:sz w:val="24"/>
          <w:szCs w:val="24"/>
          <w:lang w:bidi="ar"/>
          <w14:textFill>
            <w14:solidFill>
              <w14:schemeClr w14:val="tx1"/>
            </w14:solidFill>
          </w14:textFill>
        </w:rPr>
        <w:t>施工现场应使用清洁能源和节能型设备</w:t>
      </w:r>
      <w:r>
        <w:rPr>
          <w:rFonts w:hint="eastAsia" w:ascii="仿宋" w:hAnsi="仿宋" w:cs="仿宋"/>
          <w:color w:val="000000" w:themeColor="text1"/>
          <w:sz w:val="24"/>
          <w:szCs w:val="24"/>
          <w:lang w:bidi="ar"/>
          <w14:textFill>
            <w14:solidFill>
              <w14:schemeClr w14:val="tx1"/>
            </w14:solidFill>
          </w14:textFill>
        </w:rPr>
        <w:t>，</w:t>
      </w:r>
      <w:r>
        <w:rPr>
          <w:rFonts w:ascii="仿宋" w:hAnsi="仿宋" w:cs="仿宋"/>
          <w:color w:val="000000" w:themeColor="text1"/>
          <w:sz w:val="24"/>
          <w:szCs w:val="24"/>
          <w:lang w:bidi="ar"/>
          <w14:textFill>
            <w14:solidFill>
              <w14:schemeClr w14:val="tx1"/>
            </w14:solidFill>
          </w14:textFill>
        </w:rPr>
        <w:t>对重点能耗设备实施耗能监控</w:t>
      </w:r>
      <w:r>
        <w:rPr>
          <w:rFonts w:hint="eastAsia" w:ascii="仿宋" w:hAnsi="仿宋" w:cs="仿宋"/>
          <w:color w:val="000000" w:themeColor="text1"/>
          <w:sz w:val="24"/>
          <w:szCs w:val="24"/>
          <w:lang w:bidi="ar"/>
          <w14:textFill>
            <w14:solidFill>
              <w14:schemeClr w14:val="tx1"/>
            </w14:solidFill>
          </w14:textFill>
        </w:rPr>
        <w:t>，对多台同类设备实施群控管理</w:t>
      </w:r>
      <w:bookmarkEnd w:id="52"/>
      <w:r>
        <w:rPr>
          <w:rFonts w:hint="eastAsia" w:ascii="仿宋" w:hAnsi="仿宋" w:cs="仿宋"/>
          <w:color w:val="000000" w:themeColor="text1"/>
          <w:sz w:val="24"/>
          <w:szCs w:val="24"/>
          <w:lang w:bidi="ar"/>
          <w14:textFill>
            <w14:solidFill>
              <w14:schemeClr w14:val="tx1"/>
            </w14:solidFill>
          </w14:textFill>
        </w:rPr>
        <w:t>。</w:t>
      </w:r>
    </w:p>
    <w:p w14:paraId="6C5E12EA">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6.2.</w:t>
      </w:r>
      <w:r>
        <w:rPr>
          <w:rFonts w:hint="eastAsia" w:ascii="仿宋" w:hAnsi="仿宋" w:cs="仿宋"/>
          <w:color w:val="000000" w:themeColor="text1"/>
          <w:sz w:val="24"/>
          <w:szCs w:val="24"/>
          <w:lang w:bidi="ar"/>
          <w14:textFill>
            <w14:solidFill>
              <w14:schemeClr w14:val="tx1"/>
            </w14:solidFill>
          </w14:textFill>
        </w:rPr>
        <w:t>5</w:t>
      </w:r>
      <w:bookmarkStart w:id="53" w:name="OLE_LINK59"/>
      <w:r>
        <w:rPr>
          <w:rFonts w:hint="eastAsia" w:ascii="仿宋" w:hAnsi="仿宋" w:cs="仿宋"/>
          <w:color w:val="000000" w:themeColor="text1"/>
          <w:sz w:val="24"/>
          <w:szCs w:val="24"/>
          <w:lang w:bidi="ar"/>
          <w14:textFill>
            <w14:solidFill>
              <w14:schemeClr w14:val="tx1"/>
            </w14:solidFill>
          </w14:textFill>
        </w:rPr>
        <w:t>预拌混凝土配合比设计</w:t>
      </w:r>
      <w:r>
        <w:rPr>
          <w:rFonts w:ascii="仿宋" w:hAnsi="仿宋" w:cs="仿宋"/>
          <w:color w:val="000000" w:themeColor="text1"/>
          <w:sz w:val="24"/>
          <w:szCs w:val="24"/>
          <w:lang w:bidi="ar"/>
          <w14:textFill>
            <w14:solidFill>
              <w14:schemeClr w14:val="tx1"/>
            </w14:solidFill>
          </w14:textFill>
        </w:rPr>
        <w:t>应满足高性能、绿色化、高耐久性、高抗裂性等要求</w:t>
      </w:r>
      <w:bookmarkEnd w:id="53"/>
      <w:r>
        <w:rPr>
          <w:rFonts w:hint="eastAsia" w:ascii="仿宋" w:hAnsi="仿宋" w:cs="仿宋"/>
          <w:color w:val="000000" w:themeColor="text1"/>
          <w:sz w:val="24"/>
          <w:szCs w:val="24"/>
          <w:lang w:bidi="ar"/>
          <w14:textFill>
            <w14:solidFill>
              <w14:schemeClr w14:val="tx1"/>
            </w14:solidFill>
          </w14:textFill>
        </w:rPr>
        <w:t>。</w:t>
      </w:r>
    </w:p>
    <w:p w14:paraId="502C788F">
      <w:pPr>
        <w:adjustRightInd w:val="0"/>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6.2.6</w:t>
      </w:r>
      <w:bookmarkStart w:id="54" w:name="OLE_LINK61"/>
      <w:r>
        <w:rPr>
          <w:rFonts w:hint="eastAsia" w:ascii="仿宋" w:hAnsi="仿宋" w:cs="仿宋"/>
          <w:color w:val="000000" w:themeColor="text1"/>
          <w:sz w:val="24"/>
          <w:szCs w:val="24"/>
          <w:lang w:bidi="ar"/>
          <w14:textFill>
            <w14:solidFill>
              <w14:schemeClr w14:val="tx1"/>
            </w14:solidFill>
          </w14:textFill>
        </w:rPr>
        <w:t>钢结构构件宜采用施工现场免焊接技术，应符合钢结构工程的耐久性要求，采用耐候钢及耐候性防腐涂料</w:t>
      </w:r>
      <w:bookmarkEnd w:id="54"/>
      <w:r>
        <w:rPr>
          <w:rFonts w:hint="eastAsia" w:ascii="仿宋" w:hAnsi="仿宋" w:cs="仿宋"/>
          <w:color w:val="000000" w:themeColor="text1"/>
          <w:sz w:val="24"/>
          <w:szCs w:val="24"/>
          <w:lang w:bidi="ar"/>
          <w14:textFill>
            <w14:solidFill>
              <w14:schemeClr w14:val="tx1"/>
            </w14:solidFill>
          </w14:textFill>
        </w:rPr>
        <w:t>。</w:t>
      </w:r>
    </w:p>
    <w:p w14:paraId="454F4CC9">
      <w:pPr>
        <w:adjustRightInd w:val="0"/>
        <w:snapToGrid w:val="0"/>
        <w:spacing w:line="360" w:lineRule="auto"/>
        <w:ind w:firstLine="0" w:firstLineChars="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6.2.</w:t>
      </w:r>
      <w:bookmarkStart w:id="55" w:name="OLE_LINK65"/>
      <w:r>
        <w:rPr>
          <w:rFonts w:hint="eastAsia" w:ascii="仿宋" w:hAnsi="仿宋" w:cs="仿宋"/>
          <w:color w:val="000000" w:themeColor="text1"/>
          <w:sz w:val="24"/>
          <w:szCs w:val="24"/>
          <w14:textFill>
            <w14:solidFill>
              <w14:schemeClr w14:val="tx1"/>
            </w14:solidFill>
          </w14:textFill>
        </w:rPr>
        <w:t>7开合频繁的公共区域门窗应采用可调力度的闭门器或具有缓冲功能的延时闭门器</w:t>
      </w:r>
      <w:bookmarkEnd w:id="55"/>
      <w:r>
        <w:rPr>
          <w:rFonts w:hint="eastAsia" w:ascii="仿宋" w:hAnsi="仿宋" w:cs="仿宋"/>
          <w:color w:val="000000" w:themeColor="text1"/>
          <w:sz w:val="24"/>
          <w:szCs w:val="24"/>
          <w14:textFill>
            <w14:solidFill>
              <w14:schemeClr w14:val="tx1"/>
            </w14:solidFill>
          </w14:textFill>
        </w:rPr>
        <w:t>。</w:t>
      </w:r>
    </w:p>
    <w:p w14:paraId="7015FB14">
      <w:pPr>
        <w:adjustRightInd w:val="0"/>
        <w:snapToGrid w:val="0"/>
        <w:spacing w:line="360" w:lineRule="auto"/>
        <w:ind w:firstLine="0" w:firstLineChars="0"/>
        <w:rPr>
          <w:rFonts w:ascii="仿宋" w:hAnsi="仿宋" w:cs="仿宋"/>
          <w:color w:val="000000" w:themeColor="text1"/>
          <w:sz w:val="24"/>
          <w:szCs w:val="24"/>
          <w14:textFill>
            <w14:solidFill>
              <w14:schemeClr w14:val="tx1"/>
            </w14:solidFill>
          </w14:textFill>
        </w:rPr>
      </w:pPr>
      <w:r>
        <w:rPr>
          <w:rFonts w:ascii="仿宋" w:hAnsi="仿宋" w:cs="仿宋"/>
          <w:color w:val="000000" w:themeColor="text1"/>
          <w:sz w:val="24"/>
          <w:szCs w:val="24"/>
          <w14:textFill>
            <w14:solidFill>
              <w14:schemeClr w14:val="tx1"/>
            </w14:solidFill>
          </w14:textFill>
        </w:rPr>
        <w:t>6.2.</w:t>
      </w:r>
      <w:bookmarkStart w:id="56" w:name="OLE_LINK66"/>
      <w:r>
        <w:rPr>
          <w:rFonts w:hint="eastAsia" w:ascii="仿宋" w:hAnsi="仿宋" w:cs="仿宋"/>
          <w:color w:val="000000" w:themeColor="text1"/>
          <w:sz w:val="24"/>
          <w:szCs w:val="24"/>
          <w14:textFill>
            <w14:solidFill>
              <w14:schemeClr w14:val="tx1"/>
            </w14:solidFill>
          </w14:textFill>
        </w:rPr>
        <w:t>8外墙涂料耐人工气候老化性能</w:t>
      </w:r>
      <w:r>
        <w:rPr>
          <w:rFonts w:hint="eastAsia" w:ascii="仿宋" w:hAnsi="仿宋" w:cs="仿宋"/>
          <w:color w:val="000000" w:themeColor="text1"/>
          <w:sz w:val="24"/>
          <w:szCs w:val="24"/>
          <w14:textFill>
            <w14:solidFill>
              <w14:schemeClr w14:val="tx1"/>
            </w14:solidFill>
          </w14:textFill>
        </w:rPr>
        <w:t>不应低于现行行业标准《建筑外墙涂料通用技术要求》JG/T512规定的Ⅲ级；内墙涂料应符合现行国家标准《合成树脂乳液内墙涂料》GB/T9756的有关规定，且耐洗刷性不应少于6000次</w:t>
      </w:r>
      <w:bookmarkEnd w:id="56"/>
      <w:r>
        <w:rPr>
          <w:rFonts w:hint="eastAsia" w:ascii="仿宋" w:hAnsi="仿宋" w:cs="仿宋"/>
          <w:color w:val="000000" w:themeColor="text1"/>
          <w:sz w:val="24"/>
          <w:szCs w:val="24"/>
          <w14:textFill>
            <w14:solidFill>
              <w14:schemeClr w14:val="tx1"/>
            </w14:solidFill>
          </w14:textFill>
        </w:rPr>
        <w:t>。</w:t>
      </w:r>
    </w:p>
    <w:p w14:paraId="373DF2A6">
      <w:pPr>
        <w:adjustRightInd w:val="0"/>
        <w:snapToGrid w:val="0"/>
        <w:spacing w:line="360" w:lineRule="auto"/>
        <w:ind w:firstLine="0" w:firstLineChars="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6.2.</w:t>
      </w:r>
      <w:bookmarkStart w:id="57" w:name="OLE_LINK67"/>
      <w:r>
        <w:rPr>
          <w:rFonts w:hint="eastAsia" w:ascii="仿宋" w:hAnsi="仿宋" w:cs="仿宋"/>
          <w:color w:val="000000" w:themeColor="text1"/>
          <w:sz w:val="24"/>
          <w:szCs w:val="24"/>
          <w14:textFill>
            <w14:solidFill>
              <w14:schemeClr w14:val="tx1"/>
            </w14:solidFill>
          </w14:textFill>
        </w:rPr>
        <w:t>9地砖耐磨性应符合现行国家标准《陶瓷砖》GB/T4100的有关规定，耐磨等级不应低于4级，放射性等级应为A类</w:t>
      </w:r>
      <w:bookmarkEnd w:id="57"/>
      <w:r>
        <w:rPr>
          <w:rFonts w:hint="eastAsia" w:ascii="仿宋" w:hAnsi="仿宋" w:cs="仿宋"/>
          <w:color w:val="000000" w:themeColor="text1"/>
          <w:sz w:val="24"/>
          <w:szCs w:val="24"/>
          <w14:textFill>
            <w14:solidFill>
              <w14:schemeClr w14:val="tx1"/>
            </w14:solidFill>
          </w14:textFill>
        </w:rPr>
        <w:t>。</w:t>
      </w:r>
    </w:p>
    <w:p w14:paraId="05CAC60C">
      <w:pPr>
        <w:adjustRightInd w:val="0"/>
        <w:snapToGrid w:val="0"/>
        <w:spacing w:line="360" w:lineRule="auto"/>
        <w:ind w:firstLine="0" w:firstLineChars="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6.2.1</w:t>
      </w:r>
      <w:bookmarkStart w:id="58" w:name="OLE_LINK68"/>
      <w:r>
        <w:rPr>
          <w:rFonts w:hint="eastAsia" w:ascii="仿宋" w:hAnsi="仿宋" w:cs="仿宋"/>
          <w:color w:val="000000" w:themeColor="text1"/>
          <w:sz w:val="24"/>
          <w:szCs w:val="24"/>
          <w14:textFill>
            <w14:solidFill>
              <w14:schemeClr w14:val="tx1"/>
            </w14:solidFill>
          </w14:textFill>
        </w:rPr>
        <w:t>0</w:t>
      </w:r>
      <w:bookmarkEnd w:id="58"/>
      <w:r>
        <w:rPr>
          <w:rFonts w:ascii="仿宋" w:hAnsi="仿宋" w:cs="仿宋"/>
          <w:color w:val="000000" w:themeColor="text1"/>
          <w:sz w:val="24"/>
          <w:szCs w:val="24"/>
          <w14:textFill>
            <w14:solidFill>
              <w14:schemeClr w14:val="tx1"/>
            </w14:solidFill>
          </w14:textFill>
        </w:rPr>
        <w:t>电气设备及材料</w:t>
      </w:r>
      <w:r>
        <w:rPr>
          <w:rFonts w:hint="eastAsia" w:ascii="仿宋" w:hAnsi="仿宋" w:cs="仿宋"/>
          <w:color w:val="000000" w:themeColor="text1"/>
          <w:sz w:val="24"/>
          <w:szCs w:val="24"/>
          <w14:textFill>
            <w14:solidFill>
              <w14:schemeClr w14:val="tx1"/>
            </w14:solidFill>
          </w14:textFill>
        </w:rPr>
        <w:t>应符合下列</w:t>
      </w:r>
      <w:r>
        <w:rPr>
          <w:rFonts w:ascii="仿宋" w:hAnsi="仿宋" w:cs="仿宋"/>
          <w:color w:val="000000" w:themeColor="text1"/>
          <w:sz w:val="24"/>
          <w:szCs w:val="24"/>
          <w14:textFill>
            <w14:solidFill>
              <w14:schemeClr w14:val="tx1"/>
            </w14:solidFill>
          </w14:textFill>
        </w:rPr>
        <w:t>规定</w:t>
      </w:r>
      <w:r>
        <w:rPr>
          <w:rFonts w:hint="eastAsia" w:ascii="仿宋" w:hAnsi="仿宋" w:cs="仿宋"/>
          <w:color w:val="000000" w:themeColor="text1"/>
          <w:sz w:val="24"/>
          <w:szCs w:val="24"/>
          <w14:textFill>
            <w14:solidFill>
              <w14:schemeClr w14:val="tx1"/>
            </w14:solidFill>
          </w14:textFill>
        </w:rPr>
        <w:t>：</w:t>
      </w:r>
    </w:p>
    <w:p w14:paraId="602DA2DA">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w:t>
      </w:r>
      <w:r>
        <w:rPr>
          <w:rFonts w:ascii="仿宋" w:hAnsi="仿宋" w:cs="仿宋"/>
          <w:color w:val="000000" w:themeColor="text1"/>
          <w:sz w:val="24"/>
          <w:szCs w:val="24"/>
          <w14:textFill>
            <w14:solidFill>
              <w14:schemeClr w14:val="tx1"/>
            </w14:solidFill>
          </w14:textFill>
        </w:rPr>
        <w:t>配电箱（柜）</w:t>
      </w:r>
      <w:r>
        <w:rPr>
          <w:rFonts w:hint="eastAsia" w:ascii="仿宋" w:hAnsi="仿宋" w:cs="仿宋"/>
          <w:color w:val="000000" w:themeColor="text1"/>
          <w:sz w:val="24"/>
          <w:szCs w:val="24"/>
          <w14:textFill>
            <w14:solidFill>
              <w14:schemeClr w14:val="tx1"/>
            </w14:solidFill>
          </w14:textFill>
        </w:rPr>
        <w:t>应</w:t>
      </w:r>
      <w:r>
        <w:rPr>
          <w:rFonts w:ascii="仿宋" w:hAnsi="仿宋" w:cs="仿宋"/>
          <w:color w:val="000000" w:themeColor="text1"/>
          <w:sz w:val="24"/>
          <w:szCs w:val="24"/>
          <w14:textFill>
            <w14:solidFill>
              <w14:schemeClr w14:val="tx1"/>
            </w14:solidFill>
          </w14:textFill>
        </w:rPr>
        <w:t>符合</w:t>
      </w:r>
      <w:r>
        <w:rPr>
          <w:rFonts w:hint="eastAsia" w:ascii="仿宋" w:hAnsi="仿宋" w:cs="仿宋"/>
          <w:color w:val="000000" w:themeColor="text1"/>
          <w:sz w:val="24"/>
          <w:szCs w:val="24"/>
          <w14:textFill>
            <w14:solidFill>
              <w14:schemeClr w14:val="tx1"/>
            </w14:solidFill>
          </w14:textFill>
        </w:rPr>
        <w:t>现行</w:t>
      </w:r>
      <w:r>
        <w:rPr>
          <w:rFonts w:ascii="仿宋" w:hAnsi="仿宋" w:cs="仿宋"/>
          <w:color w:val="000000" w:themeColor="text1"/>
          <w:sz w:val="24"/>
          <w:szCs w:val="24"/>
          <w14:textFill>
            <w14:solidFill>
              <w14:schemeClr w14:val="tx1"/>
            </w14:solidFill>
          </w14:textFill>
        </w:rPr>
        <w:t>国家标准《低压成套开关设备和控制设备第3部分：由一般人员操作的配电板</w:t>
      </w:r>
      <w:r>
        <w:rPr>
          <w:rFonts w:hint="eastAsia" w:ascii="仿宋" w:hAnsi="仿宋" w:cs="仿宋"/>
          <w:color w:val="000000" w:themeColor="text1"/>
          <w:sz w:val="24"/>
          <w:szCs w:val="24"/>
          <w:lang w:eastAsia="zh-CN"/>
          <w14:textFill>
            <w14:solidFill>
              <w14:schemeClr w14:val="tx1"/>
            </w14:solidFill>
          </w14:textFill>
        </w:rPr>
        <w:t>（</w:t>
      </w:r>
      <w:r>
        <w:rPr>
          <w:rFonts w:ascii="仿宋" w:hAnsi="仿宋" w:cs="仿宋"/>
          <w:color w:val="000000" w:themeColor="text1"/>
          <w:sz w:val="24"/>
          <w:szCs w:val="24"/>
          <w14:textFill>
            <w14:solidFill>
              <w14:schemeClr w14:val="tx1"/>
            </w14:solidFill>
          </w14:textFill>
        </w:rPr>
        <w:t>DBO</w:t>
      </w:r>
      <w:r>
        <w:rPr>
          <w:rFonts w:hint="eastAsia" w:ascii="仿宋" w:hAnsi="仿宋" w:cs="仿宋"/>
          <w:color w:val="000000" w:themeColor="text1"/>
          <w:sz w:val="24"/>
          <w:szCs w:val="24"/>
          <w:lang w:eastAsia="zh-CN"/>
          <w14:textFill>
            <w14:solidFill>
              <w14:schemeClr w14:val="tx1"/>
            </w14:solidFill>
          </w14:textFill>
        </w:rPr>
        <w:t>）</w:t>
      </w:r>
      <w:r>
        <w:rPr>
          <w:rFonts w:ascii="仿宋" w:hAnsi="仿宋" w:cs="仿宋"/>
          <w:color w:val="000000" w:themeColor="text1"/>
          <w:sz w:val="24"/>
          <w:szCs w:val="24"/>
          <w14:textFill>
            <w14:solidFill>
              <w14:schemeClr w14:val="tx1"/>
            </w14:solidFill>
          </w14:textFill>
        </w:rPr>
        <w:t>》GB7251.3的要求</w:t>
      </w:r>
      <w:r>
        <w:rPr>
          <w:rFonts w:hint="eastAsia" w:ascii="仿宋" w:hAnsi="仿宋" w:cs="仿宋"/>
          <w:color w:val="000000" w:themeColor="text1"/>
          <w:sz w:val="24"/>
          <w:szCs w:val="24"/>
          <w14:textFill>
            <w14:solidFill>
              <w14:schemeClr w14:val="tx1"/>
            </w14:solidFill>
          </w14:textFill>
        </w:rPr>
        <w:t>）</w:t>
      </w:r>
      <w:r>
        <w:rPr>
          <w:rFonts w:ascii="仿宋" w:hAnsi="仿宋" w:cs="仿宋"/>
          <w:color w:val="000000" w:themeColor="text1"/>
          <w:sz w:val="24"/>
          <w:szCs w:val="24"/>
          <w14:textFill>
            <w14:solidFill>
              <w14:schemeClr w14:val="tx1"/>
            </w14:solidFill>
          </w14:textFill>
        </w:rPr>
        <w:t>，箱体材质应为厚度不小于1.2mm</w:t>
      </w:r>
      <w:r>
        <w:rPr>
          <w:rFonts w:hint="eastAsia" w:ascii="仿宋" w:hAnsi="仿宋" w:cs="仿宋"/>
          <w:color w:val="000000" w:themeColor="text1"/>
          <w:sz w:val="24"/>
          <w:szCs w:val="24"/>
          <w14:textFill>
            <w14:solidFill>
              <w14:schemeClr w14:val="tx1"/>
            </w14:solidFill>
          </w14:textFill>
        </w:rPr>
        <w:t>的</w:t>
      </w:r>
      <w:r>
        <w:rPr>
          <w:rFonts w:ascii="仿宋" w:hAnsi="仿宋" w:cs="仿宋"/>
          <w:color w:val="000000" w:themeColor="text1"/>
          <w:sz w:val="24"/>
          <w:szCs w:val="24"/>
          <w14:textFill>
            <w14:solidFill>
              <w14:schemeClr w14:val="tx1"/>
            </w14:solidFill>
          </w14:textFill>
        </w:rPr>
        <w:t>冷轧钢板</w:t>
      </w:r>
      <w:r>
        <w:rPr>
          <w:rFonts w:hint="eastAsia" w:ascii="仿宋" w:hAnsi="仿宋" w:cs="仿宋"/>
          <w:color w:val="000000" w:themeColor="text1"/>
          <w:sz w:val="24"/>
          <w:szCs w:val="24"/>
          <w14:textFill>
            <w14:solidFill>
              <w14:schemeClr w14:val="tx1"/>
            </w14:solidFill>
          </w14:textFill>
        </w:rPr>
        <w:t>；</w:t>
      </w:r>
    </w:p>
    <w:p w14:paraId="51967F43">
      <w:pPr>
        <w:snapToGrid w:val="0"/>
        <w:spacing w:line="360" w:lineRule="auto"/>
        <w:ind w:firstLine="560"/>
        <w:rPr>
          <w:rFonts w:hint="eastAsia"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2电能计量表箱应符合现行</w:t>
      </w:r>
      <w:r>
        <w:rPr>
          <w:rFonts w:hint="eastAsia" w:ascii="仿宋" w:hAnsi="仿宋" w:cs="仿宋"/>
          <w:color w:val="000000" w:themeColor="text1"/>
          <w:sz w:val="24"/>
          <w:szCs w:val="24"/>
          <w:lang w:bidi="ar"/>
          <w14:textFill>
            <w14:solidFill>
              <w14:schemeClr w14:val="tx1"/>
            </w14:solidFill>
          </w14:textFill>
        </w:rPr>
        <w:t>GB/</w:t>
      </w:r>
      <w:r>
        <w:rPr>
          <w:rFonts w:hint="eastAsia" w:ascii="仿宋" w:hAnsi="仿宋" w:cs="仿宋"/>
          <w:color w:val="000000" w:themeColor="text1"/>
          <w:sz w:val="24"/>
          <w:szCs w:val="24"/>
          <w:lang w:eastAsia="zh-CN" w:bidi="ar"/>
          <w14:textFill>
            <w14:solidFill>
              <w14:schemeClr w14:val="tx1"/>
            </w14:solidFill>
          </w14:textFill>
        </w:rPr>
        <w:t>T17215</w:t>
      </w:r>
      <w:r>
        <w:rPr>
          <w:rFonts w:hint="eastAsia" w:ascii="仿宋" w:hAnsi="仿宋" w:cs="仿宋"/>
          <w:color w:val="000000" w:themeColor="text1"/>
          <w:sz w:val="24"/>
          <w:szCs w:val="24"/>
          <w:lang w:bidi="ar"/>
          <w14:textFill>
            <w14:solidFill>
              <w14:schemeClr w14:val="tx1"/>
            </w14:solidFill>
          </w14:textFill>
        </w:rPr>
        <w:t>标准，采用支持远程抄表的智能电表，精度等级不低于1.0级；</w:t>
      </w:r>
    </w:p>
    <w:p w14:paraId="1D789CDA">
      <w:pPr>
        <w:snapToGrid w:val="0"/>
        <w:spacing w:line="360" w:lineRule="auto"/>
        <w:ind w:firstLine="56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3</w:t>
      </w:r>
      <w:r>
        <w:rPr>
          <w:rFonts w:ascii="仿宋" w:hAnsi="仿宋" w:cs="仿宋"/>
          <w:color w:val="000000" w:themeColor="text1"/>
          <w:sz w:val="24"/>
          <w:szCs w:val="24"/>
          <w:lang w:bidi="ar"/>
          <w14:textFill>
            <w14:solidFill>
              <w14:schemeClr w14:val="tx1"/>
            </w14:solidFill>
          </w14:textFill>
        </w:rPr>
        <w:t>电井内明敷桥架</w:t>
      </w:r>
      <w:r>
        <w:rPr>
          <w:rFonts w:hint="eastAsia" w:ascii="仿宋" w:hAnsi="仿宋" w:cs="仿宋"/>
          <w:color w:val="000000" w:themeColor="text1"/>
          <w:sz w:val="24"/>
          <w:szCs w:val="24"/>
          <w:lang w:bidi="ar"/>
          <w14:textFill>
            <w14:solidFill>
              <w14:schemeClr w14:val="tx1"/>
            </w14:solidFill>
          </w14:textFill>
        </w:rPr>
        <w:t>应</w:t>
      </w:r>
      <w:r>
        <w:rPr>
          <w:rFonts w:ascii="仿宋" w:hAnsi="仿宋" w:cs="仿宋"/>
          <w:color w:val="000000" w:themeColor="text1"/>
          <w:sz w:val="24"/>
          <w:szCs w:val="24"/>
          <w:lang w:bidi="ar"/>
          <w14:textFill>
            <w14:solidFill>
              <w14:schemeClr w14:val="tx1"/>
            </w14:solidFill>
          </w14:textFill>
        </w:rPr>
        <w:t>采用表面镀锌或喷塑处理</w:t>
      </w:r>
      <w:r>
        <w:rPr>
          <w:rFonts w:hint="eastAsia" w:ascii="仿宋" w:hAnsi="仿宋" w:cs="仿宋"/>
          <w:color w:val="000000" w:themeColor="text1"/>
          <w:sz w:val="24"/>
          <w:szCs w:val="24"/>
          <w:lang w:bidi="ar"/>
          <w14:textFill>
            <w14:solidFill>
              <w14:schemeClr w14:val="tx1"/>
            </w14:solidFill>
          </w14:textFill>
        </w:rPr>
        <w:t>的</w:t>
      </w:r>
      <w:r>
        <w:rPr>
          <w:rFonts w:ascii="仿宋" w:hAnsi="仿宋" w:cs="仿宋"/>
          <w:color w:val="000000" w:themeColor="text1"/>
          <w:sz w:val="24"/>
          <w:szCs w:val="24"/>
          <w:lang w:bidi="ar"/>
          <w14:textFill>
            <w14:solidFill>
              <w14:schemeClr w14:val="tx1"/>
            </w14:solidFill>
          </w14:textFill>
        </w:rPr>
        <w:t>防火桥架</w:t>
      </w:r>
      <w:r>
        <w:rPr>
          <w:rFonts w:hint="eastAsia" w:ascii="仿宋" w:hAnsi="仿宋" w:cs="仿宋"/>
          <w:color w:val="000000" w:themeColor="text1"/>
          <w:sz w:val="24"/>
          <w:szCs w:val="24"/>
          <w:lang w:bidi="ar"/>
          <w14:textFill>
            <w14:solidFill>
              <w14:schemeClr w14:val="tx1"/>
            </w14:solidFill>
          </w14:textFill>
        </w:rPr>
        <w:t>，</w:t>
      </w:r>
      <w:r>
        <w:rPr>
          <w:rFonts w:ascii="仿宋" w:hAnsi="仿宋" w:cs="仿宋"/>
          <w:color w:val="000000" w:themeColor="text1"/>
          <w:sz w:val="24"/>
          <w:szCs w:val="24"/>
          <w:lang w:bidi="ar"/>
          <w14:textFill>
            <w14:solidFill>
              <w14:schemeClr w14:val="tx1"/>
            </w14:solidFill>
          </w14:textFill>
        </w:rPr>
        <w:t>耐火时间</w:t>
      </w:r>
      <w:r>
        <w:rPr>
          <w:rFonts w:hint="eastAsia" w:ascii="仿宋" w:hAnsi="仿宋" w:cs="仿宋"/>
          <w:color w:val="000000" w:themeColor="text1"/>
          <w:sz w:val="24"/>
          <w:szCs w:val="24"/>
          <w:lang w:bidi="ar"/>
          <w14:textFill>
            <w14:solidFill>
              <w14:schemeClr w14:val="tx1"/>
            </w14:solidFill>
          </w14:textFill>
        </w:rPr>
        <w:t>不低于</w:t>
      </w:r>
      <w:r>
        <w:rPr>
          <w:rFonts w:ascii="仿宋" w:hAnsi="仿宋" w:cs="仿宋"/>
          <w:color w:val="000000" w:themeColor="text1"/>
          <w:sz w:val="24"/>
          <w:szCs w:val="24"/>
          <w:lang w:bidi="ar"/>
          <w14:textFill>
            <w14:solidFill>
              <w14:schemeClr w14:val="tx1"/>
            </w14:solidFill>
          </w14:textFill>
        </w:rPr>
        <w:t>30分钟</w:t>
      </w:r>
      <w:r>
        <w:rPr>
          <w:rFonts w:hint="eastAsia" w:ascii="仿宋" w:hAnsi="仿宋" w:cs="仿宋"/>
          <w:color w:val="000000" w:themeColor="text1"/>
          <w:sz w:val="24"/>
          <w:szCs w:val="24"/>
          <w:lang w:bidi="ar"/>
          <w14:textFill>
            <w14:solidFill>
              <w14:schemeClr w14:val="tx1"/>
            </w14:solidFill>
          </w14:textFill>
        </w:rPr>
        <w:t>；</w:t>
      </w:r>
    </w:p>
    <w:p w14:paraId="5DA8AFF7">
      <w:pPr>
        <w:snapToGrid w:val="0"/>
        <w:spacing w:line="360" w:lineRule="auto"/>
        <w:ind w:firstLine="56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4采用综合支架的安装场所，综合支架应预制装配安装。</w:t>
      </w:r>
    </w:p>
    <w:p w14:paraId="02A5391E">
      <w:pPr>
        <w:snapToGrid w:val="0"/>
        <w:spacing w:line="360" w:lineRule="auto"/>
        <w:ind w:firstLine="0" w:firstLineChars="0"/>
        <w:jc w:val="both"/>
        <w:rPr>
          <w:rFonts w:ascii="仿宋" w:hAnsi="仿宋" w:cs="仿宋"/>
          <w:b/>
          <w:bCs/>
          <w:color w:val="000000" w:themeColor="text1"/>
          <w:sz w:val="24"/>
          <w:szCs w:val="24"/>
          <w:lang w:bidi="ar"/>
          <w14:textFill>
            <w14:solidFill>
              <w14:schemeClr w14:val="tx1"/>
            </w14:solidFill>
          </w14:textFill>
        </w:rPr>
      </w:pPr>
    </w:p>
    <w:p w14:paraId="51455ADE">
      <w:pPr>
        <w:pStyle w:val="3"/>
        <w:ind w:firstLine="643"/>
        <w:jc w:val="center"/>
        <w:rPr>
          <w:color w:val="000000" w:themeColor="text1"/>
          <w:sz w:val="24"/>
          <w:szCs w:val="24"/>
          <w14:textFill>
            <w14:solidFill>
              <w14:schemeClr w14:val="tx1"/>
            </w14:solidFill>
          </w14:textFill>
        </w:rPr>
      </w:pPr>
      <w:bookmarkStart w:id="59" w:name="_Toc11837"/>
      <w:r>
        <w:rPr>
          <w:color w:val="000000" w:themeColor="text1"/>
          <w:sz w:val="24"/>
          <w:szCs w:val="24"/>
          <w14:textFill>
            <w14:solidFill>
              <w14:schemeClr w14:val="tx1"/>
            </w14:solidFill>
          </w14:textFill>
        </w:rPr>
        <w:t>6.3施工管理</w:t>
      </w:r>
      <w:bookmarkEnd w:id="59"/>
    </w:p>
    <w:p w14:paraId="2CD579EB">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6.3.1应制定科学合理的施工组织设计，明确施工进度计划、施工工艺、质量控制措施等，确保施工过程安全、高效。</w:t>
      </w:r>
    </w:p>
    <w:p w14:paraId="3EF15911">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6.3.2应结合建筑的使用功能、装饰装修要求进行设计优化，形成优化清单，实现预留、定位等一次就位。</w:t>
      </w:r>
    </w:p>
    <w:p w14:paraId="4DD15810">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6.3.3</w:t>
      </w:r>
      <w:r>
        <w:rPr>
          <w:rFonts w:hint="eastAsia" w:ascii="仿宋" w:hAnsi="仿宋" w:cs="仿宋"/>
          <w:color w:val="000000" w:themeColor="text1"/>
          <w:sz w:val="24"/>
          <w:szCs w:val="24"/>
          <w:lang w:bidi="ar"/>
          <w14:textFill>
            <w14:solidFill>
              <w14:schemeClr w14:val="tx1"/>
            </w14:solidFill>
          </w14:textFill>
        </w:rPr>
        <w:t>积极推广应用施工新技术、新材料、新工艺、新设备，应明确其性能参数、构造措施和验收标准，满足使用要求，优先采用“山西省建筑业10项新技术”。</w:t>
      </w:r>
    </w:p>
    <w:p w14:paraId="477929AD">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6.3.4施工全过程应采用建筑信息模型</w:t>
      </w:r>
      <w:r>
        <w:rPr>
          <w:rFonts w:hint="eastAsia" w:ascii="仿宋" w:hAnsi="仿宋" w:cs="仿宋"/>
          <w:color w:val="000000" w:themeColor="text1"/>
          <w:sz w:val="24"/>
          <w:szCs w:val="24"/>
          <w:lang w:eastAsia="zh-CN" w:bidi="ar"/>
          <w14:textFill>
            <w14:solidFill>
              <w14:schemeClr w14:val="tx1"/>
            </w14:solidFill>
          </w14:textFill>
        </w:rPr>
        <w:t>（</w:t>
      </w:r>
      <w:r>
        <w:rPr>
          <w:rFonts w:ascii="仿宋" w:hAnsi="仿宋" w:cs="仿宋"/>
          <w:color w:val="000000" w:themeColor="text1"/>
          <w:sz w:val="24"/>
          <w:szCs w:val="24"/>
          <w:lang w:bidi="ar"/>
          <w14:textFill>
            <w14:solidFill>
              <w14:schemeClr w14:val="tx1"/>
            </w14:solidFill>
          </w14:textFill>
        </w:rPr>
        <w:t>BIM</w:t>
      </w:r>
      <w:r>
        <w:rPr>
          <w:rFonts w:hint="eastAsia" w:ascii="仿宋" w:hAnsi="仿宋" w:cs="仿宋"/>
          <w:color w:val="000000" w:themeColor="text1"/>
          <w:sz w:val="24"/>
          <w:szCs w:val="24"/>
          <w:lang w:eastAsia="zh-CN" w:bidi="ar"/>
          <w14:textFill>
            <w14:solidFill>
              <w14:schemeClr w14:val="tx1"/>
            </w14:solidFill>
          </w14:textFill>
        </w:rPr>
        <w:t>）</w:t>
      </w:r>
      <w:r>
        <w:rPr>
          <w:rFonts w:ascii="仿宋" w:hAnsi="仿宋" w:cs="仿宋"/>
          <w:color w:val="000000" w:themeColor="text1"/>
          <w:sz w:val="24"/>
          <w:szCs w:val="24"/>
          <w:lang w:bidi="ar"/>
          <w14:textFill>
            <w14:solidFill>
              <w14:schemeClr w14:val="tx1"/>
            </w14:solidFill>
          </w14:textFill>
        </w:rPr>
        <w:t>技术。</w:t>
      </w:r>
    </w:p>
    <w:p w14:paraId="63B0FABA">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6.3.5宜采用智能建造技术，应用无人机结合测量土方、实测实量机器人、混凝土施工机器人、墙面抹灰施工机器人、砌筑机器人、智能施工电梯等进行辅助施工作业。</w:t>
      </w:r>
    </w:p>
    <w:p w14:paraId="1D43F6EC">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6.3.6宜采用施工机具及临时设施节能技术、施工现场新能源及清洁能源利用技术。</w:t>
      </w:r>
    </w:p>
    <w:p w14:paraId="24F62D8D">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6.3.7宜采用建筑配件整体化或建筑构件装配化安装技术、钢筋集中加工配送技术、施工现场临时设施标准化技术及采用节材型施工方法。</w:t>
      </w:r>
    </w:p>
    <w:p w14:paraId="5D5824D9">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6.3.8</w:t>
      </w:r>
      <w:r>
        <w:rPr>
          <w:rFonts w:ascii="仿宋" w:hAnsi="仿宋" w:cs="仿宋"/>
          <w:color w:val="000000" w:themeColor="text1"/>
          <w:sz w:val="24"/>
          <w:szCs w:val="24"/>
          <w:lang w:bidi="ar"/>
          <w14:textFill>
            <w14:solidFill>
              <w14:schemeClr w14:val="tx1"/>
            </w14:solidFill>
          </w14:textFill>
        </w:rPr>
        <w:t>应</w:t>
      </w:r>
      <w:r>
        <w:rPr>
          <w:rFonts w:hint="eastAsia" w:ascii="仿宋" w:hAnsi="仿宋" w:cs="仿宋"/>
          <w:color w:val="000000" w:themeColor="text1"/>
          <w:sz w:val="24"/>
          <w:szCs w:val="24"/>
          <w:lang w:bidi="ar"/>
          <w14:textFill>
            <w14:solidFill>
              <w14:schemeClr w14:val="tx1"/>
            </w14:solidFill>
          </w14:textFill>
        </w:rPr>
        <w:t>建立、健全施工质量的检验制度，严格工序管理，</w:t>
      </w:r>
      <w:r>
        <w:rPr>
          <w:rFonts w:ascii="仿宋" w:hAnsi="仿宋" w:cs="仿宋"/>
          <w:color w:val="000000" w:themeColor="text1"/>
          <w:sz w:val="24"/>
          <w:szCs w:val="24"/>
          <w:lang w:bidi="ar"/>
          <w14:textFill>
            <w14:solidFill>
              <w14:schemeClr w14:val="tx1"/>
            </w14:solidFill>
          </w14:textFill>
        </w:rPr>
        <w:t>做好</w:t>
      </w:r>
      <w:r>
        <w:rPr>
          <w:rFonts w:hint="eastAsia" w:ascii="仿宋" w:hAnsi="仿宋" w:cs="仿宋"/>
          <w:color w:val="000000" w:themeColor="text1"/>
          <w:sz w:val="24"/>
          <w:szCs w:val="24"/>
          <w:lang w:bidi="ar"/>
          <w14:textFill>
            <w14:solidFill>
              <w14:schemeClr w14:val="tx1"/>
            </w14:solidFill>
          </w14:textFill>
        </w:rPr>
        <w:t>隐蔽工程的质量检查和记录，</w:t>
      </w:r>
      <w:r>
        <w:rPr>
          <w:rFonts w:ascii="仿宋" w:hAnsi="仿宋" w:cs="仿宋"/>
          <w:color w:val="000000" w:themeColor="text1"/>
          <w:sz w:val="24"/>
          <w:szCs w:val="24"/>
          <w:lang w:bidi="ar"/>
          <w14:textFill>
            <w14:solidFill>
              <w14:schemeClr w14:val="tx1"/>
            </w14:solidFill>
          </w14:textFill>
        </w:rPr>
        <w:t>留存</w:t>
      </w:r>
      <w:r>
        <w:rPr>
          <w:rFonts w:hint="eastAsia" w:ascii="仿宋" w:hAnsi="仿宋" w:cs="仿宋"/>
          <w:color w:val="000000" w:themeColor="text1"/>
          <w:sz w:val="24"/>
          <w:szCs w:val="24"/>
          <w:lang w:bidi="ar"/>
          <w14:textFill>
            <w14:solidFill>
              <w14:schemeClr w14:val="tx1"/>
            </w14:solidFill>
          </w14:textFill>
        </w:rPr>
        <w:t>过程影像资料。</w:t>
      </w:r>
    </w:p>
    <w:p w14:paraId="4C949CBF">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6.3.9对易出现质量问题的部位和工序进行验收时，</w:t>
      </w:r>
      <w:r>
        <w:rPr>
          <w:rFonts w:ascii="仿宋" w:hAnsi="仿宋" w:cs="仿宋"/>
          <w:color w:val="000000" w:themeColor="text1"/>
          <w:sz w:val="24"/>
          <w:szCs w:val="24"/>
          <w:lang w:bidi="ar"/>
          <w14:textFill>
            <w14:solidFill>
              <w14:schemeClr w14:val="tx1"/>
            </w14:solidFill>
          </w14:textFill>
        </w:rPr>
        <w:t>应</w:t>
      </w:r>
      <w:r>
        <w:rPr>
          <w:rFonts w:hint="eastAsia" w:ascii="仿宋" w:hAnsi="仿宋" w:cs="仿宋"/>
          <w:color w:val="000000" w:themeColor="text1"/>
          <w:sz w:val="24"/>
          <w:szCs w:val="24"/>
          <w:lang w:bidi="ar"/>
          <w14:textFill>
            <w14:solidFill>
              <w14:schemeClr w14:val="tx1"/>
            </w14:solidFill>
          </w14:textFill>
        </w:rPr>
        <w:t>实行举牌验收制度。</w:t>
      </w:r>
    </w:p>
    <w:p w14:paraId="767E7A08">
      <w:pPr>
        <w:snapToGrid w:val="0"/>
        <w:spacing w:line="360" w:lineRule="auto"/>
        <w:ind w:left="0" w:leftChars="0" w:firstLine="0" w:firstLineChars="0"/>
        <w:rPr>
          <w:rFonts w:hint="eastAsia"/>
          <w:i/>
          <w:iCs/>
          <w:color w:val="000000" w:themeColor="text1"/>
          <w:sz w:val="24"/>
          <w:lang w:val="en-US" w:eastAsia="zh-CN"/>
          <w14:textFill>
            <w14:solidFill>
              <w14:schemeClr w14:val="tx1"/>
            </w14:solidFill>
          </w14:textFill>
        </w:rPr>
      </w:pPr>
    </w:p>
    <w:p w14:paraId="6390535E">
      <w:pPr>
        <w:pStyle w:val="3"/>
        <w:ind w:left="0" w:leftChars="0" w:firstLine="0" w:firstLineChars="0"/>
        <w:jc w:val="center"/>
        <w:rPr>
          <w:color w:val="000000" w:themeColor="text1"/>
          <w:sz w:val="24"/>
          <w:szCs w:val="24"/>
          <w:lang w:val="en-US" w:eastAsia="zh-CN"/>
          <w14:textFill>
            <w14:solidFill>
              <w14:schemeClr w14:val="tx1"/>
            </w14:solidFill>
          </w14:textFill>
        </w:rPr>
      </w:pPr>
      <w:bookmarkStart w:id="60" w:name="_Toc22543"/>
      <w:r>
        <w:rPr>
          <w:color w:val="000000" w:themeColor="text1"/>
          <w:sz w:val="24"/>
          <w:szCs w:val="24"/>
          <w:lang w:val="en-US" w:eastAsia="zh-CN"/>
          <w14:textFill>
            <w14:solidFill>
              <w14:schemeClr w14:val="tx1"/>
            </w14:solidFill>
          </w14:textFill>
        </w:rPr>
        <w:t>6.4绿色施工</w:t>
      </w:r>
      <w:bookmarkEnd w:id="60"/>
    </w:p>
    <w:p w14:paraId="452E0B16">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6.4.1绿色施工应符合现行国家标准《建筑工程绿色施工规范》GB/T50905和《建筑工程绿色施工评价标准》GB/T50640的要求。</w:t>
      </w:r>
    </w:p>
    <w:p w14:paraId="507BA4FC">
      <w:pPr>
        <w:snapToGrid w:val="0"/>
        <w:spacing w:line="360" w:lineRule="auto"/>
        <w:ind w:firstLine="0" w:firstLineChars="0"/>
        <w:rPr>
          <w:rFonts w:hint="eastAsia" w:ascii="仿宋" w:hAnsi="仿宋" w:cs="仿宋"/>
          <w:color w:val="000000" w:themeColor="text1"/>
          <w:sz w:val="24"/>
          <w:szCs w:val="24"/>
          <w:lang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6.4.2施工单位应按山西省现行</w:t>
      </w:r>
      <w:r>
        <w:rPr>
          <w:rFonts w:hint="eastAsia" w:ascii="仿宋" w:hAnsi="仿宋" w:cs="仿宋"/>
          <w:color w:val="000000" w:themeColor="text1"/>
          <w:sz w:val="24"/>
          <w:szCs w:val="24"/>
          <w:lang w:bidi="ar"/>
          <w14:textFill>
            <w14:solidFill>
              <w14:schemeClr w14:val="tx1"/>
            </w14:solidFill>
          </w14:textFill>
        </w:rPr>
        <w:t>标准</w:t>
      </w:r>
      <w:r>
        <w:rPr>
          <w:rFonts w:ascii="仿宋" w:hAnsi="仿宋" w:cs="仿宋"/>
          <w:color w:val="000000" w:themeColor="text1"/>
          <w:sz w:val="24"/>
          <w:szCs w:val="24"/>
          <w:lang w:bidi="ar"/>
          <w14:textFill>
            <w14:solidFill>
              <w14:schemeClr w14:val="tx1"/>
            </w14:solidFill>
          </w14:textFill>
        </w:rPr>
        <w:t>《绿色建筑工程施工质量验收标准》DBJ04/T469进行绿色施工策划及应用，制定合理减排方案，建立碳排放管理体系，明确建筑垃圾减量化等目标。</w:t>
      </w:r>
    </w:p>
    <w:p w14:paraId="3814C2B6">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6.4.3应按照现行国家标准《建筑工程绿色施工评价标准》GB/T50640中的优良级别，明确项目绿色施工关键指标。</w:t>
      </w:r>
    </w:p>
    <w:p w14:paraId="0C3166A0">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6.4.4宜运用建筑信息模型</w:t>
      </w:r>
      <w:r>
        <w:rPr>
          <w:rFonts w:hint="eastAsia" w:ascii="仿宋" w:hAnsi="仿宋" w:cs="仿宋"/>
          <w:color w:val="000000" w:themeColor="text1"/>
          <w:sz w:val="24"/>
          <w:szCs w:val="24"/>
          <w:lang w:eastAsia="zh-CN" w:bidi="ar"/>
          <w14:textFill>
            <w14:solidFill>
              <w14:schemeClr w14:val="tx1"/>
            </w14:solidFill>
          </w14:textFill>
        </w:rPr>
        <w:t>（</w:t>
      </w:r>
      <w:r>
        <w:rPr>
          <w:rFonts w:ascii="仿宋" w:hAnsi="仿宋" w:cs="仿宋"/>
          <w:color w:val="000000" w:themeColor="text1"/>
          <w:sz w:val="24"/>
          <w:szCs w:val="24"/>
          <w:lang w:bidi="ar"/>
          <w14:textFill>
            <w14:solidFill>
              <w14:schemeClr w14:val="tx1"/>
            </w14:solidFill>
          </w14:textFill>
        </w:rPr>
        <w:t>BIM</w:t>
      </w:r>
      <w:r>
        <w:rPr>
          <w:rFonts w:hint="eastAsia" w:ascii="仿宋" w:hAnsi="仿宋" w:cs="仿宋"/>
          <w:color w:val="000000" w:themeColor="text1"/>
          <w:sz w:val="24"/>
          <w:szCs w:val="24"/>
          <w:lang w:eastAsia="zh-CN" w:bidi="ar"/>
          <w14:textFill>
            <w14:solidFill>
              <w14:schemeClr w14:val="tx1"/>
            </w14:solidFill>
          </w14:textFill>
        </w:rPr>
        <w:t>）</w:t>
      </w:r>
      <w:r>
        <w:rPr>
          <w:rFonts w:ascii="仿宋" w:hAnsi="仿宋" w:cs="仿宋"/>
          <w:color w:val="000000" w:themeColor="text1"/>
          <w:sz w:val="24"/>
          <w:szCs w:val="24"/>
          <w:lang w:bidi="ar"/>
          <w14:textFill>
            <w14:solidFill>
              <w14:schemeClr w14:val="tx1"/>
            </w14:solidFill>
          </w14:textFill>
        </w:rPr>
        <w:t>、大数据、云计算、物联网以及移动通讯等信息化技术组织绿色施工，提高施工管理的信息化和精细化水平。</w:t>
      </w:r>
    </w:p>
    <w:p w14:paraId="5CB35092">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6.4.5</w:t>
      </w:r>
      <w:r>
        <w:rPr>
          <w:rFonts w:hint="eastAsia" w:ascii="仿宋" w:hAnsi="仿宋" w:cs="仿宋"/>
          <w:color w:val="000000" w:themeColor="text1"/>
          <w:sz w:val="24"/>
          <w:szCs w:val="24"/>
          <w:lang w:bidi="ar"/>
          <w14:textFill>
            <w14:solidFill>
              <w14:schemeClr w14:val="tx1"/>
            </w14:solidFill>
          </w14:textFill>
        </w:rPr>
        <w:t>绿色</w:t>
      </w:r>
      <w:r>
        <w:rPr>
          <w:rFonts w:ascii="仿宋" w:hAnsi="仿宋" w:cs="仿宋"/>
          <w:color w:val="000000" w:themeColor="text1"/>
          <w:sz w:val="24"/>
          <w:szCs w:val="24"/>
          <w:lang w:bidi="ar"/>
          <w14:textFill>
            <w14:solidFill>
              <w14:schemeClr w14:val="tx1"/>
            </w14:solidFill>
          </w14:textFill>
        </w:rPr>
        <w:t>建材</w:t>
      </w:r>
      <w:r>
        <w:rPr>
          <w:rFonts w:hint="eastAsia" w:ascii="仿宋" w:hAnsi="仿宋" w:cs="仿宋"/>
          <w:color w:val="000000" w:themeColor="text1"/>
          <w:sz w:val="24"/>
          <w:szCs w:val="24"/>
          <w:lang w:bidi="ar"/>
          <w14:textFill>
            <w14:solidFill>
              <w14:schemeClr w14:val="tx1"/>
            </w14:solidFill>
          </w14:textFill>
        </w:rPr>
        <w:t>的选用应符合下列要求：</w:t>
      </w:r>
    </w:p>
    <w:p w14:paraId="5358308C">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1室内使用的建筑材料、装修材料</w:t>
      </w:r>
      <w:r>
        <w:rPr>
          <w:rFonts w:hint="eastAsia" w:ascii="仿宋" w:hAnsi="仿宋" w:cs="仿宋"/>
          <w:color w:val="000000" w:themeColor="text1"/>
          <w:sz w:val="24"/>
          <w:szCs w:val="24"/>
          <w:lang w:eastAsia="zh-CN"/>
          <w14:textFill>
            <w14:solidFill>
              <w14:schemeClr w14:val="tx1"/>
            </w14:solidFill>
          </w14:textFill>
        </w:rPr>
        <w:t>不得</w:t>
      </w:r>
      <w:r>
        <w:rPr>
          <w:rFonts w:ascii="仿宋" w:hAnsi="仿宋" w:cs="仿宋"/>
          <w:color w:val="000000" w:themeColor="text1"/>
          <w:sz w:val="24"/>
          <w:szCs w:val="24"/>
          <w14:textFill>
            <w14:solidFill>
              <w14:schemeClr w14:val="tx1"/>
            </w14:solidFill>
          </w14:textFill>
        </w:rPr>
        <w:t>含</w:t>
      </w:r>
      <w:r>
        <w:rPr>
          <w:rFonts w:ascii="仿宋" w:hAnsi="仿宋" w:cs="仿宋"/>
          <w:color w:val="000000" w:themeColor="text1"/>
          <w:sz w:val="24"/>
          <w:szCs w:val="24"/>
          <w14:textFill>
            <w14:solidFill>
              <w14:schemeClr w14:val="tx1"/>
            </w14:solidFill>
          </w14:textFill>
        </w:rPr>
        <w:t>有石棉、苯</w:t>
      </w:r>
      <w:r>
        <w:rPr>
          <w:rFonts w:hint="eastAsia" w:ascii="仿宋" w:hAnsi="仿宋" w:cs="仿宋"/>
          <w:color w:val="000000" w:themeColor="text1"/>
          <w:sz w:val="24"/>
          <w:szCs w:val="24"/>
          <w14:textFill>
            <w14:solidFill>
              <w14:schemeClr w14:val="tx1"/>
            </w14:solidFill>
          </w14:textFill>
        </w:rPr>
        <w:t>；</w:t>
      </w:r>
    </w:p>
    <w:p w14:paraId="56E60227">
      <w:pPr>
        <w:snapToGrid w:val="0"/>
        <w:spacing w:line="360" w:lineRule="auto"/>
        <w:ind w:firstLine="560"/>
        <w:rPr>
          <w:rFonts w:hint="eastAsia"/>
          <w:i/>
          <w:iCs/>
          <w:color w:val="000000" w:themeColor="text1"/>
          <w:sz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2不得使用铅含量超过90mg/kg的木器漆、防火涂料及饰面材料，不得使用沥青类防腐材料；</w:t>
      </w:r>
    </w:p>
    <w:p w14:paraId="1FBD4E97">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3室内装修构造层的连接材料严禁使用</w:t>
      </w:r>
      <w:r>
        <w:rPr>
          <w:rFonts w:ascii="仿宋" w:hAnsi="仿宋" w:cs="仿宋"/>
          <w:color w:val="000000" w:themeColor="text1"/>
          <w:sz w:val="24"/>
          <w:szCs w:val="24"/>
          <w14:textFill>
            <w14:solidFill>
              <w14:schemeClr w14:val="tx1"/>
            </w14:solidFill>
          </w14:textFill>
        </w:rPr>
        <w:t>甲醛作为原料的胶粘剂</w:t>
      </w:r>
      <w:r>
        <w:rPr>
          <w:rFonts w:hint="eastAsia" w:ascii="仿宋" w:hAnsi="仿宋" w:cs="仿宋"/>
          <w:color w:val="000000" w:themeColor="text1"/>
          <w:sz w:val="24"/>
          <w:szCs w:val="24"/>
          <w14:textFill>
            <w14:solidFill>
              <w14:schemeClr w14:val="tx1"/>
            </w14:solidFill>
          </w14:textFill>
        </w:rPr>
        <w:t>。</w:t>
      </w:r>
    </w:p>
    <w:p w14:paraId="3643CA63">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w:t>
      </w:r>
      <w:r>
        <w:rPr>
          <w:rFonts w:hint="eastAsia" w:ascii="仿宋" w:hAnsi="仿宋" w:cs="仿宋"/>
          <w:b/>
          <w:bCs/>
          <w:color w:val="000000" w:themeColor="text1"/>
          <w:sz w:val="24"/>
          <w:szCs w:val="24"/>
          <w:lang w:bidi="ar"/>
          <w14:textFill>
            <w14:solidFill>
              <w14:schemeClr w14:val="tx1"/>
            </w14:solidFill>
          </w14:textFill>
        </w:rPr>
        <w:t>.</w:t>
      </w:r>
      <w:r>
        <w:rPr>
          <w:rFonts w:hint="eastAsia" w:ascii="仿宋" w:hAnsi="仿宋" w:cs="仿宋"/>
          <w:color w:val="000000" w:themeColor="text1"/>
          <w:sz w:val="24"/>
          <w:szCs w:val="24"/>
          <w:lang w:bidi="ar"/>
          <w14:textFill>
            <w14:solidFill>
              <w14:schemeClr w14:val="tx1"/>
            </w14:solidFill>
          </w14:textFill>
        </w:rPr>
        <w:t>4</w:t>
      </w:r>
      <w:r>
        <w:rPr>
          <w:rFonts w:hint="eastAsia" w:ascii="仿宋" w:hAnsi="仿宋" w:cs="仿宋"/>
          <w:b/>
          <w:bCs/>
          <w:color w:val="000000" w:themeColor="text1"/>
          <w:sz w:val="24"/>
          <w:szCs w:val="24"/>
          <w:lang w:bidi="ar"/>
          <w14:textFill>
            <w14:solidFill>
              <w14:schemeClr w14:val="tx1"/>
            </w14:solidFill>
          </w14:textFill>
        </w:rPr>
        <w:t>.</w:t>
      </w:r>
      <w:r>
        <w:rPr>
          <w:rFonts w:hint="eastAsia" w:ascii="仿宋" w:hAnsi="仿宋" w:cs="仿宋"/>
          <w:color w:val="000000" w:themeColor="text1"/>
          <w:sz w:val="24"/>
          <w:szCs w:val="24"/>
          <w:lang w:bidi="ar"/>
          <w14:textFill>
            <w14:solidFill>
              <w14:schemeClr w14:val="tx1"/>
            </w14:solidFill>
          </w14:textFill>
        </w:rPr>
        <w:t>6施工现场应采用扬尘智能监测、自动喷淋、高空垃圾封闭清运等扬尘治理技术，施工场界空气质量指数PM2.5、PM10小时浓度不应超过同时段所属县（市、区）PM2.5、PM10小时平均浓度。</w:t>
      </w:r>
    </w:p>
    <w:p w14:paraId="075D65FC">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6.4.7宜采用节水技术、非传统水源利用技术。</w:t>
      </w:r>
    </w:p>
    <w:p w14:paraId="71D0416D">
      <w:pPr>
        <w:snapToGrid w:val="0"/>
        <w:spacing w:line="360" w:lineRule="auto"/>
        <w:ind w:firstLine="0" w:firstLineChars="0"/>
        <w:rPr>
          <w:rFonts w:hint="eastAsia"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6.4.8临时设施的选用应符合下列要求：</w:t>
      </w:r>
    </w:p>
    <w:p w14:paraId="3E41D501">
      <w:pPr>
        <w:snapToGrid w:val="0"/>
        <w:spacing w:line="360" w:lineRule="auto"/>
        <w:ind w:firstLine="56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1施工现场应科学布置，合理规划临时用地，减少临时地面硬化，宜利用再生材料或可周转材料进行临时场地硬化；</w:t>
      </w:r>
    </w:p>
    <w:p w14:paraId="5A24A500">
      <w:pPr>
        <w:snapToGrid w:val="0"/>
        <w:spacing w:line="360" w:lineRule="auto"/>
        <w:ind w:firstLine="56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2在满足设计要求的前提下，应充分</w:t>
      </w:r>
      <w:r>
        <w:rPr>
          <w:rFonts w:ascii="仿宋" w:hAnsi="仿宋" w:cs="仿宋"/>
          <w:color w:val="000000" w:themeColor="text1"/>
          <w:sz w:val="24"/>
          <w:szCs w:val="24"/>
          <w:lang w:bidi="ar"/>
          <w14:textFill>
            <w14:solidFill>
              <w14:schemeClr w14:val="tx1"/>
            </w14:solidFill>
          </w14:textFill>
        </w:rPr>
        <w:t>利用</w:t>
      </w:r>
      <w:r>
        <w:rPr>
          <w:rFonts w:hint="eastAsia" w:ascii="仿宋" w:hAnsi="仿宋" w:cs="仿宋"/>
          <w:color w:val="000000" w:themeColor="text1"/>
          <w:sz w:val="24"/>
          <w:szCs w:val="24"/>
          <w:lang w:bidi="ar"/>
          <w14:textFill>
            <w14:solidFill>
              <w14:schemeClr w14:val="tx1"/>
            </w14:solidFill>
          </w14:textFill>
        </w:rPr>
        <w:t>施工临时设施与永久性设施的结合；</w:t>
      </w:r>
    </w:p>
    <w:p w14:paraId="5368CDC3">
      <w:pPr>
        <w:snapToGrid w:val="0"/>
        <w:spacing w:line="360" w:lineRule="auto"/>
        <w:ind w:firstLine="56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3施工和场地清理时产生的临时材料、固体废弃物应分类收集、分类堆放，建材包装物回收率应达到100%;</w:t>
      </w:r>
    </w:p>
    <w:p w14:paraId="3632DF09">
      <w:pPr>
        <w:snapToGrid w:val="0"/>
        <w:spacing w:line="360" w:lineRule="auto"/>
        <w:ind w:firstLine="56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4提高临时设施重复利用率，现场办公和生活用房、围挡、临时道路、材料加工棚、安全防护、临时消防设施等应采用可重复利用的装配式、模块化产品。</w:t>
      </w:r>
    </w:p>
    <w:p w14:paraId="64E15A74">
      <w:pPr>
        <w:pStyle w:val="3"/>
        <w:ind w:firstLine="643"/>
        <w:jc w:val="center"/>
        <w:rPr>
          <w:color w:val="000000" w:themeColor="text1"/>
          <w:sz w:val="24"/>
          <w:szCs w:val="24"/>
          <w14:textFill>
            <w14:solidFill>
              <w14:schemeClr w14:val="tx1"/>
            </w14:solidFill>
          </w14:textFill>
        </w:rPr>
      </w:pPr>
      <w:bookmarkStart w:id="61" w:name="_Toc4275"/>
      <w:r>
        <w:rPr>
          <w:color w:val="000000" w:themeColor="text1"/>
          <w:sz w:val="24"/>
          <w:szCs w:val="24"/>
          <w14:textFill>
            <w14:solidFill>
              <w14:schemeClr w14:val="tx1"/>
            </w14:solidFill>
          </w14:textFill>
        </w:rPr>
        <w:t>6.5质量控制与验收</w:t>
      </w:r>
      <w:bookmarkEnd w:id="61"/>
    </w:p>
    <w:p w14:paraId="03C9B59C">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6.5.1应实施样板引路，严格执行自检、互检、交接检制度。</w:t>
      </w:r>
    </w:p>
    <w:p w14:paraId="29CE66B9">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6.5.2模板工程施工</w:t>
      </w:r>
      <w:r>
        <w:rPr>
          <w:rFonts w:hint="eastAsia" w:ascii="仿宋" w:hAnsi="仿宋" w:cs="仿宋"/>
          <w:color w:val="000000" w:themeColor="text1"/>
          <w:sz w:val="24"/>
          <w:szCs w:val="24"/>
          <w:lang w:bidi="ar"/>
          <w14:textFill>
            <w14:solidFill>
              <w14:schemeClr w14:val="tx1"/>
            </w14:solidFill>
          </w14:textFill>
        </w:rPr>
        <w:t>应符合下列</w:t>
      </w:r>
      <w:r>
        <w:rPr>
          <w:rFonts w:ascii="仿宋" w:hAnsi="仿宋" w:cs="仿宋"/>
          <w:color w:val="000000" w:themeColor="text1"/>
          <w:sz w:val="24"/>
          <w:szCs w:val="24"/>
          <w:lang w:bidi="ar"/>
          <w14:textFill>
            <w14:solidFill>
              <w14:schemeClr w14:val="tx1"/>
            </w14:solidFill>
          </w14:textFill>
        </w:rPr>
        <w:t>要求</w:t>
      </w:r>
      <w:r>
        <w:rPr>
          <w:rFonts w:hint="eastAsia" w:ascii="仿宋" w:hAnsi="仿宋" w:cs="仿宋"/>
          <w:color w:val="000000" w:themeColor="text1"/>
          <w:sz w:val="24"/>
          <w:szCs w:val="24"/>
          <w:lang w:bidi="ar"/>
          <w14:textFill>
            <w14:solidFill>
              <w14:schemeClr w14:val="tx1"/>
            </w14:solidFill>
          </w14:textFill>
        </w:rPr>
        <w:t>：</w:t>
      </w:r>
    </w:p>
    <w:p w14:paraId="7CE9DB36">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w:t>
      </w:r>
      <w:r>
        <w:rPr>
          <w:rFonts w:ascii="仿宋" w:hAnsi="仿宋" w:cs="仿宋"/>
          <w:color w:val="000000" w:themeColor="text1"/>
          <w:sz w:val="24"/>
          <w:szCs w:val="24"/>
          <w14:textFill>
            <w14:solidFill>
              <w14:schemeClr w14:val="tx1"/>
            </w14:solidFill>
          </w14:textFill>
        </w:rPr>
        <w:t>应编制模板支撑专项施工方案</w:t>
      </w:r>
      <w:r>
        <w:rPr>
          <w:rFonts w:hint="eastAsia" w:ascii="仿宋" w:hAnsi="仿宋" w:cs="仿宋"/>
          <w:color w:val="000000" w:themeColor="text1"/>
          <w:sz w:val="24"/>
          <w:szCs w:val="24"/>
          <w14:textFill>
            <w14:solidFill>
              <w14:schemeClr w14:val="tx1"/>
            </w14:solidFill>
          </w14:textFill>
        </w:rPr>
        <w:t>，确保支撑体系的稳定性与承载力；</w:t>
      </w:r>
    </w:p>
    <w:p w14:paraId="39F261BD">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2宜采用铝合金模板施工技术、组合式带肋塑料模板施工技术、钢木结合模板等先进的模板施工技术，严格控制成型尺寸、平整度、垂直度及方正度；</w:t>
      </w:r>
    </w:p>
    <w:p w14:paraId="463BC80C">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3逐层施工时，严格控制外墙大角全高垂直度。</w:t>
      </w:r>
    </w:p>
    <w:p w14:paraId="434D9BD2">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6.5.3现浇混凝土工程防裂施工应符合下列要求：</w:t>
      </w:r>
    </w:p>
    <w:p w14:paraId="03948F26">
      <w:pPr>
        <w:snapToGrid w:val="0"/>
        <w:spacing w:line="360" w:lineRule="auto"/>
        <w:ind w:firstLine="56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1应</w:t>
      </w:r>
      <w:r>
        <w:rPr>
          <w:rFonts w:ascii="仿宋" w:hAnsi="仿宋" w:cs="仿宋"/>
          <w:color w:val="000000" w:themeColor="text1"/>
          <w:sz w:val="24"/>
          <w:szCs w:val="24"/>
          <w:lang w:bidi="ar"/>
          <w14:textFill>
            <w14:solidFill>
              <w14:schemeClr w14:val="tx1"/>
            </w14:solidFill>
          </w14:textFill>
        </w:rPr>
        <w:t>验证混凝土配合比</w:t>
      </w:r>
      <w:r>
        <w:rPr>
          <w:rFonts w:hint="eastAsia" w:ascii="仿宋" w:hAnsi="仿宋" w:cs="仿宋"/>
          <w:color w:val="000000" w:themeColor="text1"/>
          <w:sz w:val="24"/>
          <w:szCs w:val="24"/>
          <w:lang w:bidi="ar"/>
          <w14:textFill>
            <w14:solidFill>
              <w14:schemeClr w14:val="tx1"/>
            </w14:solidFill>
          </w14:textFill>
        </w:rPr>
        <w:t>，其强度、和易性、耐久性等应满足设计及工艺要求；</w:t>
      </w:r>
    </w:p>
    <w:p w14:paraId="717D34E4">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2应合理设置垫块，混凝土保护层厚度应符合要求；</w:t>
      </w:r>
    </w:p>
    <w:p w14:paraId="481B5B9A">
      <w:pPr>
        <w:snapToGrid w:val="0"/>
        <w:spacing w:line="360" w:lineRule="auto"/>
        <w:ind w:firstLine="56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3应合理安排浇筑时间、路线和作业人员，</w:t>
      </w:r>
      <w:r>
        <w:rPr>
          <w:rFonts w:ascii="仿宋" w:hAnsi="仿宋" w:cs="仿宋"/>
          <w:color w:val="000000" w:themeColor="text1"/>
          <w:sz w:val="24"/>
          <w:szCs w:val="24"/>
          <w:lang w:bidi="ar"/>
          <w14:textFill>
            <w14:solidFill>
              <w14:schemeClr w14:val="tx1"/>
            </w14:solidFill>
          </w14:textFill>
        </w:rPr>
        <w:t>规范浇筑，连续作业</w:t>
      </w:r>
      <w:r>
        <w:rPr>
          <w:rFonts w:hint="eastAsia" w:ascii="仿宋" w:hAnsi="仿宋" w:cs="仿宋"/>
          <w:color w:val="000000" w:themeColor="text1"/>
          <w:sz w:val="24"/>
          <w:szCs w:val="24"/>
          <w:lang w:bidi="ar"/>
          <w14:textFill>
            <w14:solidFill>
              <w14:schemeClr w14:val="tx1"/>
            </w14:solidFill>
          </w14:textFill>
        </w:rPr>
        <w:t>；</w:t>
      </w:r>
    </w:p>
    <w:p w14:paraId="5367859E">
      <w:pPr>
        <w:snapToGrid w:val="0"/>
        <w:spacing w:line="360" w:lineRule="auto"/>
        <w:ind w:firstLine="56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4混凝土振捣应快插慢拔，不得漏振和过振，</w:t>
      </w:r>
      <w:r>
        <w:rPr>
          <w:rFonts w:ascii="仿宋" w:hAnsi="仿宋" w:cs="仿宋"/>
          <w:color w:val="000000" w:themeColor="text1"/>
          <w:sz w:val="24"/>
          <w:szCs w:val="24"/>
          <w:lang w:bidi="ar"/>
          <w14:textFill>
            <w14:solidFill>
              <w14:schemeClr w14:val="tx1"/>
            </w14:solidFill>
          </w14:textFill>
        </w:rPr>
        <w:t>不同强度混凝土交接处</w:t>
      </w:r>
      <w:r>
        <w:rPr>
          <w:rFonts w:hint="eastAsia" w:ascii="仿宋" w:hAnsi="仿宋" w:cs="仿宋"/>
          <w:color w:val="000000" w:themeColor="text1"/>
          <w:sz w:val="24"/>
          <w:szCs w:val="24"/>
          <w:lang w:bidi="ar"/>
          <w14:textFill>
            <w14:solidFill>
              <w14:schemeClr w14:val="tx1"/>
            </w14:solidFill>
          </w14:textFill>
        </w:rPr>
        <w:t>应采取拦截措施；</w:t>
      </w:r>
    </w:p>
    <w:p w14:paraId="566EFCFF">
      <w:pPr>
        <w:snapToGrid w:val="0"/>
        <w:spacing w:line="360" w:lineRule="auto"/>
        <w:ind w:firstLine="56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5混凝土浇筑时应增设马道，减少</w:t>
      </w:r>
      <w:r>
        <w:rPr>
          <w:rFonts w:ascii="仿宋" w:hAnsi="仿宋" w:cs="仿宋"/>
          <w:color w:val="000000" w:themeColor="text1"/>
          <w:sz w:val="24"/>
          <w:szCs w:val="24"/>
          <w:lang w:bidi="ar"/>
          <w14:textFill>
            <w14:solidFill>
              <w14:schemeClr w14:val="tx1"/>
            </w14:solidFill>
          </w14:textFill>
        </w:rPr>
        <w:t>对钢筋骨架及已浇筑混凝土的扰动</w:t>
      </w:r>
      <w:r>
        <w:rPr>
          <w:rFonts w:hint="eastAsia" w:ascii="仿宋" w:hAnsi="仿宋" w:cs="仿宋"/>
          <w:color w:val="000000" w:themeColor="text1"/>
          <w:sz w:val="24"/>
          <w:szCs w:val="24"/>
          <w:lang w:bidi="ar"/>
          <w14:textFill>
            <w14:solidFill>
              <w14:schemeClr w14:val="tx1"/>
            </w14:solidFill>
          </w14:textFill>
        </w:rPr>
        <w:t>，混凝土终凝前，严禁上人踩踏；</w:t>
      </w:r>
      <w:r>
        <w:rPr>
          <w:rFonts w:ascii="仿宋" w:hAnsi="仿宋" w:cs="仿宋"/>
          <w:color w:val="000000" w:themeColor="text1"/>
          <w:sz w:val="24"/>
          <w:szCs w:val="24"/>
          <w:lang w:bidi="ar"/>
          <w14:textFill>
            <w14:solidFill>
              <w14:schemeClr w14:val="tx1"/>
            </w14:solidFill>
          </w14:textFill>
        </w:rPr>
        <w:t>强度小于1.2MPa时不得进行后续施工</w:t>
      </w:r>
      <w:r>
        <w:rPr>
          <w:rFonts w:hint="eastAsia" w:ascii="仿宋" w:hAnsi="仿宋" w:cs="仿宋"/>
          <w:color w:val="000000" w:themeColor="text1"/>
          <w:sz w:val="24"/>
          <w:szCs w:val="24"/>
          <w:lang w:bidi="ar"/>
          <w14:textFill>
            <w14:solidFill>
              <w14:schemeClr w14:val="tx1"/>
            </w14:solidFill>
          </w14:textFill>
        </w:rPr>
        <w:t>；</w:t>
      </w:r>
    </w:p>
    <w:p w14:paraId="47D18F71">
      <w:pPr>
        <w:snapToGrid w:val="0"/>
        <w:spacing w:line="360" w:lineRule="auto"/>
        <w:ind w:firstLine="56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w:t>
      </w:r>
      <w:r>
        <w:rPr>
          <w:rFonts w:ascii="仿宋" w:hAnsi="仿宋" w:cs="仿宋"/>
          <w:color w:val="000000" w:themeColor="text1"/>
          <w:sz w:val="24"/>
          <w:szCs w:val="24"/>
          <w:lang w:bidi="ar"/>
          <w14:textFill>
            <w14:solidFill>
              <w14:schemeClr w14:val="tx1"/>
            </w14:solidFill>
          </w14:textFill>
        </w:rPr>
        <w:t>楼板内埋置管线时</w:t>
      </w:r>
      <w:r>
        <w:rPr>
          <w:rFonts w:hint="eastAsia" w:ascii="仿宋" w:hAnsi="仿宋" w:cs="仿宋"/>
          <w:color w:val="000000" w:themeColor="text1"/>
          <w:sz w:val="24"/>
          <w:szCs w:val="24"/>
          <w:lang w:bidi="ar"/>
          <w14:textFill>
            <w14:solidFill>
              <w14:schemeClr w14:val="tx1"/>
            </w14:solidFill>
          </w14:textFill>
        </w:rPr>
        <w:t>，</w:t>
      </w:r>
      <w:r>
        <w:rPr>
          <w:rFonts w:ascii="仿宋" w:hAnsi="仿宋" w:cs="仿宋"/>
          <w:color w:val="000000" w:themeColor="text1"/>
          <w:sz w:val="24"/>
          <w:szCs w:val="24"/>
          <w:lang w:bidi="ar"/>
          <w14:textFill>
            <w14:solidFill>
              <w14:schemeClr w14:val="tx1"/>
            </w14:solidFill>
          </w14:textFill>
        </w:rPr>
        <w:t>敷设集中处宜采用放射形分布</w:t>
      </w:r>
      <w:r>
        <w:rPr>
          <w:rFonts w:hint="eastAsia" w:ascii="仿宋" w:hAnsi="仿宋" w:cs="仿宋"/>
          <w:color w:val="000000" w:themeColor="text1"/>
          <w:sz w:val="24"/>
          <w:szCs w:val="24"/>
          <w:lang w:bidi="ar"/>
          <w14:textFill>
            <w14:solidFill>
              <w14:schemeClr w14:val="tx1"/>
            </w14:solidFill>
          </w14:textFill>
        </w:rPr>
        <w:t>；水平成排线管间距不应小于15mm，交叉线管应严格控制在2层以内，</w:t>
      </w:r>
      <w:r>
        <w:rPr>
          <w:rFonts w:ascii="仿宋" w:hAnsi="仿宋" w:cs="仿宋"/>
          <w:color w:val="000000" w:themeColor="text1"/>
          <w:sz w:val="24"/>
          <w:szCs w:val="24"/>
          <w:lang w:bidi="ar"/>
          <w14:textFill>
            <w14:solidFill>
              <w14:schemeClr w14:val="tx1"/>
            </w14:solidFill>
          </w14:textFill>
        </w:rPr>
        <w:t>避免紧密平行和交叉排列</w:t>
      </w:r>
      <w:r>
        <w:rPr>
          <w:rFonts w:hint="eastAsia" w:ascii="仿宋" w:hAnsi="仿宋" w:cs="仿宋"/>
          <w:color w:val="000000" w:themeColor="text1"/>
          <w:sz w:val="24"/>
          <w:szCs w:val="24"/>
          <w:lang w:bidi="ar"/>
          <w14:textFill>
            <w14:solidFill>
              <w14:schemeClr w14:val="tx1"/>
            </w14:solidFill>
          </w14:textFill>
        </w:rPr>
        <w:t>；两根以上管并行时，沿管方向应增加Φ4@150宽500mm钢筋网片，在应力集中部位应设置双层布筋；</w:t>
      </w:r>
    </w:p>
    <w:p w14:paraId="0DD73E15">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7梁板混凝土浇筑时应按要求振捣，并在初凝前进行</w:t>
      </w:r>
      <w:r>
        <w:rPr>
          <w:rFonts w:hint="eastAsia" w:ascii="仿宋" w:hAnsi="仿宋" w:cs="仿宋"/>
          <w:color w:val="000000" w:themeColor="text1"/>
          <w:sz w:val="24"/>
          <w:szCs w:val="24"/>
          <w14:textFill>
            <w14:solidFill>
              <w14:schemeClr w14:val="tx1"/>
            </w14:solidFill>
          </w14:textFill>
        </w:rPr>
        <w:t>二次振捣；</w:t>
      </w:r>
    </w:p>
    <w:p w14:paraId="1D9DDB7E">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8</w:t>
      </w:r>
      <w:r>
        <w:rPr>
          <w:rFonts w:hint="eastAsia" w:ascii="仿宋" w:hAnsi="仿宋" w:cs="仿宋"/>
          <w:color w:val="000000" w:themeColor="text1"/>
          <w:sz w:val="24"/>
          <w:szCs w:val="24"/>
          <w14:textFill>
            <w14:solidFill>
              <w14:schemeClr w14:val="tx1"/>
            </w14:solidFill>
          </w14:textFill>
        </w:rPr>
        <w:t>混凝土强度小于10Mpa时，不宜在现浇板上吊运、堆放重物；</w:t>
      </w:r>
    </w:p>
    <w:p w14:paraId="2415EEB5">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9普通混凝土养护不应少于7天，防水混凝土不应少于14天。</w:t>
      </w:r>
    </w:p>
    <w:p w14:paraId="12B9ADFB">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6.5.4</w:t>
      </w:r>
      <w:bookmarkStart w:id="62" w:name="OLE_LINK1"/>
      <w:r>
        <w:rPr>
          <w:rFonts w:hint="eastAsia" w:ascii="仿宋" w:hAnsi="仿宋" w:cs="仿宋"/>
          <w:color w:val="000000" w:themeColor="text1"/>
          <w:sz w:val="24"/>
          <w:szCs w:val="24"/>
          <w:lang w:bidi="ar"/>
          <w14:textFill>
            <w14:solidFill>
              <w14:schemeClr w14:val="tx1"/>
            </w14:solidFill>
          </w14:textFill>
        </w:rPr>
        <w:t>装配式混凝土工程</w:t>
      </w:r>
      <w:bookmarkEnd w:id="62"/>
      <w:r>
        <w:rPr>
          <w:rFonts w:hint="eastAsia" w:ascii="仿宋" w:hAnsi="仿宋" w:cs="仿宋"/>
          <w:color w:val="000000" w:themeColor="text1"/>
          <w:sz w:val="24"/>
          <w:szCs w:val="24"/>
          <w:lang w:bidi="ar"/>
          <w14:textFill>
            <w14:solidFill>
              <w14:schemeClr w14:val="tx1"/>
            </w14:solidFill>
          </w14:textFill>
        </w:rPr>
        <w:t>防裂施工应符合下列要求：</w:t>
      </w:r>
    </w:p>
    <w:p w14:paraId="583C669A">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1装配式混凝土构件进场应有合格证，</w:t>
      </w:r>
      <w:r>
        <w:rPr>
          <w:rFonts w:ascii="仿宋" w:hAnsi="仿宋" w:cs="仿宋"/>
          <w:color w:val="000000" w:themeColor="text1"/>
          <w:sz w:val="24"/>
          <w:szCs w:val="24"/>
          <w14:textFill>
            <w14:solidFill>
              <w14:schemeClr w14:val="tx1"/>
            </w14:solidFill>
          </w14:textFill>
        </w:rPr>
        <w:t>并应抽查表面质量、混凝土密实度及裂缝情况</w:t>
      </w:r>
      <w:r>
        <w:rPr>
          <w:rFonts w:hint="eastAsia" w:ascii="仿宋" w:hAnsi="仿宋" w:cs="仿宋"/>
          <w:color w:val="000000" w:themeColor="text1"/>
          <w:sz w:val="24"/>
          <w:szCs w:val="24"/>
          <w14:textFill>
            <w14:solidFill>
              <w14:schemeClr w14:val="tx1"/>
            </w14:solidFill>
          </w14:textFill>
        </w:rPr>
        <w:t>；</w:t>
      </w:r>
    </w:p>
    <w:p w14:paraId="5B38E42A">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w:t>
      </w:r>
      <w:r>
        <w:rPr>
          <w:rFonts w:ascii="仿宋" w:hAnsi="仿宋" w:cs="仿宋"/>
          <w:color w:val="000000" w:themeColor="text1"/>
          <w:sz w:val="24"/>
          <w:szCs w:val="24"/>
          <w14:textFill>
            <w14:solidFill>
              <w14:schemeClr w14:val="tx1"/>
            </w14:solidFill>
          </w14:textFill>
        </w:rPr>
        <w:t>应采用精准定位施工技术。</w:t>
      </w:r>
      <w:r>
        <w:rPr>
          <w:rFonts w:hint="eastAsia" w:ascii="仿宋" w:hAnsi="仿宋" w:cs="仿宋"/>
          <w:color w:val="000000" w:themeColor="text1"/>
          <w:sz w:val="24"/>
          <w:szCs w:val="24"/>
          <w14:textFill>
            <w14:solidFill>
              <w14:schemeClr w14:val="tx1"/>
            </w14:solidFill>
          </w14:textFill>
        </w:rPr>
        <w:t>竖向构件应采用预留插筋高精度定位模具技术，接头灌浆应采用微重力补浆观测灌浆施工技术；</w:t>
      </w:r>
    </w:p>
    <w:p w14:paraId="4B095F1E">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3插筋定位准确度应控制在2mm内，构件表面平整度应小于3mm，竖向构件垂直度控制偏差应小于3mm；</w:t>
      </w:r>
    </w:p>
    <w:p w14:paraId="244311BC">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w:t>
      </w:r>
      <w:bookmarkStart w:id="63" w:name="OLE_LINK2"/>
      <w:r>
        <w:rPr>
          <w:rFonts w:hint="eastAsia" w:ascii="仿宋" w:hAnsi="仿宋" w:cs="仿宋"/>
          <w:color w:val="000000" w:themeColor="text1"/>
          <w:sz w:val="24"/>
          <w:szCs w:val="24"/>
          <w14:textFill>
            <w14:solidFill>
              <w14:schemeClr w14:val="tx1"/>
            </w14:solidFill>
          </w14:textFill>
        </w:rPr>
        <w:t>应严格控制楼面施工荷载，材料应分批上料，排布均匀，防止荷载集中</w:t>
      </w:r>
      <w:bookmarkEnd w:id="63"/>
      <w:r>
        <w:rPr>
          <w:rFonts w:hint="eastAsia" w:ascii="仿宋" w:hAnsi="仿宋" w:cs="仿宋"/>
          <w:color w:val="000000" w:themeColor="text1"/>
          <w:sz w:val="24"/>
          <w:szCs w:val="24"/>
          <w14:textFill>
            <w14:solidFill>
              <w14:schemeClr w14:val="tx1"/>
            </w14:solidFill>
          </w14:textFill>
        </w:rPr>
        <w:t>；</w:t>
      </w:r>
    </w:p>
    <w:p w14:paraId="3CFC4DA2">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5楼板施工时应根据保证工程质量的措施确定施工荷载，并应按计算结果加设临时支撑。</w:t>
      </w:r>
    </w:p>
    <w:p w14:paraId="11CD7F60">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6.5.5填充墙体防裂施工应符合下列要求：</w:t>
      </w:r>
    </w:p>
    <w:p w14:paraId="1640673E">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1填充墙施工前应进行排砖设计；应合理设置构造柱，水平系梁；过梁深入支座长度应符合标准要求；</w:t>
      </w:r>
    </w:p>
    <w:p w14:paraId="0F0E6823">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2应加强门窗洞口砌筑质量控制，门窗洞口两侧砌体长度尺寸小于240mm时应采用钢筋混凝土代替；</w:t>
      </w:r>
    </w:p>
    <w:p w14:paraId="29ADE8C7">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3填充墙砌体砌筑接近梁底或板底时，应预留空间，砌筑完成至少14d后，采用斜插砖进行顶紧塞实。</w:t>
      </w:r>
      <w:r>
        <w:rPr>
          <w:rFonts w:ascii="仿宋" w:hAnsi="仿宋" w:cs="仿宋"/>
          <w:color w:val="000000" w:themeColor="text1"/>
          <w:sz w:val="24"/>
          <w:szCs w:val="24"/>
          <w14:textFill>
            <w14:solidFill>
              <w14:schemeClr w14:val="tx1"/>
            </w14:solidFill>
          </w14:textFill>
        </w:rPr>
        <w:t>非标填充块宜预制或现场集中加工</w:t>
      </w:r>
      <w:r>
        <w:rPr>
          <w:rFonts w:hint="eastAsia" w:ascii="仿宋" w:hAnsi="仿宋" w:cs="仿宋"/>
          <w:color w:val="000000" w:themeColor="text1"/>
          <w:sz w:val="24"/>
          <w:szCs w:val="24"/>
          <w14:textFill>
            <w14:solidFill>
              <w14:schemeClr w14:val="tx1"/>
            </w14:solidFill>
          </w14:textFill>
        </w:rPr>
        <w:t>；</w:t>
      </w:r>
    </w:p>
    <w:p w14:paraId="3593EB39">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4墙上剔凿设备孔洞、槽时，</w:t>
      </w:r>
      <w:r>
        <w:rPr>
          <w:rFonts w:ascii="仿宋" w:hAnsi="仿宋" w:cs="仿宋"/>
          <w:color w:val="000000" w:themeColor="text1"/>
          <w:sz w:val="24"/>
          <w:szCs w:val="24"/>
          <w14:textFill>
            <w14:solidFill>
              <w14:schemeClr w14:val="tx1"/>
            </w14:solidFill>
          </w14:textFill>
        </w:rPr>
        <w:t>应先切割后剔除</w:t>
      </w:r>
      <w:r>
        <w:rPr>
          <w:rFonts w:hint="eastAsia" w:ascii="仿宋" w:hAnsi="仿宋" w:cs="仿宋"/>
          <w:color w:val="000000" w:themeColor="text1"/>
          <w:sz w:val="24"/>
          <w:szCs w:val="24"/>
          <w14:textFill>
            <w14:solidFill>
              <w14:schemeClr w14:val="tx1"/>
            </w14:solidFill>
          </w14:textFill>
        </w:rPr>
        <w:t>。剔槽深度应保持线管管壁外表面距墙面基层15mm</w:t>
      </w:r>
      <w:r>
        <w:rPr>
          <w:rFonts w:hint="eastAsia" w:ascii="仿宋" w:hAnsi="仿宋" w:cs="仿宋"/>
          <w:color w:val="000000" w:themeColor="text1"/>
          <w:sz w:val="24"/>
          <w:szCs w:val="24"/>
          <w:lang w:eastAsia="zh-CN"/>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并用M10水泥砂浆抹实，外挂钢丝网片两边压墙不应小于100mm；未经设计同意，不得在墙体上交叉埋设电气导管或开凿长度超过300mm的水平槽；</w:t>
      </w:r>
    </w:p>
    <w:p w14:paraId="32C990CE">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5消防箱、配电箱、水表箱、开关箱等预留洞应采用预制过梁，</w:t>
      </w:r>
      <w:r>
        <w:rPr>
          <w:rFonts w:ascii="仿宋" w:hAnsi="仿宋" w:cs="仿宋"/>
          <w:color w:val="000000" w:themeColor="text1"/>
          <w:sz w:val="24"/>
          <w:szCs w:val="24"/>
          <w14:textFill>
            <w14:solidFill>
              <w14:schemeClr w14:val="tx1"/>
            </w14:solidFill>
          </w14:textFill>
        </w:rPr>
        <w:t>并预留线管穿越孔槽。</w:t>
      </w:r>
      <w:r>
        <w:rPr>
          <w:rFonts w:hint="eastAsia" w:ascii="仿宋" w:hAnsi="仿宋" w:cs="仿宋"/>
          <w:color w:val="000000" w:themeColor="text1"/>
          <w:sz w:val="24"/>
          <w:szCs w:val="24"/>
          <w14:textFill>
            <w14:solidFill>
              <w14:schemeClr w14:val="tx1"/>
            </w14:solidFill>
          </w14:textFill>
        </w:rPr>
        <w:t>配电箱线管集中设置处应采用细石混凝土补齐，预留洞背面的抹灰层应满挂钢丝网片；</w:t>
      </w:r>
    </w:p>
    <w:p w14:paraId="56B97F11">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w:t>
      </w:r>
      <w:bookmarkStart w:id="64" w:name="OLE_LINK9"/>
      <w:r>
        <w:rPr>
          <w:rFonts w:hint="eastAsia" w:ascii="仿宋" w:hAnsi="仿宋" w:cs="仿宋"/>
          <w:color w:val="000000" w:themeColor="text1"/>
          <w:sz w:val="24"/>
          <w:szCs w:val="24"/>
          <w14:textFill>
            <w14:solidFill>
              <w14:schemeClr w14:val="tx1"/>
            </w14:solidFill>
          </w14:textFill>
        </w:rPr>
        <w:t>填充板材墙体应采用高精度安装技术，拼缝严密，并应采取有效的嵌缝、补缝措施。</w:t>
      </w:r>
    </w:p>
    <w:bookmarkEnd w:id="64"/>
    <w:p w14:paraId="60040372">
      <w:pPr>
        <w:snapToGrid w:val="0"/>
        <w:spacing w:line="360" w:lineRule="auto"/>
        <w:ind w:firstLine="0" w:firstLineChars="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6.5.6地下防水工程防渗漏施工应符合下列要求：</w:t>
      </w:r>
    </w:p>
    <w:p w14:paraId="41150F14">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w:t>
      </w:r>
      <w:bookmarkStart w:id="65" w:name="OLE_LINK10"/>
      <w:r>
        <w:rPr>
          <w:rFonts w:hint="eastAsia" w:ascii="仿宋" w:hAnsi="仿宋" w:cs="仿宋"/>
          <w:color w:val="000000" w:themeColor="text1"/>
          <w:sz w:val="24"/>
          <w:szCs w:val="24"/>
          <w14:textFill>
            <w14:solidFill>
              <w14:schemeClr w14:val="tx1"/>
            </w14:solidFill>
          </w14:textFill>
        </w:rPr>
        <w:t>应依据混凝土浇筑方案组织施工，地下室底板不宜设置变形缝，应采用跳仓法施工，宜减少后浇带或膨胀加强带；大体积混凝土施工应严格控制内、外温差，加强保温养护；</w:t>
      </w:r>
    </w:p>
    <w:bookmarkEnd w:id="65"/>
    <w:p w14:paraId="7FE26936">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2施工缝部位应采用成品止水钢板，并保证焊接质量；</w:t>
      </w:r>
    </w:p>
    <w:p w14:paraId="589EC10E">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w:t>
      </w:r>
      <w:bookmarkStart w:id="66" w:name="OLE_LINK12"/>
      <w:r>
        <w:rPr>
          <w:rFonts w:hint="eastAsia" w:ascii="仿宋" w:hAnsi="仿宋" w:cs="仿宋"/>
          <w:color w:val="000000" w:themeColor="text1"/>
          <w:sz w:val="24"/>
          <w:szCs w:val="24"/>
          <w14:textFill>
            <w14:solidFill>
              <w14:schemeClr w14:val="tx1"/>
            </w14:solidFill>
          </w14:textFill>
        </w:rPr>
        <w:t>外墙应采用三段式止水对拉螺杆，严格控制预埋件、穿墙套管等部位止水环质量</w:t>
      </w:r>
      <w:bookmarkEnd w:id="66"/>
      <w:r>
        <w:rPr>
          <w:rFonts w:hint="eastAsia" w:ascii="仿宋" w:hAnsi="仿宋" w:cs="仿宋"/>
          <w:color w:val="000000" w:themeColor="text1"/>
          <w:sz w:val="24"/>
          <w:szCs w:val="24"/>
          <w14:textFill>
            <w14:solidFill>
              <w14:schemeClr w14:val="tx1"/>
            </w14:solidFill>
          </w14:textFill>
        </w:rPr>
        <w:t>；</w:t>
      </w:r>
    </w:p>
    <w:p w14:paraId="636EC617">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w:t>
      </w:r>
      <w:bookmarkStart w:id="67" w:name="OLE_LINK13"/>
      <w:r>
        <w:rPr>
          <w:rFonts w:ascii="仿宋" w:hAnsi="仿宋" w:cs="仿宋"/>
          <w:color w:val="000000" w:themeColor="text1"/>
          <w:sz w:val="24"/>
          <w:szCs w:val="24"/>
          <w14:textFill>
            <w14:solidFill>
              <w14:schemeClr w14:val="tx1"/>
            </w14:solidFill>
          </w14:textFill>
        </w:rPr>
        <w:t>施工缝应凿毛清理干净</w:t>
      </w:r>
      <w:r>
        <w:rPr>
          <w:rFonts w:hint="eastAsia" w:ascii="仿宋" w:hAnsi="仿宋" w:cs="仿宋"/>
          <w:color w:val="000000" w:themeColor="text1"/>
          <w:sz w:val="24"/>
          <w:szCs w:val="24"/>
          <w14:textFill>
            <w14:solidFill>
              <w14:schemeClr w14:val="tx1"/>
            </w14:solidFill>
          </w14:textFill>
        </w:rPr>
        <w:t>，浇筑时应振捣密实</w:t>
      </w:r>
      <w:bookmarkEnd w:id="67"/>
      <w:r>
        <w:rPr>
          <w:rFonts w:hint="eastAsia" w:ascii="仿宋" w:hAnsi="仿宋" w:cs="仿宋"/>
          <w:color w:val="000000" w:themeColor="text1"/>
          <w:sz w:val="24"/>
          <w:szCs w:val="24"/>
          <w14:textFill>
            <w14:solidFill>
              <w14:schemeClr w14:val="tx1"/>
            </w14:solidFill>
          </w14:textFill>
        </w:rPr>
        <w:t>；</w:t>
      </w:r>
    </w:p>
    <w:p w14:paraId="0D0DDF19">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bookmarkStart w:id="68" w:name="OLE_LINK14"/>
      <w:r>
        <w:rPr>
          <w:rFonts w:hint="eastAsia" w:ascii="仿宋" w:hAnsi="仿宋" w:cs="仿宋"/>
          <w:color w:val="000000" w:themeColor="text1"/>
          <w:sz w:val="24"/>
          <w:szCs w:val="24"/>
          <w14:textFill>
            <w14:solidFill>
              <w14:schemeClr w14:val="tx1"/>
            </w14:solidFill>
          </w14:textFill>
        </w:rPr>
        <w:t>应科学选择防水材料，</w:t>
      </w:r>
      <w:r>
        <w:rPr>
          <w:rFonts w:ascii="仿宋" w:hAnsi="仿宋" w:cs="仿宋"/>
          <w:color w:val="000000" w:themeColor="text1"/>
          <w:sz w:val="24"/>
          <w:szCs w:val="24"/>
          <w14:textFill>
            <w14:solidFill>
              <w14:schemeClr w14:val="tx1"/>
            </w14:solidFill>
          </w14:textFill>
        </w:rPr>
        <w:t>严格原材料验收，加强关键工序管控</w:t>
      </w:r>
      <w:r>
        <w:rPr>
          <w:rFonts w:hint="eastAsia" w:ascii="仿宋" w:hAnsi="仿宋" w:cs="仿宋"/>
          <w:color w:val="000000" w:themeColor="text1"/>
          <w:sz w:val="24"/>
          <w:szCs w:val="24"/>
          <w14:textFill>
            <w14:solidFill>
              <w14:schemeClr w14:val="tx1"/>
            </w14:solidFill>
          </w14:textFill>
        </w:rPr>
        <w:t>；</w:t>
      </w:r>
    </w:p>
    <w:bookmarkEnd w:id="68"/>
    <w:p w14:paraId="7D1ACE0D">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6地下室铺贴防水卷材的阴阳角部位应设置结构倒角。</w:t>
      </w:r>
    </w:p>
    <w:p w14:paraId="670FCEBA">
      <w:pPr>
        <w:snapToGrid w:val="0"/>
        <w:spacing w:line="360" w:lineRule="auto"/>
        <w:ind w:firstLine="0" w:firstLineChars="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6.5.7屋面防水工程防渗漏施工应符合下列要求</w:t>
      </w:r>
      <w:r>
        <w:rPr>
          <w:rFonts w:hint="eastAsia" w:ascii="仿宋" w:hAnsi="仿宋" w:cs="仿宋"/>
          <w:color w:val="000000" w:themeColor="text1"/>
          <w:sz w:val="24"/>
          <w:szCs w:val="24"/>
          <w14:textFill>
            <w14:solidFill>
              <w14:schemeClr w14:val="tx1"/>
            </w14:solidFill>
          </w14:textFill>
        </w:rPr>
        <w:t>：</w:t>
      </w:r>
    </w:p>
    <w:p w14:paraId="3401502E">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w:t>
      </w:r>
      <w:bookmarkStart w:id="69" w:name="OLE_LINK17"/>
      <w:r>
        <w:rPr>
          <w:rFonts w:ascii="仿宋" w:hAnsi="仿宋" w:cs="仿宋"/>
          <w:color w:val="000000" w:themeColor="text1"/>
          <w:sz w:val="24"/>
          <w:szCs w:val="24"/>
          <w14:textFill>
            <w14:solidFill>
              <w14:schemeClr w14:val="tx1"/>
            </w14:solidFill>
          </w14:textFill>
        </w:rPr>
        <w:t>伸出屋面的井道、烟道周边应与屋面结构整</w:t>
      </w:r>
      <w:r>
        <w:rPr>
          <w:rFonts w:hint="eastAsia" w:ascii="仿宋" w:hAnsi="仿宋" w:cs="仿宋"/>
          <w:color w:val="000000" w:themeColor="text1"/>
          <w:sz w:val="24"/>
          <w:szCs w:val="24"/>
          <w14:textFill>
            <w14:solidFill>
              <w14:schemeClr w14:val="tx1"/>
            </w14:solidFill>
          </w14:textFill>
        </w:rPr>
        <w:t>体</w:t>
      </w:r>
      <w:bookmarkEnd w:id="69"/>
      <w:r>
        <w:rPr>
          <w:rFonts w:hint="eastAsia" w:ascii="仿宋" w:hAnsi="仿宋" w:cs="仿宋"/>
          <w:color w:val="000000" w:themeColor="text1"/>
          <w:sz w:val="24"/>
          <w:szCs w:val="24"/>
          <w14:textFill>
            <w14:solidFill>
              <w14:schemeClr w14:val="tx1"/>
            </w14:solidFill>
          </w14:textFill>
        </w:rPr>
        <w:t>浇筑；</w:t>
      </w:r>
    </w:p>
    <w:p w14:paraId="7995190D">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w:t>
      </w:r>
      <w:bookmarkStart w:id="70" w:name="OLE_LINK18"/>
      <w:r>
        <w:rPr>
          <w:rFonts w:hint="eastAsia" w:ascii="仿宋" w:hAnsi="仿宋" w:cs="仿宋"/>
          <w:color w:val="000000" w:themeColor="text1"/>
          <w:sz w:val="24"/>
          <w:szCs w:val="24"/>
          <w14:textFill>
            <w14:solidFill>
              <w14:schemeClr w14:val="tx1"/>
            </w14:solidFill>
          </w14:textFill>
        </w:rPr>
        <w:t>优化保温层、找坡层坡度，降低落水口高度，确保防水层排水通畅</w:t>
      </w:r>
      <w:bookmarkEnd w:id="70"/>
      <w:r>
        <w:rPr>
          <w:rFonts w:hint="eastAsia" w:ascii="仿宋" w:hAnsi="仿宋" w:cs="仿宋"/>
          <w:color w:val="000000" w:themeColor="text1"/>
          <w:sz w:val="24"/>
          <w:szCs w:val="24"/>
          <w14:textFill>
            <w14:solidFill>
              <w14:schemeClr w14:val="tx1"/>
            </w14:solidFill>
          </w14:textFill>
        </w:rPr>
        <w:t>；</w:t>
      </w:r>
    </w:p>
    <w:p w14:paraId="2A8D90E5">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w:t>
      </w:r>
      <w:bookmarkStart w:id="71" w:name="OLE_LINK19"/>
      <w:r>
        <w:rPr>
          <w:rFonts w:hint="eastAsia" w:ascii="仿宋" w:hAnsi="仿宋" w:cs="仿宋"/>
          <w:color w:val="000000" w:themeColor="text1"/>
          <w:sz w:val="24"/>
          <w:szCs w:val="24"/>
          <w14:textFill>
            <w14:solidFill>
              <w14:schemeClr w14:val="tx1"/>
            </w14:solidFill>
          </w14:textFill>
        </w:rPr>
        <w:t>屋面防水卷材在女儿墙等收口部位应采用耐腐蚀的金属材料压条</w:t>
      </w:r>
      <w:r>
        <w:rPr>
          <w:rFonts w:hint="eastAsia" w:ascii="仿宋" w:hAnsi="仿宋" w:cs="仿宋"/>
          <w:color w:val="000000" w:themeColor="text1"/>
          <w:sz w:val="24"/>
          <w:szCs w:val="24"/>
          <w:lang w:eastAsia="zh-CN"/>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如不锈钢、铝合金等</w:t>
      </w:r>
      <w:r>
        <w:rPr>
          <w:rFonts w:hint="eastAsia" w:ascii="仿宋" w:hAnsi="仿宋" w:cs="仿宋"/>
          <w:color w:val="000000" w:themeColor="text1"/>
          <w:sz w:val="24"/>
          <w:szCs w:val="24"/>
          <w:lang w:eastAsia="zh-CN"/>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钉牢</w:t>
      </w:r>
      <w:bookmarkEnd w:id="71"/>
      <w:r>
        <w:rPr>
          <w:rFonts w:hint="eastAsia" w:ascii="仿宋" w:hAnsi="仿宋" w:cs="仿宋"/>
          <w:color w:val="000000" w:themeColor="text1"/>
          <w:sz w:val="24"/>
          <w:szCs w:val="24"/>
          <w14:textFill>
            <w14:solidFill>
              <w14:schemeClr w14:val="tx1"/>
            </w14:solidFill>
          </w14:textFill>
        </w:rPr>
        <w:t>；</w:t>
      </w:r>
    </w:p>
    <w:p w14:paraId="67D583E5">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4刚性保护层应选用不小于50mm厚C30混凝土并加抗裂措施。分隔缝间距不应大于6m</w:t>
      </w:r>
      <w:r>
        <w:rPr>
          <w:rFonts w:hint="eastAsia" w:ascii="仿宋" w:hAnsi="仿宋" w:cs="仿宋"/>
          <w:color w:val="000000" w:themeColor="text1"/>
          <w:sz w:val="24"/>
          <w:szCs w:val="24"/>
          <w:lang w:eastAsia="zh-CN"/>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宽度宜为10～20mm，缝内嵌填防水密封材料；</w:t>
      </w:r>
    </w:p>
    <w:p w14:paraId="6B6A8454">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ascii="仿宋" w:hAnsi="仿宋" w:cs="仿宋"/>
          <w:color w:val="000000" w:themeColor="text1"/>
          <w:sz w:val="24"/>
          <w:szCs w:val="24"/>
          <w14:textFill>
            <w14:solidFill>
              <w14:schemeClr w14:val="tx1"/>
            </w14:solidFill>
          </w14:textFill>
        </w:rPr>
        <w:t>应</w:t>
      </w:r>
      <w:r>
        <w:rPr>
          <w:rFonts w:hint="eastAsia" w:ascii="仿宋" w:hAnsi="仿宋" w:cs="仿宋"/>
          <w:color w:val="000000" w:themeColor="text1"/>
          <w:sz w:val="24"/>
          <w:szCs w:val="24"/>
          <w14:textFill>
            <w14:solidFill>
              <w14:schemeClr w14:val="tx1"/>
            </w14:solidFill>
          </w14:textFill>
        </w:rPr>
        <w:t>在</w:t>
      </w:r>
      <w:r>
        <w:rPr>
          <w:rFonts w:ascii="仿宋" w:hAnsi="仿宋" w:cs="仿宋"/>
          <w:color w:val="000000" w:themeColor="text1"/>
          <w:sz w:val="24"/>
          <w:szCs w:val="24"/>
          <w14:textFill>
            <w14:solidFill>
              <w14:schemeClr w14:val="tx1"/>
            </w14:solidFill>
          </w14:textFill>
        </w:rPr>
        <w:t>蓄水试验合格后</w:t>
      </w:r>
      <w:r>
        <w:rPr>
          <w:rFonts w:hint="eastAsia" w:ascii="仿宋" w:hAnsi="仿宋" w:cs="仿宋"/>
          <w:color w:val="000000" w:themeColor="text1"/>
          <w:sz w:val="24"/>
          <w:szCs w:val="24"/>
          <w14:textFill>
            <w14:solidFill>
              <w14:schemeClr w14:val="tx1"/>
            </w14:solidFill>
          </w14:textFill>
        </w:rPr>
        <w:t>，方可进行下道工序施工；</w:t>
      </w:r>
    </w:p>
    <w:p w14:paraId="7E11E161">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w:t>
      </w:r>
      <w:bookmarkStart w:id="72" w:name="OLE_LINK22"/>
      <w:r>
        <w:rPr>
          <w:rFonts w:hint="eastAsia" w:ascii="仿宋" w:hAnsi="仿宋" w:cs="仿宋"/>
          <w:color w:val="000000" w:themeColor="text1"/>
          <w:sz w:val="24"/>
          <w:szCs w:val="24"/>
          <w14:textFill>
            <w14:solidFill>
              <w14:schemeClr w14:val="tx1"/>
            </w14:solidFill>
          </w14:textFill>
        </w:rPr>
        <w:t>屋面多层构造应设计排气系统。女儿墙处排气管应贴墙设置，平面应沿分隔缝交叉点设置，排气帽设置于</w:t>
      </w:r>
      <w:r>
        <w:rPr>
          <w:rFonts w:ascii="仿宋" w:hAnsi="仿宋" w:cs="仿宋"/>
          <w:color w:val="000000" w:themeColor="text1"/>
          <w:sz w:val="24"/>
          <w:szCs w:val="24"/>
          <w14:textFill>
            <w14:solidFill>
              <w14:schemeClr w14:val="tx1"/>
            </w14:solidFill>
          </w14:textFill>
        </w:rPr>
        <w:t>屋面排水坡度较高处</w:t>
      </w:r>
      <w:bookmarkEnd w:id="72"/>
      <w:r>
        <w:rPr>
          <w:rFonts w:hint="eastAsia" w:ascii="仿宋" w:hAnsi="仿宋" w:cs="仿宋"/>
          <w:color w:val="000000" w:themeColor="text1"/>
          <w:sz w:val="24"/>
          <w:szCs w:val="24"/>
          <w14:textFill>
            <w14:solidFill>
              <w14:schemeClr w14:val="tx1"/>
            </w14:solidFill>
          </w14:textFill>
        </w:rPr>
        <w:t>（屋面完成面顶标高至排气帽底面标高不应小于250mm）。</w:t>
      </w:r>
    </w:p>
    <w:p w14:paraId="0D8B9B35">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6.5.8外墙结构工程防渗漏施工应符合下列要求：</w:t>
      </w:r>
    </w:p>
    <w:p w14:paraId="7146004E">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w:t>
      </w:r>
      <w:bookmarkStart w:id="73" w:name="OLE_LINK24"/>
      <w:r>
        <w:rPr>
          <w:rFonts w:hint="eastAsia" w:ascii="仿宋" w:hAnsi="仿宋" w:cs="仿宋"/>
          <w:color w:val="000000" w:themeColor="text1"/>
          <w:sz w:val="24"/>
          <w:szCs w:val="24"/>
          <w14:textFill>
            <w14:solidFill>
              <w14:schemeClr w14:val="tx1"/>
            </w14:solidFill>
          </w14:textFill>
        </w:rPr>
        <w:t>砌体工程应进行深化排版，合理组砌，严格控制砌体顶塞封堵停滞期</w:t>
      </w:r>
      <w:bookmarkEnd w:id="73"/>
      <w:r>
        <w:rPr>
          <w:rFonts w:hint="eastAsia" w:ascii="仿宋" w:hAnsi="仿宋" w:cs="仿宋"/>
          <w:color w:val="000000" w:themeColor="text1"/>
          <w:sz w:val="24"/>
          <w:szCs w:val="24"/>
          <w14:textFill>
            <w14:solidFill>
              <w14:schemeClr w14:val="tx1"/>
            </w14:solidFill>
          </w14:textFill>
        </w:rPr>
        <w:t>；</w:t>
      </w:r>
    </w:p>
    <w:p w14:paraId="62A9A4CA">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w:t>
      </w:r>
      <w:bookmarkStart w:id="74" w:name="OLE_LINK25"/>
      <w:r>
        <w:rPr>
          <w:rFonts w:hint="eastAsia" w:ascii="仿宋" w:hAnsi="仿宋" w:cs="仿宋"/>
          <w:color w:val="000000" w:themeColor="text1"/>
          <w:sz w:val="24"/>
          <w:szCs w:val="24"/>
          <w14:textFill>
            <w14:solidFill>
              <w14:schemeClr w14:val="tx1"/>
            </w14:solidFill>
          </w14:textFill>
        </w:rPr>
        <w:t>砌体顶塞可采用微膨胀细石混凝土、斜砖填塞密实，非标区域采用预制混凝土制品进行填塞密实</w:t>
      </w:r>
      <w:bookmarkEnd w:id="74"/>
      <w:r>
        <w:rPr>
          <w:rFonts w:hint="eastAsia" w:ascii="仿宋" w:hAnsi="仿宋" w:cs="仿宋"/>
          <w:color w:val="000000" w:themeColor="text1"/>
          <w:sz w:val="24"/>
          <w:szCs w:val="24"/>
          <w14:textFill>
            <w14:solidFill>
              <w14:schemeClr w14:val="tx1"/>
            </w14:solidFill>
          </w14:textFill>
        </w:rPr>
        <w:t>；</w:t>
      </w:r>
    </w:p>
    <w:p w14:paraId="7B6D7317">
      <w:pPr>
        <w:snapToGrid w:val="0"/>
        <w:spacing w:line="360" w:lineRule="auto"/>
        <w:ind w:firstLine="560"/>
        <w:rPr>
          <w:rFonts w:ascii="仿宋" w:hAnsi="仿宋" w:cs="仿宋"/>
          <w:color w:val="000000" w:themeColor="text1"/>
          <w:sz w:val="24"/>
          <w:szCs w:val="24"/>
          <w14:textFill>
            <w14:solidFill>
              <w14:schemeClr w14:val="tx1"/>
            </w14:solidFill>
          </w14:textFill>
        </w:rPr>
      </w:pPr>
      <w:bookmarkStart w:id="75" w:name="OLE_LINK27"/>
      <w:r>
        <w:rPr>
          <w:rFonts w:hint="eastAsia" w:ascii="仿宋" w:hAnsi="仿宋" w:cs="仿宋"/>
          <w:color w:val="000000" w:themeColor="text1"/>
          <w:sz w:val="24"/>
          <w:szCs w:val="24"/>
          <w14:textFill>
            <w14:solidFill>
              <w14:schemeClr w14:val="tx1"/>
            </w14:solidFill>
          </w14:textFill>
        </w:rPr>
        <w:t>3外墙螺杆洞应进行扩孔处理，采用防水砂浆封堵，并应进行三遍防水加强；</w:t>
      </w:r>
    </w:p>
    <w:bookmarkEnd w:id="75"/>
    <w:p w14:paraId="48701D4C">
      <w:pPr>
        <w:snapToGrid w:val="0"/>
        <w:spacing w:line="360" w:lineRule="auto"/>
        <w:ind w:firstLine="560"/>
        <w:rPr>
          <w:rFonts w:ascii="仿宋" w:hAnsi="仿宋" w:cs="仿宋"/>
          <w:color w:val="000000" w:themeColor="text1"/>
          <w:sz w:val="24"/>
          <w:szCs w:val="24"/>
          <w14:textFill>
            <w14:solidFill>
              <w14:schemeClr w14:val="tx1"/>
            </w14:solidFill>
          </w14:textFill>
        </w:rPr>
      </w:pPr>
      <w:bookmarkStart w:id="76" w:name="OLE_LINK28"/>
      <w:r>
        <w:rPr>
          <w:rFonts w:hint="eastAsia" w:ascii="仿宋" w:hAnsi="仿宋" w:cs="仿宋"/>
          <w:color w:val="000000" w:themeColor="text1"/>
          <w:sz w:val="24"/>
          <w:szCs w:val="24"/>
          <w14:textFill>
            <w14:solidFill>
              <w14:schemeClr w14:val="tx1"/>
            </w14:solidFill>
          </w14:textFill>
        </w:rPr>
        <w:t>4预制构件与现浇构件结合面应凿毛，接缝处外侧进行防水加强</w:t>
      </w:r>
      <w:bookmarkEnd w:id="76"/>
      <w:r>
        <w:rPr>
          <w:rFonts w:hint="eastAsia" w:ascii="仿宋" w:hAnsi="仿宋" w:cs="仿宋"/>
          <w:color w:val="000000" w:themeColor="text1"/>
          <w:sz w:val="24"/>
          <w:szCs w:val="24"/>
          <w14:textFill>
            <w14:solidFill>
              <w14:schemeClr w14:val="tx1"/>
            </w14:solidFill>
          </w14:textFill>
        </w:rPr>
        <w:t>；</w:t>
      </w:r>
    </w:p>
    <w:p w14:paraId="04E9FEC5">
      <w:pPr>
        <w:snapToGrid w:val="0"/>
        <w:spacing w:line="360" w:lineRule="auto"/>
        <w:ind w:firstLine="560"/>
        <w:rPr>
          <w:rFonts w:hint="eastAsia" w:ascii="仿宋" w:hAnsi="仿宋" w:cs="仿宋"/>
          <w:color w:val="000000" w:themeColor="text1"/>
          <w:sz w:val="24"/>
          <w:szCs w:val="24"/>
          <w14:textFill>
            <w14:solidFill>
              <w14:schemeClr w14:val="tx1"/>
            </w14:solidFill>
          </w14:textFill>
        </w:rPr>
      </w:pPr>
      <w:bookmarkStart w:id="77" w:name="OLE_LINK29"/>
      <w:r>
        <w:rPr>
          <w:rFonts w:hint="eastAsia" w:ascii="仿宋" w:hAnsi="仿宋" w:cs="仿宋"/>
          <w:color w:val="000000" w:themeColor="text1"/>
          <w:sz w:val="24"/>
          <w:szCs w:val="24"/>
          <w14:textFill>
            <w14:solidFill>
              <w14:schemeClr w14:val="tx1"/>
            </w14:solidFill>
          </w14:textFill>
        </w:rPr>
        <w:t>5外窗与窗洞口四周应设置挡水坎、防水带或企口等构造；</w:t>
      </w:r>
      <w:bookmarkEnd w:id="77"/>
      <w:bookmarkStart w:id="78" w:name="OLE_LINK30"/>
    </w:p>
    <w:p w14:paraId="1E5A39C7">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6窗下框及两侧底部200mm范围内应采用防水砂浆填塞。</w:t>
      </w:r>
    </w:p>
    <w:bookmarkEnd w:id="78"/>
    <w:p w14:paraId="6F81E7AB">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6.5.9有水房间防渗漏施工应符合下列要求：</w:t>
      </w:r>
    </w:p>
    <w:p w14:paraId="7031A162">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w:t>
      </w:r>
      <w:bookmarkStart w:id="79" w:name="OLE_LINK31"/>
      <w:r>
        <w:rPr>
          <w:rFonts w:ascii="仿宋" w:hAnsi="仿宋" w:cs="仿宋"/>
          <w:color w:val="000000" w:themeColor="text1"/>
          <w:sz w:val="24"/>
          <w:szCs w:val="24"/>
          <w14:textFill>
            <w14:solidFill>
              <w14:schemeClr w14:val="tx1"/>
            </w14:solidFill>
          </w14:textFill>
        </w:rPr>
        <w:t>同层排水卫生间</w:t>
      </w:r>
      <w:r>
        <w:rPr>
          <w:rFonts w:hint="eastAsia" w:ascii="仿宋" w:hAnsi="仿宋" w:cs="仿宋"/>
          <w:color w:val="000000" w:themeColor="text1"/>
          <w:sz w:val="24"/>
          <w:szCs w:val="24"/>
          <w14:textFill>
            <w14:solidFill>
              <w14:schemeClr w14:val="tx1"/>
            </w14:solidFill>
          </w14:textFill>
        </w:rPr>
        <w:t>，下沉间模板设计应便于混凝土充分振捣。下沉间钢筋混凝土收面时，转角部位应抹成直径不小于50mm的圆角</w:t>
      </w:r>
      <w:bookmarkEnd w:id="79"/>
      <w:r>
        <w:rPr>
          <w:rFonts w:hint="eastAsia" w:ascii="仿宋" w:hAnsi="仿宋" w:cs="仿宋"/>
          <w:color w:val="000000" w:themeColor="text1"/>
          <w:sz w:val="24"/>
          <w:szCs w:val="24"/>
          <w14:textFill>
            <w14:solidFill>
              <w14:schemeClr w14:val="tx1"/>
            </w14:solidFill>
          </w14:textFill>
        </w:rPr>
        <w:t>；</w:t>
      </w:r>
    </w:p>
    <w:p w14:paraId="44466143">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w:t>
      </w:r>
      <w:bookmarkStart w:id="80" w:name="OLE_LINK32"/>
      <w:r>
        <w:rPr>
          <w:rFonts w:hint="eastAsia" w:ascii="仿宋" w:hAnsi="仿宋" w:cs="仿宋"/>
          <w:color w:val="000000" w:themeColor="text1"/>
          <w:sz w:val="24"/>
          <w:szCs w:val="24"/>
          <w14:textFill>
            <w14:solidFill>
              <w14:schemeClr w14:val="tx1"/>
            </w14:solidFill>
          </w14:textFill>
        </w:rPr>
        <w:t>应选用带溢水孔及清扫口的多功能地漏及配套的管件。施工中应采取防止杂物堵塞排水系统的措施</w:t>
      </w:r>
      <w:bookmarkEnd w:id="80"/>
      <w:r>
        <w:rPr>
          <w:rFonts w:hint="eastAsia" w:ascii="仿宋" w:hAnsi="仿宋" w:cs="仿宋"/>
          <w:color w:val="000000" w:themeColor="text1"/>
          <w:sz w:val="24"/>
          <w:szCs w:val="24"/>
          <w14:textFill>
            <w14:solidFill>
              <w14:schemeClr w14:val="tx1"/>
            </w14:solidFill>
          </w14:textFill>
        </w:rPr>
        <w:t>；</w:t>
      </w:r>
    </w:p>
    <w:p w14:paraId="5DAB9D66">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w:t>
      </w:r>
      <w:bookmarkStart w:id="81" w:name="OLE_LINK33"/>
      <w:r>
        <w:rPr>
          <w:rFonts w:hint="eastAsia" w:ascii="仿宋" w:hAnsi="仿宋" w:cs="仿宋"/>
          <w:color w:val="000000" w:themeColor="text1"/>
          <w:sz w:val="24"/>
          <w:szCs w:val="24"/>
          <w14:textFill>
            <w14:solidFill>
              <w14:schemeClr w14:val="tx1"/>
            </w14:solidFill>
          </w14:textFill>
        </w:rPr>
        <w:t>应设置高度不小于200mm的C20细石混凝土导墙。施工前应按要求凿毛，模板及支撑安装牢固</w:t>
      </w:r>
      <w:bookmarkEnd w:id="81"/>
      <w:r>
        <w:rPr>
          <w:rFonts w:hint="eastAsia" w:ascii="仿宋" w:hAnsi="仿宋" w:cs="仿宋"/>
          <w:color w:val="000000" w:themeColor="text1"/>
          <w:sz w:val="24"/>
          <w:szCs w:val="24"/>
          <w14:textFill>
            <w14:solidFill>
              <w14:schemeClr w14:val="tx1"/>
            </w14:solidFill>
          </w14:textFill>
        </w:rPr>
        <w:t>；</w:t>
      </w:r>
    </w:p>
    <w:p w14:paraId="5E1A3C10">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w:t>
      </w:r>
      <w:bookmarkStart w:id="82" w:name="OLE_LINK34"/>
      <w:r>
        <w:rPr>
          <w:rFonts w:hint="eastAsia" w:ascii="仿宋" w:hAnsi="仿宋" w:cs="仿宋"/>
          <w:color w:val="000000" w:themeColor="text1"/>
          <w:sz w:val="24"/>
          <w:szCs w:val="24"/>
          <w14:textFill>
            <w14:solidFill>
              <w14:schemeClr w14:val="tx1"/>
            </w14:solidFill>
          </w14:textFill>
        </w:rPr>
        <w:t>管道根部洞口应使用微膨胀细石混凝土吊模分层浇筑；</w:t>
      </w:r>
    </w:p>
    <w:bookmarkEnd w:id="82"/>
    <w:p w14:paraId="3CA75B07">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bookmarkStart w:id="83" w:name="OLE_LINK35"/>
      <w:r>
        <w:rPr>
          <w:rFonts w:hint="eastAsia" w:ascii="仿宋" w:hAnsi="仿宋" w:cs="仿宋"/>
          <w:color w:val="000000" w:themeColor="text1"/>
          <w:sz w:val="24"/>
          <w:szCs w:val="24"/>
          <w14:textFill>
            <w14:solidFill>
              <w14:schemeClr w14:val="tx1"/>
            </w14:solidFill>
          </w14:textFill>
        </w:rPr>
        <w:t>排水管道穿越楼板宜优先采用止水节，其他穿越楼板的管道应采用止水套管。采用装配式叠合板时，止水节、止水套管应按设计要求在叠合板内预埋到位</w:t>
      </w:r>
      <w:bookmarkEnd w:id="83"/>
      <w:r>
        <w:rPr>
          <w:rFonts w:hint="eastAsia" w:ascii="仿宋" w:hAnsi="仿宋" w:cs="仿宋"/>
          <w:color w:val="000000" w:themeColor="text1"/>
          <w:sz w:val="24"/>
          <w:szCs w:val="24"/>
          <w14:textFill>
            <w14:solidFill>
              <w14:schemeClr w14:val="tx1"/>
            </w14:solidFill>
          </w14:textFill>
        </w:rPr>
        <w:t>；</w:t>
      </w:r>
    </w:p>
    <w:p w14:paraId="61023007">
      <w:pPr>
        <w:snapToGrid w:val="0"/>
        <w:spacing w:line="360" w:lineRule="auto"/>
        <w:ind w:firstLine="560"/>
        <w:rPr>
          <w:rFonts w:ascii="仿宋" w:hAnsi="仿宋" w:cs="仿宋"/>
          <w:color w:val="000000" w:themeColor="text1"/>
          <w:sz w:val="24"/>
          <w:szCs w:val="24"/>
          <w14:textFill>
            <w14:solidFill>
              <w14:schemeClr w14:val="tx1"/>
            </w14:solidFill>
          </w14:textFill>
        </w:rPr>
      </w:pPr>
      <w:bookmarkStart w:id="84" w:name="OLE_LINK37"/>
      <w:r>
        <w:rPr>
          <w:rFonts w:hint="eastAsia" w:ascii="仿宋" w:hAnsi="仿宋" w:cs="仿宋"/>
          <w:color w:val="000000" w:themeColor="text1"/>
          <w:sz w:val="24"/>
          <w:szCs w:val="24"/>
          <w14:textFill>
            <w14:solidFill>
              <w14:schemeClr w14:val="tx1"/>
            </w14:solidFill>
          </w14:textFill>
        </w:rPr>
        <w:t>6有水房间在混凝土结构施工完成后应进行结构闭水试验，对存在渗漏的部位进行结构防渗漏修补，确保结构无渗漏</w:t>
      </w:r>
      <w:bookmarkEnd w:id="84"/>
      <w:r>
        <w:rPr>
          <w:rFonts w:hint="eastAsia" w:ascii="仿宋" w:hAnsi="仿宋" w:cs="仿宋"/>
          <w:color w:val="000000" w:themeColor="text1"/>
          <w:sz w:val="24"/>
          <w:szCs w:val="24"/>
          <w14:textFill>
            <w14:solidFill>
              <w14:schemeClr w14:val="tx1"/>
            </w14:solidFill>
          </w14:textFill>
        </w:rPr>
        <w:t>；</w:t>
      </w:r>
    </w:p>
    <w:p w14:paraId="19F09692">
      <w:pPr>
        <w:snapToGrid w:val="0"/>
        <w:spacing w:line="360" w:lineRule="auto"/>
        <w:ind w:firstLine="560"/>
        <w:rPr>
          <w:rFonts w:ascii="仿宋" w:hAnsi="仿宋" w:cs="仿宋"/>
          <w:color w:val="000000" w:themeColor="text1"/>
          <w:sz w:val="24"/>
          <w:szCs w:val="24"/>
          <w14:textFill>
            <w14:solidFill>
              <w14:schemeClr w14:val="tx1"/>
            </w14:solidFill>
          </w14:textFill>
        </w:rPr>
      </w:pPr>
      <w:bookmarkStart w:id="85" w:name="OLE_LINK38"/>
      <w:r>
        <w:rPr>
          <w:rFonts w:hint="eastAsia" w:ascii="仿宋" w:hAnsi="仿宋" w:cs="仿宋"/>
          <w:color w:val="000000" w:themeColor="text1"/>
          <w:sz w:val="24"/>
          <w:szCs w:val="24"/>
          <w14:textFill>
            <w14:solidFill>
              <w14:schemeClr w14:val="tx1"/>
            </w14:solidFill>
          </w14:textFill>
        </w:rPr>
        <w:t>7</w:t>
      </w:r>
      <w:r>
        <w:rPr>
          <w:rFonts w:ascii="仿宋" w:hAnsi="仿宋" w:cs="仿宋"/>
          <w:color w:val="000000" w:themeColor="text1"/>
          <w:sz w:val="24"/>
          <w:szCs w:val="24"/>
          <w14:textFill>
            <w14:solidFill>
              <w14:schemeClr w14:val="tx1"/>
            </w14:solidFill>
          </w14:textFill>
        </w:rPr>
        <w:t>防水层施工完成和工程竣工验收时，应各做一次蓄水试验，</w:t>
      </w:r>
      <w:r>
        <w:rPr>
          <w:rFonts w:hint="eastAsia" w:ascii="仿宋" w:hAnsi="仿宋" w:cs="仿宋"/>
          <w:color w:val="000000" w:themeColor="text1"/>
          <w:sz w:val="24"/>
          <w:szCs w:val="24"/>
          <w14:textFill>
            <w14:solidFill>
              <w14:schemeClr w14:val="tx1"/>
            </w14:solidFill>
          </w14:textFill>
        </w:rPr>
        <w:t>蓄水时间不应小于24小时，蓄水高度不宜小于20mm。</w:t>
      </w:r>
    </w:p>
    <w:bookmarkEnd w:id="85"/>
    <w:p w14:paraId="08828296">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6.5.10外保温工程防开裂、脱落施工应符合下列要求：</w:t>
      </w:r>
    </w:p>
    <w:p w14:paraId="19619B98">
      <w:pPr>
        <w:snapToGrid w:val="0"/>
        <w:spacing w:line="360" w:lineRule="auto"/>
        <w:ind w:firstLine="560"/>
        <w:rPr>
          <w:rFonts w:ascii="仿宋" w:hAnsi="仿宋" w:cs="仿宋"/>
          <w:color w:val="000000" w:themeColor="text1"/>
          <w:sz w:val="24"/>
          <w:szCs w:val="24"/>
          <w14:textFill>
            <w14:solidFill>
              <w14:schemeClr w14:val="tx1"/>
            </w14:solidFill>
          </w14:textFill>
        </w:rPr>
      </w:pPr>
      <w:bookmarkStart w:id="86" w:name="OLE_LINK40"/>
      <w:r>
        <w:rPr>
          <w:rFonts w:hint="eastAsia" w:ascii="仿宋" w:hAnsi="仿宋" w:cs="仿宋"/>
          <w:color w:val="000000" w:themeColor="text1"/>
          <w:sz w:val="24"/>
          <w:szCs w:val="24"/>
          <w14:textFill>
            <w14:solidFill>
              <w14:schemeClr w14:val="tx1"/>
            </w14:solidFill>
          </w14:textFill>
        </w:rPr>
        <w:t>1严格控制外保温系统中聚合物砂浆、保温板材及锚栓等材料的质量；</w:t>
      </w:r>
      <w:bookmarkEnd w:id="86"/>
    </w:p>
    <w:p w14:paraId="0B04894C">
      <w:pPr>
        <w:snapToGrid w:val="0"/>
        <w:spacing w:line="360" w:lineRule="auto"/>
        <w:ind w:firstLine="560"/>
        <w:rPr>
          <w:rFonts w:ascii="仿宋" w:hAnsi="仿宋" w:cs="仿宋"/>
          <w:color w:val="000000" w:themeColor="text1"/>
          <w:sz w:val="24"/>
          <w:szCs w:val="24"/>
          <w14:textFill>
            <w14:solidFill>
              <w14:schemeClr w14:val="tx1"/>
            </w14:solidFill>
          </w14:textFill>
        </w:rPr>
      </w:pPr>
      <w:bookmarkStart w:id="87" w:name="OLE_LINK41"/>
      <w:r>
        <w:rPr>
          <w:rFonts w:hint="eastAsia" w:ascii="仿宋" w:hAnsi="仿宋" w:cs="仿宋"/>
          <w:color w:val="000000" w:themeColor="text1"/>
          <w:sz w:val="24"/>
          <w:szCs w:val="24"/>
          <w14:textFill>
            <w14:solidFill>
              <w14:schemeClr w14:val="tx1"/>
            </w14:solidFill>
          </w14:textFill>
        </w:rPr>
        <w:t>2保温板粘结面采用点框法施工时，排板应按水平顺序进行，上下应错缝粘贴，</w:t>
      </w:r>
      <w:r>
        <w:rPr>
          <w:rFonts w:ascii="仿宋" w:hAnsi="仿宋" w:cs="仿宋"/>
          <w:color w:val="000000" w:themeColor="text1"/>
          <w:sz w:val="24"/>
          <w:szCs w:val="24"/>
          <w14:textFill>
            <w14:solidFill>
              <w14:schemeClr w14:val="tx1"/>
            </w14:solidFill>
          </w14:textFill>
        </w:rPr>
        <w:t>阴阳角处应做错茬处理</w:t>
      </w:r>
      <w:r>
        <w:rPr>
          <w:rFonts w:hint="eastAsia" w:ascii="仿宋" w:hAnsi="仿宋" w:cs="仿宋"/>
          <w:color w:val="000000" w:themeColor="text1"/>
          <w:sz w:val="24"/>
          <w:szCs w:val="24"/>
          <w14:textFill>
            <w14:solidFill>
              <w14:schemeClr w14:val="tx1"/>
            </w14:solidFill>
          </w14:textFill>
        </w:rPr>
        <w:t>。洞口四角处保温板应采用整板套割成型，不得拼接</w:t>
      </w:r>
      <w:bookmarkEnd w:id="87"/>
      <w:r>
        <w:rPr>
          <w:rFonts w:hint="eastAsia" w:ascii="仿宋" w:hAnsi="仿宋" w:cs="仿宋"/>
          <w:color w:val="000000" w:themeColor="text1"/>
          <w:sz w:val="24"/>
          <w:szCs w:val="24"/>
          <w14:textFill>
            <w14:solidFill>
              <w14:schemeClr w14:val="tx1"/>
            </w14:solidFill>
          </w14:textFill>
        </w:rPr>
        <w:t>；</w:t>
      </w:r>
    </w:p>
    <w:p w14:paraId="3C154A27">
      <w:pPr>
        <w:snapToGrid w:val="0"/>
        <w:spacing w:line="360" w:lineRule="auto"/>
        <w:ind w:firstLine="56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3不同墙体基体材料交接处应采取钉钢丝网等抗裂措施，并符合下列要求：</w:t>
      </w:r>
    </w:p>
    <w:p w14:paraId="397D1D86">
      <w:pPr>
        <w:snapToGrid w:val="0"/>
        <w:spacing w:line="360" w:lineRule="auto"/>
        <w:ind w:firstLine="56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eastAsia="zh-CN"/>
          <w14:textFill>
            <w14:solidFill>
              <w14:schemeClr w14:val="tx1"/>
            </w14:solidFill>
          </w14:textFill>
        </w:rPr>
        <w:t>1）</w:t>
      </w:r>
      <w:bookmarkStart w:id="88" w:name="OLE_LINK42"/>
      <w:r>
        <w:rPr>
          <w:rFonts w:hint="eastAsia" w:ascii="仿宋" w:hAnsi="仿宋" w:cs="仿宋"/>
          <w:color w:val="000000" w:themeColor="text1"/>
          <w:sz w:val="24"/>
          <w:szCs w:val="24"/>
          <w14:textFill>
            <w14:solidFill>
              <w14:schemeClr w14:val="tx1"/>
            </w14:solidFill>
          </w14:textFill>
        </w:rPr>
        <w:t>钢丝网与不同基体的搭接宽度每边不应小于100mm;</w:t>
      </w:r>
      <w:bookmarkEnd w:id="88"/>
    </w:p>
    <w:p w14:paraId="7820A8CC">
      <w:pPr>
        <w:snapToGrid w:val="0"/>
        <w:spacing w:line="360" w:lineRule="auto"/>
        <w:ind w:firstLine="56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eastAsia="zh-CN"/>
          <w14:textFill>
            <w14:solidFill>
              <w14:schemeClr w14:val="tx1"/>
            </w14:solidFill>
          </w14:textFill>
        </w:rPr>
        <w:t>2）</w:t>
      </w:r>
      <w:bookmarkStart w:id="89" w:name="OLE_LINK43"/>
      <w:r>
        <w:rPr>
          <w:rFonts w:hint="eastAsia" w:ascii="仿宋" w:hAnsi="仿宋" w:cs="仿宋"/>
          <w:color w:val="000000" w:themeColor="text1"/>
          <w:sz w:val="24"/>
          <w:szCs w:val="24"/>
          <w14:textFill>
            <w14:solidFill>
              <w14:schemeClr w14:val="tx1"/>
            </w14:solidFill>
          </w14:textFill>
        </w:rPr>
        <w:t>钢丝网片的网孔尺寸不应大于20mm×20mm</w:t>
      </w:r>
      <w:r>
        <w:rPr>
          <w:rFonts w:hint="eastAsia" w:ascii="仿宋" w:hAnsi="仿宋" w:cs="仿宋"/>
          <w:color w:val="000000" w:themeColor="text1"/>
          <w:sz w:val="24"/>
          <w:szCs w:val="24"/>
          <w:lang w:eastAsia="zh-CN"/>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钢丝直径不应小于1.2mm</w:t>
      </w:r>
      <w:bookmarkEnd w:id="89"/>
      <w:r>
        <w:rPr>
          <w:rFonts w:hint="eastAsia" w:ascii="仿宋" w:hAnsi="仿宋" w:cs="仿宋"/>
          <w:color w:val="000000" w:themeColor="text1"/>
          <w:sz w:val="24"/>
          <w:szCs w:val="24"/>
          <w14:textFill>
            <w14:solidFill>
              <w14:schemeClr w14:val="tx1"/>
            </w14:solidFill>
          </w14:textFill>
        </w:rPr>
        <w:t>，钢丝网宜采用先成网后镀锌的后热镀锌电焊网。</w:t>
      </w:r>
    </w:p>
    <w:p w14:paraId="305923AC">
      <w:pPr>
        <w:snapToGrid w:val="0"/>
        <w:spacing w:line="360" w:lineRule="auto"/>
        <w:ind w:firstLine="56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4应在保温板粘贴至少24h后方可安装锚栓</w:t>
      </w:r>
      <w:r>
        <w:rPr>
          <w:rFonts w:hint="eastAsia" w:ascii="仿宋" w:hAnsi="仿宋" w:cs="仿宋"/>
          <w:color w:val="000000" w:themeColor="text1"/>
          <w:sz w:val="24"/>
          <w:szCs w:val="24"/>
          <w14:textFill>
            <w14:solidFill>
              <w14:schemeClr w14:val="tx1"/>
            </w14:solidFill>
          </w14:textFill>
        </w:rPr>
        <w:t>，并符合下列要求：</w:t>
      </w:r>
    </w:p>
    <w:p w14:paraId="5E3BC1C4">
      <w:pPr>
        <w:snapToGrid w:val="0"/>
        <w:spacing w:line="360" w:lineRule="auto"/>
        <w:ind w:firstLine="56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eastAsia="zh-CN"/>
          <w14:textFill>
            <w14:solidFill>
              <w14:schemeClr w14:val="tx1"/>
            </w14:solidFill>
          </w14:textFill>
        </w:rPr>
        <w:t>1）</w:t>
      </w:r>
      <w:r>
        <w:rPr>
          <w:rFonts w:hint="eastAsia" w:ascii="仿宋" w:hAnsi="仿宋" w:cs="仿宋"/>
          <w:color w:val="000000" w:themeColor="text1"/>
          <w:sz w:val="24"/>
          <w:szCs w:val="24"/>
          <w14:textFill>
            <w14:solidFill>
              <w14:schemeClr w14:val="tx1"/>
            </w14:solidFill>
          </w14:textFill>
        </w:rPr>
        <w:t>应</w:t>
      </w:r>
      <w:bookmarkStart w:id="90" w:name="OLE_LINK45"/>
      <w:r>
        <w:rPr>
          <w:rFonts w:hint="eastAsia" w:ascii="仿宋" w:hAnsi="仿宋" w:cs="仿宋"/>
          <w:color w:val="000000" w:themeColor="text1"/>
          <w:sz w:val="24"/>
          <w:szCs w:val="24"/>
          <w14:textFill>
            <w14:solidFill>
              <w14:schemeClr w14:val="tx1"/>
            </w14:solidFill>
          </w14:textFill>
        </w:rPr>
        <w:t>按设计位置打孔</w:t>
      </w:r>
      <w:r>
        <w:rPr>
          <w:rFonts w:hint="eastAsia" w:ascii="仿宋" w:hAnsi="仿宋" w:cs="仿宋"/>
          <w:color w:val="000000" w:themeColor="text1"/>
          <w:sz w:val="24"/>
          <w:szCs w:val="24"/>
          <w14:textFill>
            <w14:solidFill>
              <w14:schemeClr w14:val="tx1"/>
            </w14:solidFill>
          </w14:textFill>
        </w:rPr>
        <w:t>，塞入胀塞套管，对套管孔保护处理后</w:t>
      </w:r>
      <w:r>
        <w:rPr>
          <w:rFonts w:hint="eastAsia" w:ascii="仿宋" w:hAnsi="仿宋" w:cs="仿宋"/>
          <w:color w:val="000000" w:themeColor="text1"/>
          <w:sz w:val="24"/>
          <w:szCs w:val="24"/>
          <w14:textFill>
            <w14:solidFill>
              <w14:schemeClr w14:val="tx1"/>
            </w14:solidFill>
          </w14:textFill>
        </w:rPr>
        <w:t>抹底层抹面胶浆</w:t>
      </w:r>
      <w:bookmarkEnd w:id="90"/>
      <w:r>
        <w:rPr>
          <w:rFonts w:hint="eastAsia" w:ascii="仿宋" w:hAnsi="仿宋" w:cs="仿宋"/>
          <w:color w:val="000000" w:themeColor="text1"/>
          <w:sz w:val="24"/>
          <w:szCs w:val="24"/>
          <w14:textFill>
            <w14:solidFill>
              <w14:schemeClr w14:val="tx1"/>
            </w14:solidFill>
          </w14:textFill>
        </w:rPr>
        <w:t>；</w:t>
      </w:r>
    </w:p>
    <w:p w14:paraId="5308A9C4">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eastAsia="zh-CN"/>
          <w14:textFill>
            <w14:solidFill>
              <w14:schemeClr w14:val="tx1"/>
            </w14:solidFill>
          </w14:textFill>
        </w:rPr>
        <w:t>2）</w:t>
      </w:r>
      <w:bookmarkStart w:id="91" w:name="OLE_LINK46"/>
      <w:r>
        <w:rPr>
          <w:rFonts w:hint="eastAsia" w:ascii="仿宋" w:hAnsi="仿宋" w:cs="仿宋"/>
          <w:color w:val="000000" w:themeColor="text1"/>
          <w:sz w:val="24"/>
          <w:szCs w:val="24"/>
          <w14:textFill>
            <w14:solidFill>
              <w14:schemeClr w14:val="tx1"/>
            </w14:solidFill>
          </w14:textFill>
        </w:rPr>
        <w:t>网格布铺设后，应将锚固钉</w:t>
      </w:r>
      <w:r>
        <w:rPr>
          <w:rFonts w:hint="eastAsia" w:ascii="仿宋" w:hAnsi="仿宋" w:cs="仿宋"/>
          <w:color w:val="000000" w:themeColor="text1"/>
          <w:sz w:val="24"/>
          <w:szCs w:val="24"/>
          <w:lang w:eastAsia="zh-CN"/>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附垫片</w:t>
      </w:r>
      <w:r>
        <w:rPr>
          <w:rFonts w:hint="eastAsia" w:ascii="仿宋" w:hAnsi="仿宋" w:cs="仿宋"/>
          <w:color w:val="000000" w:themeColor="text1"/>
          <w:sz w:val="24"/>
          <w:szCs w:val="24"/>
          <w:lang w:eastAsia="zh-CN"/>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压住网格布拧入或敲入胀塞套管，然后拧紧</w:t>
      </w:r>
      <w:bookmarkEnd w:id="91"/>
      <w:r>
        <w:rPr>
          <w:rFonts w:hint="eastAsia" w:ascii="仿宋" w:hAnsi="仿宋" w:cs="仿宋"/>
          <w:color w:val="000000" w:themeColor="text1"/>
          <w:sz w:val="24"/>
          <w:szCs w:val="24"/>
          <w14:textFill>
            <w14:solidFill>
              <w14:schemeClr w14:val="tx1"/>
            </w14:solidFill>
          </w14:textFill>
        </w:rPr>
        <w:t>。</w:t>
      </w:r>
    </w:p>
    <w:p w14:paraId="4A20B274">
      <w:pPr>
        <w:snapToGrid w:val="0"/>
        <w:spacing w:line="360" w:lineRule="auto"/>
        <w:ind w:firstLine="560"/>
        <w:rPr>
          <w:rFonts w:ascii="仿宋" w:hAnsi="仿宋" w:cs="仿宋"/>
          <w:color w:val="000000" w:themeColor="text1"/>
          <w:sz w:val="24"/>
          <w:szCs w:val="24"/>
          <w14:textFill>
            <w14:solidFill>
              <w14:schemeClr w14:val="tx1"/>
            </w14:solidFill>
          </w14:textFill>
        </w:rPr>
      </w:pPr>
      <w:bookmarkStart w:id="92" w:name="OLE_LINK47"/>
      <w:r>
        <w:rPr>
          <w:rFonts w:hint="eastAsia" w:ascii="仿宋" w:hAnsi="仿宋" w:cs="仿宋"/>
          <w:color w:val="000000" w:themeColor="text1"/>
          <w:sz w:val="24"/>
          <w:szCs w:val="24"/>
          <w14:textFill>
            <w14:solidFill>
              <w14:schemeClr w14:val="tx1"/>
            </w14:solidFill>
          </w14:textFill>
        </w:rPr>
        <w:t>5锚固件数量、锚入基层墙体深度应符合设计和相关标准要求，宜均匀分布，靠近墙面阳角、洞口四周应适当增多。</w:t>
      </w:r>
      <w:bookmarkEnd w:id="92"/>
    </w:p>
    <w:p w14:paraId="24F4C445">
      <w:pPr>
        <w:snapToGrid w:val="0"/>
        <w:spacing w:line="360" w:lineRule="auto"/>
        <w:ind w:firstLine="0" w:firstLineChars="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6.5</w:t>
      </w:r>
      <w:r>
        <w:rPr>
          <w:rFonts w:hint="eastAsia" w:ascii="仿宋" w:hAnsi="仿宋" w:cs="仿宋"/>
          <w:color w:val="000000" w:themeColor="text1"/>
          <w:sz w:val="24"/>
          <w:szCs w:val="24"/>
          <w14:textFill>
            <w14:solidFill>
              <w14:schemeClr w14:val="tx1"/>
            </w14:solidFill>
          </w14:textFill>
        </w:rPr>
        <w:t>.11外窗工程密封、隔声施工应符合下列要求：</w:t>
      </w:r>
    </w:p>
    <w:p w14:paraId="4ABD7048">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w:t>
      </w:r>
      <w:bookmarkStart w:id="93" w:name="OLE_LINK49"/>
      <w:r>
        <w:rPr>
          <w:rFonts w:hint="eastAsia" w:ascii="仿宋" w:hAnsi="仿宋" w:cs="仿宋"/>
          <w:color w:val="000000" w:themeColor="text1"/>
          <w:sz w:val="24"/>
          <w:szCs w:val="24"/>
          <w14:textFill>
            <w14:solidFill>
              <w14:schemeClr w14:val="tx1"/>
            </w14:solidFill>
          </w14:textFill>
        </w:rPr>
        <w:t>窗扇与窗框、玻璃与窗扇间应设置</w:t>
      </w:r>
      <w:r>
        <w:rPr>
          <w:rFonts w:ascii="仿宋" w:hAnsi="仿宋" w:cs="仿宋"/>
          <w:color w:val="000000" w:themeColor="text1"/>
          <w:sz w:val="24"/>
          <w:szCs w:val="24"/>
          <w14:textFill>
            <w14:solidFill>
              <w14:schemeClr w14:val="tx1"/>
            </w14:solidFill>
          </w14:textFill>
        </w:rPr>
        <w:t>耐久性好的弹性密封条</w:t>
      </w:r>
      <w:r>
        <w:rPr>
          <w:rFonts w:hint="eastAsia" w:ascii="仿宋" w:hAnsi="仿宋" w:cs="仿宋"/>
          <w:color w:val="000000" w:themeColor="text1"/>
          <w:sz w:val="24"/>
          <w:szCs w:val="24"/>
          <w14:textFill>
            <w14:solidFill>
              <w14:schemeClr w14:val="tx1"/>
            </w14:solidFill>
          </w14:textFill>
        </w:rPr>
        <w:t>，安装完整、牢固，不得脱槽</w:t>
      </w:r>
      <w:bookmarkEnd w:id="93"/>
      <w:r>
        <w:rPr>
          <w:rFonts w:hint="eastAsia" w:ascii="仿宋" w:hAnsi="仿宋" w:cs="仿宋"/>
          <w:color w:val="000000" w:themeColor="text1"/>
          <w:sz w:val="24"/>
          <w:szCs w:val="24"/>
          <w14:textFill>
            <w14:solidFill>
              <w14:schemeClr w14:val="tx1"/>
            </w14:solidFill>
          </w14:textFill>
        </w:rPr>
        <w:t>；</w:t>
      </w:r>
    </w:p>
    <w:p w14:paraId="17466B0B">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w:t>
      </w:r>
      <w:bookmarkStart w:id="94" w:name="OLE_LINK50"/>
      <w:r>
        <w:rPr>
          <w:rFonts w:hint="eastAsia" w:ascii="仿宋" w:hAnsi="仿宋" w:cs="仿宋"/>
          <w:color w:val="000000" w:themeColor="text1"/>
          <w:sz w:val="24"/>
          <w:szCs w:val="24"/>
          <w14:textFill>
            <w14:solidFill>
              <w14:schemeClr w14:val="tx1"/>
            </w14:solidFill>
          </w14:textFill>
        </w:rPr>
        <w:t>窗框与洞口墙体间的安装缝隙应密封处理</w:t>
      </w:r>
      <w:bookmarkEnd w:id="94"/>
      <w:r>
        <w:rPr>
          <w:rFonts w:hint="eastAsia" w:ascii="仿宋" w:hAnsi="仿宋" w:cs="仿宋"/>
          <w:color w:val="000000" w:themeColor="text1"/>
          <w:sz w:val="24"/>
          <w:szCs w:val="24"/>
          <w14:textFill>
            <w14:solidFill>
              <w14:schemeClr w14:val="tx1"/>
            </w14:solidFill>
          </w14:textFill>
        </w:rPr>
        <w:t>；</w:t>
      </w:r>
    </w:p>
    <w:p w14:paraId="68768079">
      <w:pPr>
        <w:snapToGrid w:val="0"/>
        <w:spacing w:line="360" w:lineRule="auto"/>
        <w:ind w:firstLine="560"/>
        <w:rPr>
          <w:rFonts w:ascii="仿宋" w:hAnsi="仿宋" w:cs="仿宋"/>
          <w:color w:val="000000" w:themeColor="text1"/>
          <w:sz w:val="24"/>
          <w:szCs w:val="24"/>
          <w14:textFill>
            <w14:solidFill>
              <w14:schemeClr w14:val="tx1"/>
            </w14:solidFill>
          </w14:textFill>
        </w:rPr>
      </w:pPr>
      <w:bookmarkStart w:id="95" w:name="OLE_LINK53"/>
      <w:r>
        <w:rPr>
          <w:rFonts w:hint="eastAsia" w:ascii="仿宋" w:hAnsi="仿宋" w:cs="仿宋"/>
          <w:color w:val="000000" w:themeColor="text1"/>
          <w:sz w:val="24"/>
          <w:szCs w:val="24"/>
          <w14:textFill>
            <w14:solidFill>
              <w14:schemeClr w14:val="tx1"/>
            </w14:solidFill>
          </w14:textFill>
        </w:rPr>
        <w:t>3附框与洞口、门窗框与附框的连接应采用机械连接方式，并应牢固可靠。</w:t>
      </w:r>
      <w:bookmarkEnd w:id="95"/>
    </w:p>
    <w:p w14:paraId="74039695">
      <w:pPr>
        <w:snapToGrid w:val="0"/>
        <w:spacing w:line="360" w:lineRule="auto"/>
        <w:ind w:left="0" w:leftChars="0"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6.5.12屋面热桥部位施工应满足下列要求</w:t>
      </w:r>
      <w:r>
        <w:rPr>
          <w:rFonts w:hint="eastAsia" w:ascii="仿宋" w:hAnsi="仿宋" w:cs="仿宋"/>
          <w:color w:val="000000" w:themeColor="text1"/>
          <w:sz w:val="24"/>
          <w:szCs w:val="24"/>
          <w:lang w:eastAsia="zh-CN"/>
          <w14:textFill>
            <w14:solidFill>
              <w14:schemeClr w14:val="tx1"/>
            </w14:solidFill>
          </w14:textFill>
        </w:rPr>
        <w:t>：</w:t>
      </w:r>
    </w:p>
    <w:p w14:paraId="64D692CB">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w:t>
      </w:r>
      <w:bookmarkStart w:id="96" w:name="OLE_LINK54"/>
      <w:r>
        <w:rPr>
          <w:rFonts w:ascii="仿宋" w:hAnsi="仿宋" w:cs="仿宋"/>
          <w:color w:val="000000" w:themeColor="text1"/>
          <w:sz w:val="24"/>
          <w:szCs w:val="24"/>
          <w14:textFill>
            <w14:solidFill>
              <w14:schemeClr w14:val="tx1"/>
            </w14:solidFill>
          </w14:textFill>
        </w:rPr>
        <w:t>屋面保温层应与外墙保温层、女儿墙保温层连续设置</w:t>
      </w:r>
      <w:r>
        <w:rPr>
          <w:rFonts w:hint="eastAsia" w:ascii="仿宋" w:hAnsi="仿宋" w:cs="仿宋"/>
          <w:color w:val="000000" w:themeColor="text1"/>
          <w:sz w:val="24"/>
          <w:szCs w:val="24"/>
          <w14:textFill>
            <w14:solidFill>
              <w14:schemeClr w14:val="tx1"/>
            </w14:solidFill>
          </w14:textFill>
        </w:rPr>
        <w:t>；</w:t>
      </w:r>
    </w:p>
    <w:bookmarkEnd w:id="96"/>
    <w:p w14:paraId="534AFEE2">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w:t>
      </w:r>
      <w:bookmarkStart w:id="97" w:name="OLE_LINK55"/>
      <w:r>
        <w:rPr>
          <w:rFonts w:hint="eastAsia" w:ascii="仿宋" w:hAnsi="仿宋" w:cs="仿宋"/>
          <w:color w:val="000000" w:themeColor="text1"/>
          <w:sz w:val="24"/>
          <w:szCs w:val="24"/>
          <w14:textFill>
            <w14:solidFill>
              <w14:schemeClr w14:val="tx1"/>
            </w14:solidFill>
          </w14:textFill>
        </w:rPr>
        <w:t>女儿墙、出屋面的结构风道等部位宜设置金属盖板，其与结构连接部位应采取阻断热桥的措施</w:t>
      </w:r>
      <w:bookmarkEnd w:id="97"/>
      <w:r>
        <w:rPr>
          <w:rFonts w:hint="eastAsia" w:ascii="仿宋" w:hAnsi="仿宋" w:cs="仿宋"/>
          <w:color w:val="000000" w:themeColor="text1"/>
          <w:sz w:val="24"/>
          <w:szCs w:val="24"/>
          <w14:textFill>
            <w14:solidFill>
              <w14:schemeClr w14:val="tx1"/>
            </w14:solidFill>
          </w14:textFill>
        </w:rPr>
        <w:t>；</w:t>
      </w:r>
    </w:p>
    <w:p w14:paraId="56BB7435">
      <w:pPr>
        <w:snapToGrid w:val="0"/>
        <w:spacing w:line="360" w:lineRule="auto"/>
        <w:ind w:firstLine="56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w:t>
      </w:r>
      <w:bookmarkStart w:id="98" w:name="OLE_LINK56"/>
      <w:r>
        <w:rPr>
          <w:rFonts w:hint="eastAsia" w:ascii="仿宋" w:hAnsi="仿宋" w:cs="仿宋"/>
          <w:color w:val="000000" w:themeColor="text1"/>
          <w:sz w:val="24"/>
          <w:szCs w:val="24"/>
          <w14:textFill>
            <w14:solidFill>
              <w14:schemeClr w14:val="tx1"/>
            </w14:solidFill>
          </w14:textFill>
        </w:rPr>
        <w:t>伸出屋面的管道应预埋套管保护，套管与管道间应填充保温材料；</w:t>
      </w:r>
    </w:p>
    <w:bookmarkEnd w:id="98"/>
    <w:p w14:paraId="2A5644E9">
      <w:pPr>
        <w:snapToGrid w:val="0"/>
        <w:spacing w:line="360" w:lineRule="auto"/>
        <w:ind w:firstLine="0" w:firstLineChars="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6.5.13</w:t>
      </w:r>
      <w:bookmarkStart w:id="99" w:name="OLE_LINK48"/>
      <w:r>
        <w:rPr>
          <w:rFonts w:hint="eastAsia" w:ascii="仿宋" w:hAnsi="仿宋" w:cs="仿宋"/>
          <w:color w:val="000000" w:themeColor="text1"/>
          <w:sz w:val="24"/>
          <w:szCs w:val="24"/>
          <w14:textFill>
            <w14:solidFill>
              <w14:schemeClr w14:val="tx1"/>
            </w14:solidFill>
          </w14:textFill>
        </w:rPr>
        <w:t>厨房柜体、卫生间湿区柜体背后墙、地面应满贴饰面砖</w:t>
      </w:r>
      <w:bookmarkEnd w:id="99"/>
      <w:r>
        <w:rPr>
          <w:rFonts w:hint="eastAsia" w:ascii="仿宋" w:hAnsi="仿宋" w:cs="仿宋"/>
          <w:color w:val="000000" w:themeColor="text1"/>
          <w:sz w:val="24"/>
          <w:szCs w:val="24"/>
          <w14:textFill>
            <w14:solidFill>
              <w14:schemeClr w14:val="tx1"/>
            </w14:solidFill>
          </w14:textFill>
        </w:rPr>
        <w:t>。</w:t>
      </w:r>
    </w:p>
    <w:p w14:paraId="0ACB1DDA">
      <w:pPr>
        <w:snapToGrid w:val="0"/>
        <w:spacing w:line="360" w:lineRule="auto"/>
        <w:ind w:firstLine="0" w:firstLineChars="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6.5.14机电工程减震、隔音施工应符合下列要求：</w:t>
      </w:r>
    </w:p>
    <w:p w14:paraId="2C2D8ECD">
      <w:pPr>
        <w:snapToGrid w:val="0"/>
        <w:spacing w:line="360" w:lineRule="auto"/>
        <w:ind w:firstLine="56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1水泵、空调主机、风机等重型设备应采用弹簧减震器或橡胶减震垫，振动设备与基础间宜设置惰性块。减震器选型需匹配设备重量及频率特性，静态压缩量控制在额定值的±10%以内；</w:t>
      </w:r>
    </w:p>
    <w:p w14:paraId="193C2E2B">
      <w:pPr>
        <w:snapToGrid w:val="0"/>
        <w:spacing w:line="360" w:lineRule="auto"/>
        <w:ind w:firstLine="56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管道与设备连接处应采用柔性接头（如橡胶软接、不锈钢波纹管），水平管道应适当设置弹性支吊架，垂直管道穿楼板时，宜加装减震套管。中央空调的冷媒管、给排水主管道等需采用隔震托架或减震吊架，避免振动传递至建筑结构；</w:t>
      </w:r>
    </w:p>
    <w:p w14:paraId="4D7B75F6">
      <w:pPr>
        <w:snapToGrid w:val="0"/>
        <w:spacing w:line="360" w:lineRule="auto"/>
        <w:ind w:firstLine="56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3风机进出口风管设置防火帆布软连接，长度≥150mm；风管支架与结构间加装橡胶隔震垫，间距不宜超过3</w:t>
      </w:r>
      <w:r>
        <w:rPr>
          <w:rFonts w:hint="eastAsia" w:ascii="仿宋" w:hAnsi="仿宋" w:cs="仿宋"/>
          <w:color w:val="000000" w:themeColor="text1"/>
          <w:sz w:val="24"/>
          <w:szCs w:val="24"/>
          <w:lang w:eastAsia="zh-CN"/>
          <w14:textFill>
            <w14:solidFill>
              <w14:schemeClr w14:val="tx1"/>
            </w14:solidFill>
          </w14:textFill>
        </w:rPr>
        <w:t>m</w:t>
      </w:r>
      <w:r>
        <w:rPr>
          <w:rFonts w:hint="eastAsia" w:ascii="仿宋" w:hAnsi="仿宋" w:cs="仿宋"/>
          <w:color w:val="000000" w:themeColor="text1"/>
          <w:sz w:val="24"/>
          <w:szCs w:val="24"/>
          <w14:textFill>
            <w14:solidFill>
              <w14:schemeClr w14:val="tx1"/>
            </w14:solidFill>
          </w14:textFill>
        </w:rPr>
        <w:t>；</w:t>
      </w:r>
    </w:p>
    <w:p w14:paraId="558E3E56">
      <w:pPr>
        <w:snapToGrid w:val="0"/>
        <w:spacing w:line="360" w:lineRule="auto"/>
        <w:ind w:firstLine="56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4给水立管管道宜采用柔性保温材料包裹；排水立管的静音管道，水平主管段宜采用隔振降噪支吊架；</w:t>
      </w:r>
    </w:p>
    <w:p w14:paraId="597D91D1">
      <w:pPr>
        <w:snapToGrid w:val="0"/>
        <w:spacing w:line="360" w:lineRule="auto"/>
        <w:ind w:firstLine="56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5风机盘管、新风风口与风管连接处应设消音软管；空调室内机吊装采用弹簧减震钩。</w:t>
      </w:r>
    </w:p>
    <w:p w14:paraId="4FE5ACB4">
      <w:pPr>
        <w:snapToGrid w:val="0"/>
        <w:spacing w:line="360" w:lineRule="auto"/>
        <w:ind w:firstLine="0" w:firstLineChars="0"/>
        <w:rPr>
          <w:rFonts w:hint="eastAsia" w:ascii="仿宋" w:hAnsi="仿宋" w:cs="仿宋"/>
          <w:color w:val="000000" w:themeColor="text1"/>
          <w:sz w:val="24"/>
          <w:szCs w:val="24"/>
          <w:lang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6.5.1</w:t>
      </w:r>
      <w:r>
        <w:rPr>
          <w:rFonts w:hint="eastAsia" w:ascii="仿宋" w:hAnsi="仿宋" w:cs="仿宋"/>
          <w:color w:val="000000" w:themeColor="text1"/>
          <w:sz w:val="24"/>
          <w:szCs w:val="24"/>
          <w:lang w:bidi="ar"/>
          <w14:textFill>
            <w14:solidFill>
              <w14:schemeClr w14:val="tx1"/>
            </w14:solidFill>
          </w14:textFill>
        </w:rPr>
        <w:t>5质量验收应符合下列要求：</w:t>
      </w:r>
    </w:p>
    <w:p w14:paraId="0442893D">
      <w:pPr>
        <w:snapToGrid w:val="0"/>
        <w:spacing w:line="360" w:lineRule="auto"/>
        <w:ind w:firstLine="56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1单位工程施工质量评价</w:t>
      </w:r>
      <w:r>
        <w:rPr>
          <w:rFonts w:ascii="仿宋" w:hAnsi="仿宋" w:cs="仿宋"/>
          <w:color w:val="000000" w:themeColor="text1"/>
          <w:sz w:val="24"/>
          <w:szCs w:val="24"/>
          <w:lang w:bidi="ar"/>
          <w14:textFill>
            <w14:solidFill>
              <w14:schemeClr w14:val="tx1"/>
            </w14:solidFill>
          </w14:textFill>
        </w:rPr>
        <w:t>应</w:t>
      </w:r>
      <w:r>
        <w:rPr>
          <w:rFonts w:hint="eastAsia" w:ascii="仿宋" w:hAnsi="仿宋" w:cs="仿宋"/>
          <w:color w:val="000000" w:themeColor="text1"/>
          <w:sz w:val="24"/>
          <w:szCs w:val="24"/>
          <w:lang w:bidi="ar"/>
          <w14:textFill>
            <w14:solidFill>
              <w14:schemeClr w14:val="tx1"/>
            </w14:solidFill>
          </w14:textFill>
        </w:rPr>
        <w:t>为优良等级；</w:t>
      </w:r>
    </w:p>
    <w:p w14:paraId="61B757D5">
      <w:pPr>
        <w:snapToGrid w:val="0"/>
        <w:spacing w:line="360" w:lineRule="auto"/>
        <w:ind w:firstLine="56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2绿色建筑的施工不应低于现行国家标准《绿色建筑评价标准》GB50378中二星级的要求；</w:t>
      </w:r>
    </w:p>
    <w:p w14:paraId="26954236">
      <w:pPr>
        <w:snapToGrid w:val="0"/>
        <w:spacing w:line="360" w:lineRule="auto"/>
        <w:ind w:firstLine="56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3绿色施工评价指标不应低于现行国家标准《建筑工程绿色施工评价标准》GB/T50640中优选项指标；</w:t>
      </w:r>
    </w:p>
    <w:p w14:paraId="3C4E6489">
      <w:pPr>
        <w:snapToGrid w:val="0"/>
        <w:spacing w:line="360" w:lineRule="auto"/>
        <w:ind w:firstLine="560"/>
        <w:rPr>
          <w:rFonts w:hint="eastAsia"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4室内空气污染物浓度应符合现行国家标准《建筑环境通用规范》GB55016的有关规定，</w:t>
      </w:r>
      <w:r>
        <w:rPr>
          <w:rFonts w:ascii="仿宋" w:hAnsi="仿宋" w:cs="仿宋"/>
          <w:color w:val="000000" w:themeColor="text1"/>
          <w:sz w:val="24"/>
          <w:szCs w:val="24"/>
          <w:lang w:bidi="ar"/>
          <w14:textFill>
            <w14:solidFill>
              <w14:schemeClr w14:val="tx1"/>
            </w14:solidFill>
          </w14:textFill>
        </w:rPr>
        <w:t>并满足I类民用建筑工程标准限量</w:t>
      </w:r>
      <w:r>
        <w:rPr>
          <w:rFonts w:hint="eastAsia" w:ascii="仿宋" w:hAnsi="仿宋" w:cs="仿宋"/>
          <w:color w:val="000000" w:themeColor="text1"/>
          <w:sz w:val="24"/>
          <w:szCs w:val="24"/>
          <w:lang w:bidi="ar"/>
          <w14:textFill>
            <w14:solidFill>
              <w14:schemeClr w14:val="tx1"/>
            </w14:solidFill>
          </w14:textFill>
        </w:rPr>
        <w:t>；</w:t>
      </w:r>
    </w:p>
    <w:p w14:paraId="5537052E">
      <w:pPr>
        <w:snapToGrid w:val="0"/>
        <w:spacing w:line="360" w:lineRule="auto"/>
        <w:ind w:firstLine="56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5应采用BIM技术进行施工协同管理，应用过程应符合现行地方标准《建筑信息模型施工应用标准》DB22/T5148的有关规定，竣工模型的细度等级不应</w:t>
      </w:r>
      <w:r>
        <w:rPr>
          <w:rFonts w:hint="eastAsia" w:ascii="仿宋" w:hAnsi="仿宋" w:cs="仿宋"/>
          <w:color w:val="000000" w:themeColor="text1"/>
          <w:sz w:val="24"/>
          <w:szCs w:val="24"/>
          <w:lang w:bidi="ar"/>
          <w14:textFill>
            <w14:solidFill>
              <w14:schemeClr w14:val="tx1"/>
            </w14:solidFill>
          </w14:textFill>
        </w:rPr>
        <w:t>低于LOD500；</w:t>
      </w:r>
    </w:p>
    <w:p w14:paraId="26C99419">
      <w:pPr>
        <w:snapToGrid w:val="0"/>
        <w:spacing w:line="360" w:lineRule="auto"/>
        <w:ind w:firstLine="560"/>
        <w:rPr>
          <w:rFonts w:hint="eastAsia"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w:t>
      </w:r>
      <w:r>
        <w:rPr>
          <w:rFonts w:ascii="仿宋" w:hAnsi="仿宋" w:cs="仿宋"/>
          <w:color w:val="000000" w:themeColor="text1"/>
          <w:sz w:val="24"/>
          <w:szCs w:val="24"/>
          <w:lang w:bidi="ar"/>
          <w14:textFill>
            <w14:solidFill>
              <w14:schemeClr w14:val="tx1"/>
            </w14:solidFill>
          </w14:textFill>
        </w:rPr>
        <w:t>分户验收应逐户逐间进行带水、带电、带负荷验收，物业应全程参与。</w:t>
      </w:r>
      <w:r>
        <w:rPr>
          <w:rFonts w:hint="eastAsia" w:ascii="仿宋" w:hAnsi="仿宋" w:cs="仿宋"/>
          <w:color w:val="000000" w:themeColor="text1"/>
          <w:sz w:val="24"/>
          <w:szCs w:val="24"/>
          <w:lang w:bidi="ar"/>
          <w14:textFill>
            <w14:solidFill>
              <w14:schemeClr w14:val="tx1"/>
            </w14:solidFill>
          </w14:textFill>
        </w:rPr>
        <w:t>应向住户提供装修及结构图纸，实现交房即可入住；</w:t>
      </w:r>
    </w:p>
    <w:p w14:paraId="20F30A90">
      <w:pPr>
        <w:snapToGrid w:val="0"/>
        <w:spacing w:line="360" w:lineRule="auto"/>
        <w:ind w:firstLine="56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7有防水要求的屋面、卫生间、房间、外墙面、储藏室、车库的防渗漏质量保修期限应不低于现行最低质量保修期限要求。</w:t>
      </w:r>
    </w:p>
    <w:p w14:paraId="3DD737AB">
      <w:pPr>
        <w:snapToGrid w:val="0"/>
        <w:spacing w:line="360" w:lineRule="auto"/>
        <w:ind w:firstLine="0" w:firstLineChars="0"/>
        <w:rPr>
          <w:rFonts w:hint="eastAsia" w:ascii="仿宋" w:hAnsi="仿宋" w:cs="仿宋"/>
          <w:color w:val="000000" w:themeColor="text1"/>
          <w:sz w:val="24"/>
          <w:szCs w:val="24"/>
          <w:lang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6.5.1</w:t>
      </w:r>
      <w:r>
        <w:rPr>
          <w:rFonts w:hint="eastAsia" w:ascii="仿宋" w:hAnsi="仿宋" w:cs="仿宋"/>
          <w:color w:val="000000" w:themeColor="text1"/>
          <w:sz w:val="24"/>
          <w:szCs w:val="24"/>
          <w:lang w:bidi="ar"/>
          <w14:textFill>
            <w14:solidFill>
              <w14:schemeClr w14:val="tx1"/>
            </w14:solidFill>
          </w14:textFill>
        </w:rPr>
        <w:t>6交付应满足下列要求：</w:t>
      </w:r>
    </w:p>
    <w:p w14:paraId="2B1642C3">
      <w:pPr>
        <w:snapToGrid w:val="0"/>
        <w:spacing w:line="360" w:lineRule="auto"/>
        <w:ind w:firstLine="56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1应</w:t>
      </w:r>
      <w:r>
        <w:rPr>
          <w:rFonts w:ascii="仿宋" w:hAnsi="仿宋" w:cs="仿宋"/>
          <w:color w:val="000000" w:themeColor="text1"/>
          <w:sz w:val="24"/>
          <w:szCs w:val="24"/>
          <w:lang w:bidi="ar"/>
          <w14:textFill>
            <w14:solidFill>
              <w14:schemeClr w14:val="tx1"/>
            </w14:solidFill>
          </w14:textFill>
        </w:rPr>
        <w:t>对住宅整体质量（建筑质量、功能性能、环境景观等）进行综合评定</w:t>
      </w:r>
      <w:r>
        <w:rPr>
          <w:rFonts w:hint="eastAsia" w:ascii="仿宋" w:hAnsi="仿宋" w:cs="仿宋"/>
          <w:color w:val="000000" w:themeColor="text1"/>
          <w:sz w:val="24"/>
          <w:szCs w:val="24"/>
          <w:lang w:bidi="ar"/>
          <w14:textFill>
            <w14:solidFill>
              <w14:schemeClr w14:val="tx1"/>
            </w14:solidFill>
          </w14:textFill>
        </w:rPr>
        <w:t>，验收合格后方可交付使用；</w:t>
      </w:r>
    </w:p>
    <w:p w14:paraId="6C1064B3">
      <w:pPr>
        <w:snapToGrid w:val="0"/>
        <w:spacing w:line="360" w:lineRule="auto"/>
        <w:ind w:firstLine="560"/>
        <w:rPr>
          <w:rFonts w:hint="eastAsia"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2全装修交付应核对材料品牌与合同附件一致性，重点检查隐蔽工程验收记录；</w:t>
      </w:r>
    </w:p>
    <w:p w14:paraId="47E1BCCD">
      <w:pPr>
        <w:snapToGrid w:val="0"/>
        <w:spacing w:line="360" w:lineRule="auto"/>
        <w:ind w:firstLine="560"/>
        <w:rPr>
          <w:rFonts w:hint="eastAsia"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3未完成竣工验收备案的，不得交付使用；</w:t>
      </w:r>
    </w:p>
    <w:p w14:paraId="088570A8">
      <w:pPr>
        <w:snapToGrid w:val="0"/>
        <w:spacing w:line="360" w:lineRule="auto"/>
        <w:ind w:firstLine="560"/>
        <w:rPr>
          <w:rFonts w:hint="eastAsia"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4物业承接资料应包括隐蔽工程可视化模型文件及影像资料、数字化房屋竣工图纸、BIM模型、运维参数、验收资料等；</w:t>
      </w:r>
    </w:p>
    <w:p w14:paraId="4BF4EAA9">
      <w:pPr>
        <w:snapToGrid w:val="0"/>
        <w:spacing w:line="360" w:lineRule="auto"/>
        <w:ind w:firstLine="560"/>
        <w:rPr>
          <w:rFonts w:hint="eastAsia"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5房屋交付时，宜提供BIM版商品住宅使用说明书，以BIM模型形式呈现房屋结构、管线布局、设备位置等信息；</w:t>
      </w:r>
    </w:p>
    <w:p w14:paraId="76891E00">
      <w:pPr>
        <w:snapToGrid w:val="0"/>
        <w:spacing w:line="360" w:lineRule="auto"/>
        <w:ind w:firstLine="56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6建筑工程竣工验收后</w:t>
      </w:r>
      <w:r>
        <w:rPr>
          <w:rFonts w:hint="eastAsia" w:ascii="仿宋" w:hAnsi="仿宋" w:cs="仿宋"/>
          <w:color w:val="000000" w:themeColor="text1"/>
          <w:sz w:val="24"/>
          <w:szCs w:val="24"/>
          <w:lang w:eastAsia="zh-CN" w:bidi="ar"/>
          <w14:textFill>
            <w14:solidFill>
              <w14:schemeClr w14:val="tx1"/>
            </w14:solidFill>
          </w14:textFill>
        </w:rPr>
        <w:t>，</w:t>
      </w:r>
      <w:r>
        <w:rPr>
          <w:rFonts w:hint="eastAsia" w:ascii="仿宋" w:hAnsi="仿宋" w:cs="仿宋"/>
          <w:color w:val="000000" w:themeColor="text1"/>
          <w:sz w:val="24"/>
          <w:szCs w:val="24"/>
          <w:lang w:bidi="ar"/>
          <w14:textFill>
            <w14:solidFill>
              <w14:schemeClr w14:val="tx1"/>
            </w14:solidFill>
          </w14:textFill>
        </w:rPr>
        <w:t>应在公众知悉的位置设置工程竣工验收标识牌，标明工程基本信息以及项目组织实施、设计、施工、监理等相关单位和项目负责人等信息。</w:t>
      </w:r>
    </w:p>
    <w:p w14:paraId="202AFB2A">
      <w:pPr>
        <w:snapToGrid w:val="0"/>
        <w:spacing w:line="360" w:lineRule="auto"/>
        <w:ind w:firstLine="0" w:firstLineChars="0"/>
        <w:rPr>
          <w:i/>
          <w:iCs/>
          <w:color w:val="000000" w:themeColor="text1"/>
          <w:sz w:val="24"/>
          <w:szCs w:val="24"/>
          <w14:textFill>
            <w14:solidFill>
              <w14:schemeClr w14:val="tx1"/>
            </w14:solidFill>
          </w14:textFill>
        </w:rPr>
      </w:pPr>
    </w:p>
    <w:p w14:paraId="694DAD57">
      <w:pPr>
        <w:snapToGrid w:val="0"/>
        <w:spacing w:line="360" w:lineRule="auto"/>
        <w:ind w:firstLine="0" w:firstLineChars="0"/>
        <w:rPr>
          <w:rFonts w:hint="eastAsia" w:ascii="仿宋" w:hAnsi="仿宋" w:cs="仿宋"/>
          <w:color w:val="000000" w:themeColor="text1"/>
          <w:sz w:val="24"/>
          <w:szCs w:val="24"/>
          <w:lang w:bidi="ar"/>
          <w14:textFill>
            <w14:solidFill>
              <w14:schemeClr w14:val="tx1"/>
            </w14:solidFill>
          </w14:textFill>
        </w:rPr>
      </w:pPr>
    </w:p>
    <w:p w14:paraId="1F503EAD">
      <w:pPr>
        <w:snapToGrid w:val="0"/>
        <w:spacing w:line="360" w:lineRule="auto"/>
        <w:ind w:firstLine="64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br w:type="page"/>
      </w:r>
    </w:p>
    <w:p w14:paraId="4AE79B94">
      <w:pPr>
        <w:pStyle w:val="2"/>
        <w:ind w:firstLine="643"/>
        <w:jc w:val="center"/>
        <w:rPr>
          <w:rFonts w:hint="eastAsia" w:ascii="仿宋" w:hAnsi="仿宋" w:eastAsia="黑体" w:cs="仿宋"/>
          <w:b/>
          <w:bCs/>
          <w:color w:val="000000" w:themeColor="text1"/>
          <w:sz w:val="24"/>
          <w:szCs w:val="24"/>
          <w:lang w:eastAsia="zh-CN"/>
          <w14:textFill>
            <w14:solidFill>
              <w14:schemeClr w14:val="tx1"/>
            </w14:solidFill>
          </w14:textFill>
        </w:rPr>
      </w:pPr>
      <w:bookmarkStart w:id="100" w:name="_Toc26092"/>
      <w:r>
        <w:rPr>
          <w:rFonts w:hint="eastAsia" w:ascii="黑体" w:hAnsi="黑体" w:eastAsia="黑体" w:cs="黑体"/>
          <w:color w:val="000000" w:themeColor="text1"/>
          <w:sz w:val="24"/>
          <w:szCs w:val="24"/>
          <w14:textFill>
            <w14:solidFill>
              <w14:schemeClr w14:val="tx1"/>
            </w14:solidFill>
          </w14:textFill>
        </w:rPr>
        <w:t>7 运</w:t>
      </w:r>
      <w:bookmarkEnd w:id="45"/>
      <w:bookmarkEnd w:id="46"/>
      <w:r>
        <w:rPr>
          <w:rFonts w:hint="eastAsia" w:ascii="黑体" w:hAnsi="黑体" w:eastAsia="黑体" w:cs="黑体"/>
          <w:color w:val="000000" w:themeColor="text1"/>
          <w:sz w:val="24"/>
          <w:szCs w:val="24"/>
          <w:lang w:val="en-US" w:eastAsia="zh-CN"/>
          <w14:textFill>
            <w14:solidFill>
              <w14:schemeClr w14:val="tx1"/>
            </w14:solidFill>
          </w14:textFill>
        </w:rPr>
        <w:t>维</w:t>
      </w:r>
      <w:bookmarkEnd w:id="100"/>
    </w:p>
    <w:p w14:paraId="49CAA231">
      <w:pPr>
        <w:pStyle w:val="3"/>
        <w:ind w:firstLine="643"/>
        <w:jc w:val="center"/>
        <w:rPr>
          <w:rFonts w:hint="eastAsia"/>
          <w:color w:val="000000" w:themeColor="text1"/>
          <w:sz w:val="24"/>
          <w:szCs w:val="24"/>
          <w14:textFill>
            <w14:solidFill>
              <w14:schemeClr w14:val="tx1"/>
            </w14:solidFill>
          </w14:textFill>
        </w:rPr>
      </w:pPr>
      <w:bookmarkStart w:id="101" w:name="_Toc17542"/>
      <w:r>
        <w:rPr>
          <w:rFonts w:hint="eastAsia"/>
          <w:color w:val="000000" w:themeColor="text1"/>
          <w:sz w:val="24"/>
          <w:szCs w:val="24"/>
          <w14:textFill>
            <w14:solidFill>
              <w14:schemeClr w14:val="tx1"/>
            </w14:solidFill>
          </w14:textFill>
        </w:rPr>
        <w:t>7.1 一般规定</w:t>
      </w:r>
      <w:bookmarkEnd w:id="101"/>
    </w:p>
    <w:p w14:paraId="5C6E6D3C">
      <w:pPr>
        <w:snapToGrid w:val="0"/>
        <w:spacing w:line="360" w:lineRule="auto"/>
        <w:ind w:left="0" w:leftChars="0"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7.1.1 建设单位应当在物业管理区域内配套建设房屋总建筑面积千分之三至千分之五的物业管理用房（包括业主委员会工作用房）。</w:t>
      </w:r>
    </w:p>
    <w:p w14:paraId="1BBCCC2D">
      <w:pPr>
        <w:snapToGrid w:val="0"/>
        <w:spacing w:line="360" w:lineRule="auto"/>
        <w:ind w:left="0" w:leftChars="0"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 xml:space="preserve">7.1.2 </w:t>
      </w:r>
      <w:r>
        <w:rPr>
          <w:rFonts w:hint="eastAsia" w:ascii="仿宋" w:hAnsi="仿宋" w:cs="仿宋"/>
          <w:color w:val="000000" w:themeColor="text1"/>
          <w:sz w:val="24"/>
          <w:szCs w:val="24"/>
          <w14:textFill>
            <w14:solidFill>
              <w14:schemeClr w14:val="tx1"/>
            </w14:solidFill>
          </w14:textFill>
        </w:rPr>
        <w:t>在居民适宜步行范围内应有完善的基本公共服务设施、健全的便民商业服务设施、完备的市政配套设施、充足的公共空间、全覆盖的物业服务和健全的管理机制。</w:t>
      </w:r>
    </w:p>
    <w:p w14:paraId="47B131C0">
      <w:pPr>
        <w:snapToGrid w:val="0"/>
        <w:spacing w:line="360" w:lineRule="auto"/>
        <w:ind w:left="0" w:leftChars="0" w:firstLine="0" w:firstLineChars="0"/>
        <w:rPr>
          <w:rFonts w:hint="eastAsia" w:ascii="仿宋" w:hAnsi="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 xml:space="preserve">7.1.3 </w:t>
      </w:r>
      <w:r>
        <w:rPr>
          <w:rFonts w:hint="eastAsia" w:ascii="仿宋" w:hAnsi="仿宋" w:cs="仿宋"/>
          <w:color w:val="000000" w:themeColor="text1"/>
          <w:sz w:val="24"/>
          <w:szCs w:val="24"/>
          <w14:textFill>
            <w14:solidFill>
              <w14:schemeClr w14:val="tx1"/>
            </w14:solidFill>
          </w14:textFill>
        </w:rPr>
        <w:t>物业</w:t>
      </w:r>
      <w:r>
        <w:rPr>
          <w:rFonts w:hint="eastAsia" w:ascii="仿宋" w:hAnsi="仿宋" w:cs="仿宋"/>
          <w:color w:val="000000" w:themeColor="text1"/>
          <w:sz w:val="24"/>
          <w:szCs w:val="24"/>
          <w:lang w:val="en-US" w:eastAsia="zh-CN"/>
          <w14:textFill>
            <w14:solidFill>
              <w14:schemeClr w14:val="tx1"/>
            </w14:solidFill>
          </w14:textFill>
        </w:rPr>
        <w:t>服务人</w:t>
      </w:r>
      <w:r>
        <w:rPr>
          <w:rFonts w:hint="eastAsia" w:ascii="仿宋" w:hAnsi="仿宋" w:cs="仿宋"/>
          <w:color w:val="000000" w:themeColor="text1"/>
          <w:sz w:val="24"/>
          <w:szCs w:val="24"/>
          <w14:textFill>
            <w14:solidFill>
              <w14:schemeClr w14:val="tx1"/>
            </w14:solidFill>
          </w14:textFill>
        </w:rPr>
        <w:t>需按《物业服务合同》约定提供服务</w:t>
      </w:r>
      <w:r>
        <w:rPr>
          <w:rFonts w:hint="eastAsia" w:ascii="仿宋" w:hAnsi="仿宋" w:cs="仿宋"/>
          <w:color w:val="000000" w:themeColor="text1"/>
          <w:sz w:val="24"/>
          <w:szCs w:val="24"/>
          <w:lang w:eastAsia="zh-CN"/>
          <w14:textFill>
            <w14:solidFill>
              <w14:schemeClr w14:val="tx1"/>
            </w14:solidFill>
          </w14:textFill>
        </w:rPr>
        <w:t>。</w:t>
      </w:r>
    </w:p>
    <w:p w14:paraId="308E012E">
      <w:pPr>
        <w:snapToGrid w:val="0"/>
        <w:spacing w:line="360" w:lineRule="auto"/>
        <w:ind w:left="0" w:leftChars="0" w:firstLine="0" w:firstLineChars="0"/>
        <w:rPr>
          <w:rFonts w:hint="eastAsia" w:ascii="仿宋" w:hAnsi="仿宋" w:cs="仿宋"/>
          <w:color w:val="000000" w:themeColor="text1"/>
          <w:sz w:val="24"/>
          <w:szCs w:val="24"/>
          <w:lang w:eastAsia="zh-CN"/>
          <w14:textFill>
            <w14:solidFill>
              <w14:schemeClr w14:val="tx1"/>
            </w14:solidFill>
          </w14:textFill>
        </w:rPr>
      </w:pPr>
    </w:p>
    <w:p w14:paraId="63F00BCC">
      <w:pPr>
        <w:pStyle w:val="3"/>
        <w:ind w:firstLine="643"/>
        <w:jc w:val="center"/>
        <w:rPr>
          <w:rFonts w:hint="eastAsia"/>
          <w:color w:val="000000" w:themeColor="text1"/>
          <w:sz w:val="24"/>
          <w:szCs w:val="24"/>
          <w14:textFill>
            <w14:solidFill>
              <w14:schemeClr w14:val="tx1"/>
            </w14:solidFill>
          </w14:textFill>
        </w:rPr>
      </w:pPr>
      <w:bookmarkStart w:id="102" w:name="_Toc15061"/>
      <w:r>
        <w:rPr>
          <w:rFonts w:hint="eastAsia"/>
          <w:color w:val="000000" w:themeColor="text1"/>
          <w:sz w:val="24"/>
          <w:szCs w:val="24"/>
          <w14:textFill>
            <w14:solidFill>
              <w14:schemeClr w14:val="tx1"/>
            </w14:solidFill>
          </w14:textFill>
        </w:rPr>
        <w:t>7.2 物业管理</w:t>
      </w:r>
      <w:bookmarkEnd w:id="102"/>
    </w:p>
    <w:p w14:paraId="05DC2333">
      <w:pPr>
        <w:snapToGrid w:val="0"/>
        <w:spacing w:line="360" w:lineRule="auto"/>
        <w:ind w:left="0" w:leftChars="0" w:firstLine="0" w:firstLineChars="0"/>
        <w:rPr>
          <w:rFonts w:hint="eastAsia"/>
          <w:i/>
          <w:iCs/>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7.2.</w:t>
      </w:r>
      <w:r>
        <w:rPr>
          <w:rFonts w:hint="eastAsia" w:ascii="仿宋" w:hAnsi="仿宋" w:cs="仿宋"/>
          <w:color w:val="000000" w:themeColor="text1"/>
          <w:sz w:val="24"/>
          <w:szCs w:val="24"/>
          <w:lang w:val="en-US" w:eastAsia="zh-CN"/>
          <w14:textFill>
            <w14:solidFill>
              <w14:schemeClr w14:val="tx1"/>
            </w14:solidFill>
          </w14:textFill>
        </w:rPr>
        <w:t>1</w:t>
      </w:r>
      <w:r>
        <w:rPr>
          <w:rFonts w:hint="eastAsia" w:ascii="仿宋" w:hAnsi="仿宋" w:cs="仿宋"/>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lang w:val="en-US" w:eastAsia="zh-CN"/>
          <w14:textFill>
            <w14:solidFill>
              <w14:schemeClr w14:val="tx1"/>
            </w14:solidFill>
          </w14:textFill>
        </w:rPr>
        <w:t>物业需设置客户服务场所，为业主和物业使用人提供相应的客户服务。</w:t>
      </w:r>
    </w:p>
    <w:p w14:paraId="775DE7C1">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7.2.</w:t>
      </w:r>
      <w:r>
        <w:rPr>
          <w:rFonts w:hint="eastAsia" w:ascii="仿宋" w:hAnsi="仿宋" w:cs="仿宋"/>
          <w:color w:val="000000" w:themeColor="text1"/>
          <w:sz w:val="24"/>
          <w:szCs w:val="24"/>
          <w:lang w:val="en-US" w:eastAsia="zh-CN"/>
          <w14:textFill>
            <w14:solidFill>
              <w14:schemeClr w14:val="tx1"/>
            </w14:solidFill>
          </w14:textFill>
        </w:rPr>
        <w:t>2</w:t>
      </w:r>
      <w:r>
        <w:rPr>
          <w:rFonts w:hint="eastAsia" w:ascii="仿宋" w:hAnsi="仿宋" w:cs="仿宋"/>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lang w:val="en-US" w:eastAsia="zh-CN"/>
          <w14:textFill>
            <w14:solidFill>
              <w14:schemeClr w14:val="tx1"/>
            </w14:solidFill>
          </w14:textFill>
        </w:rPr>
        <w:t>按照服务等级标准</w:t>
      </w:r>
      <w:r>
        <w:rPr>
          <w:rFonts w:hint="eastAsia" w:ascii="仿宋" w:hAnsi="仿宋" w:cs="仿宋"/>
          <w:color w:val="000000" w:themeColor="text1"/>
          <w:sz w:val="24"/>
          <w:szCs w:val="24"/>
          <w14:textFill>
            <w14:solidFill>
              <w14:schemeClr w14:val="tx1"/>
            </w14:solidFill>
          </w14:textFill>
        </w:rPr>
        <w:t>配备</w:t>
      </w:r>
      <w:r>
        <w:rPr>
          <w:rFonts w:hint="eastAsia" w:ascii="仿宋" w:hAnsi="仿宋" w:cs="仿宋"/>
          <w:color w:val="000000" w:themeColor="text1"/>
          <w:sz w:val="24"/>
          <w:szCs w:val="24"/>
          <w:lang w:val="en-US" w:eastAsia="zh-CN"/>
          <w14:textFill>
            <w14:solidFill>
              <w14:schemeClr w14:val="tx1"/>
            </w14:solidFill>
          </w14:textFill>
        </w:rPr>
        <w:t>各岗位工作</w:t>
      </w:r>
      <w:r>
        <w:rPr>
          <w:rFonts w:hint="eastAsia" w:ascii="仿宋" w:hAnsi="仿宋" w:cs="仿宋"/>
          <w:color w:val="000000" w:themeColor="text1"/>
          <w:sz w:val="24"/>
          <w:szCs w:val="24"/>
          <w14:textFill>
            <w14:solidFill>
              <w14:schemeClr w14:val="tx1"/>
            </w14:solidFill>
          </w14:textFill>
        </w:rPr>
        <w:t>人员，统一着装，佩戴工牌，</w:t>
      </w:r>
      <w:r>
        <w:rPr>
          <w:rFonts w:hint="eastAsia" w:ascii="仿宋" w:hAnsi="仿宋" w:cs="仿宋"/>
          <w:color w:val="000000" w:themeColor="text1"/>
          <w:sz w:val="24"/>
          <w:szCs w:val="24"/>
          <w:lang w:val="en-US" w:eastAsia="zh-CN"/>
          <w14:textFill>
            <w14:solidFill>
              <w14:schemeClr w14:val="tx1"/>
            </w14:solidFill>
          </w14:textFill>
        </w:rPr>
        <w:t>仪表整洁、体态得体、用语文明、行为规范、服务热情。</w:t>
      </w:r>
    </w:p>
    <w:p w14:paraId="444B7BD2">
      <w:pPr>
        <w:snapToGrid w:val="0"/>
        <w:spacing w:line="360" w:lineRule="auto"/>
        <w:ind w:firstLine="0" w:firstLineChars="0"/>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7.2.</w:t>
      </w:r>
      <w:r>
        <w:rPr>
          <w:rFonts w:hint="eastAsia" w:ascii="仿宋" w:hAnsi="仿宋" w:cs="仿宋"/>
          <w:color w:val="000000" w:themeColor="text1"/>
          <w:sz w:val="24"/>
          <w:szCs w:val="24"/>
          <w:lang w:val="en-US" w:eastAsia="zh-CN"/>
          <w14:textFill>
            <w14:solidFill>
              <w14:schemeClr w14:val="tx1"/>
            </w14:solidFill>
          </w14:textFill>
        </w:rPr>
        <w:t>3</w:t>
      </w:r>
      <w:r>
        <w:rPr>
          <w:rFonts w:hint="eastAsia" w:ascii="仿宋" w:hAnsi="仿宋" w:cs="仿宋"/>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lang w:val="en-US" w:eastAsia="zh-CN"/>
          <w14:textFill>
            <w14:solidFill>
              <w14:schemeClr w14:val="tx1"/>
            </w14:solidFill>
          </w14:textFill>
        </w:rPr>
        <w:t>秩序维护</w:t>
      </w:r>
      <w:r>
        <w:rPr>
          <w:rFonts w:hint="eastAsia" w:ascii="仿宋" w:hAnsi="仿宋" w:cs="仿宋"/>
          <w:color w:val="000000" w:themeColor="text1"/>
          <w:sz w:val="24"/>
          <w:szCs w:val="24"/>
          <w14:textFill>
            <w14:solidFill>
              <w14:schemeClr w14:val="tx1"/>
            </w14:solidFill>
          </w14:textFill>
        </w:rPr>
        <w:t>工作全面覆盖小区各区域</w:t>
      </w:r>
      <w:r>
        <w:rPr>
          <w:rFonts w:hint="eastAsia" w:ascii="仿宋" w:hAnsi="仿宋" w:cs="仿宋"/>
          <w:color w:val="000000" w:themeColor="text1"/>
          <w:sz w:val="24"/>
          <w:szCs w:val="24"/>
          <w:lang w:eastAsia="zh-CN"/>
          <w14:textFill>
            <w14:solidFill>
              <w14:schemeClr w14:val="tx1"/>
            </w14:solidFill>
          </w14:textFill>
        </w:rPr>
        <w:t>，</w:t>
      </w:r>
      <w:r>
        <w:rPr>
          <w:rFonts w:hint="eastAsia" w:ascii="仿宋" w:hAnsi="仿宋" w:cs="仿宋"/>
          <w:color w:val="000000" w:themeColor="text1"/>
          <w:sz w:val="24"/>
          <w:szCs w:val="24"/>
          <w:lang w:val="en-US" w:eastAsia="zh-CN"/>
          <w14:textFill>
            <w14:solidFill>
              <w14:schemeClr w14:val="tx1"/>
            </w14:solidFill>
          </w14:textFill>
        </w:rPr>
        <w:t>对出入管理、日常巡查、车辆做好各项服务保障工作。</w:t>
      </w:r>
    </w:p>
    <w:p w14:paraId="5E15852E">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7.2.</w:t>
      </w:r>
      <w:r>
        <w:rPr>
          <w:rFonts w:hint="eastAsia" w:ascii="仿宋" w:hAnsi="仿宋" w:cs="仿宋"/>
          <w:color w:val="000000" w:themeColor="text1"/>
          <w:sz w:val="24"/>
          <w:szCs w:val="24"/>
          <w:lang w:val="en-US" w:eastAsia="zh-CN"/>
          <w14:textFill>
            <w14:solidFill>
              <w14:schemeClr w14:val="tx1"/>
            </w14:solidFill>
          </w14:textFill>
        </w:rPr>
        <w:t>4</w:t>
      </w:r>
      <w:r>
        <w:rPr>
          <w:rFonts w:hint="eastAsia" w:ascii="仿宋" w:hAnsi="仿宋" w:cs="仿宋"/>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lang w:val="en-US" w:eastAsia="zh-CN"/>
          <w14:textFill>
            <w14:solidFill>
              <w14:schemeClr w14:val="tx1"/>
            </w14:solidFill>
          </w14:textFill>
        </w:rPr>
        <w:t>环境卫生</w:t>
      </w:r>
      <w:r>
        <w:rPr>
          <w:rFonts w:hint="eastAsia" w:ascii="仿宋" w:hAnsi="仿宋" w:cs="仿宋"/>
          <w:color w:val="000000" w:themeColor="text1"/>
          <w:sz w:val="24"/>
          <w:szCs w:val="24"/>
          <w14:textFill>
            <w14:solidFill>
              <w14:schemeClr w14:val="tx1"/>
            </w14:solidFill>
          </w14:textFill>
        </w:rPr>
        <w:t>工作全面覆盖小区各区域及设施</w:t>
      </w:r>
      <w:r>
        <w:rPr>
          <w:rFonts w:hint="eastAsia" w:ascii="仿宋" w:hAnsi="仿宋" w:cs="仿宋"/>
          <w:color w:val="000000" w:themeColor="text1"/>
          <w:sz w:val="24"/>
          <w:szCs w:val="24"/>
          <w:lang w:eastAsia="zh-CN"/>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公共区域包含道路、广场、绿地、停车场、电梯厅、楼梯间、单元出入口等人员活动频繁场所；共用设施设备涵盖垃圾桶/站、健身器材、信报箱、公告栏等居民日常使用设施；特殊区域涉及垃圾收集点、电动车停放区、排水沟、屋顶平台等易被忽视的重点区域，确保无清洁死角。</w:t>
      </w:r>
    </w:p>
    <w:p w14:paraId="4F9D8ECB">
      <w:pPr>
        <w:snapToGrid w:val="0"/>
        <w:spacing w:line="360" w:lineRule="auto"/>
        <w:ind w:firstLine="0" w:firstLineChars="0"/>
        <w:rPr>
          <w:rFonts w:hint="eastAsia" w:ascii="仿宋" w:hAnsi="仿宋" w:cs="仿宋"/>
          <w:i/>
          <w:iCs/>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7.2.</w:t>
      </w:r>
      <w:r>
        <w:rPr>
          <w:rFonts w:hint="eastAsia" w:ascii="仿宋" w:hAnsi="仿宋" w:cs="仿宋"/>
          <w:color w:val="000000" w:themeColor="text1"/>
          <w:sz w:val="24"/>
          <w:szCs w:val="24"/>
          <w:lang w:val="en-US" w:eastAsia="zh-CN"/>
          <w14:textFill>
            <w14:solidFill>
              <w14:schemeClr w14:val="tx1"/>
            </w14:solidFill>
          </w14:textFill>
        </w:rPr>
        <w:t>5</w:t>
      </w:r>
      <w:r>
        <w:rPr>
          <w:rFonts w:hint="eastAsia" w:ascii="仿宋" w:hAnsi="仿宋" w:cs="仿宋"/>
          <w:color w:val="000000" w:themeColor="text1"/>
          <w:sz w:val="24"/>
          <w:szCs w:val="24"/>
          <w14:textFill>
            <w14:solidFill>
              <w14:schemeClr w14:val="tx1"/>
            </w14:solidFill>
          </w14:textFill>
        </w:rPr>
        <w:t xml:space="preserve"> 公共绿化严格按规定进行清洁</w:t>
      </w:r>
      <w:r>
        <w:rPr>
          <w:rFonts w:hint="eastAsia" w:ascii="仿宋" w:hAnsi="仿宋" w:cs="仿宋"/>
          <w:color w:val="000000" w:themeColor="text1"/>
          <w:sz w:val="24"/>
          <w:szCs w:val="24"/>
          <w:lang w:eastAsia="zh-CN"/>
          <w14:textFill>
            <w14:solidFill>
              <w14:schemeClr w14:val="tx1"/>
            </w14:solidFill>
          </w14:textFill>
        </w:rPr>
        <w:t>、</w:t>
      </w:r>
      <w:r>
        <w:rPr>
          <w:rFonts w:hint="eastAsia" w:ascii="仿宋" w:hAnsi="仿宋" w:cs="仿宋"/>
          <w:color w:val="000000" w:themeColor="text1"/>
          <w:sz w:val="24"/>
          <w:szCs w:val="24"/>
          <w:lang w:val="en-US" w:eastAsia="zh-CN"/>
          <w14:textFill>
            <w14:solidFill>
              <w14:schemeClr w14:val="tx1"/>
            </w14:solidFill>
          </w14:textFill>
        </w:rPr>
        <w:t>养护</w:t>
      </w:r>
      <w:r>
        <w:rPr>
          <w:rFonts w:hint="eastAsia" w:ascii="仿宋" w:hAnsi="仿宋" w:cs="仿宋"/>
          <w:color w:val="000000" w:themeColor="text1"/>
          <w:sz w:val="24"/>
          <w:szCs w:val="24"/>
          <w14:textFill>
            <w14:solidFill>
              <w14:schemeClr w14:val="tx1"/>
            </w14:solidFill>
          </w14:textFill>
        </w:rPr>
        <w:t>，确保无暴露垃圾</w:t>
      </w:r>
      <w:r>
        <w:rPr>
          <w:rFonts w:hint="eastAsia" w:ascii="仿宋" w:hAnsi="仿宋" w:cs="仿宋"/>
          <w:color w:val="000000" w:themeColor="text1"/>
          <w:sz w:val="24"/>
          <w:szCs w:val="24"/>
          <w:lang w:val="en-US" w:eastAsia="zh-CN"/>
          <w14:textFill>
            <w14:solidFill>
              <w14:schemeClr w14:val="tx1"/>
            </w14:solidFill>
          </w14:textFill>
        </w:rPr>
        <w:t>及斑秃</w:t>
      </w:r>
      <w:r>
        <w:rPr>
          <w:rFonts w:hint="eastAsia" w:ascii="仿宋" w:hAnsi="仿宋" w:cs="仿宋"/>
          <w:color w:val="000000" w:themeColor="text1"/>
          <w:sz w:val="24"/>
          <w:szCs w:val="24"/>
          <w:lang w:eastAsia="zh-CN"/>
          <w14:textFill>
            <w14:solidFill>
              <w14:schemeClr w14:val="tx1"/>
            </w14:solidFill>
          </w14:textFill>
        </w:rPr>
        <w:t>。</w:t>
      </w:r>
    </w:p>
    <w:p w14:paraId="2D020C4A">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p>
    <w:p w14:paraId="663E68EF">
      <w:pPr>
        <w:pStyle w:val="3"/>
        <w:ind w:firstLine="643"/>
        <w:jc w:val="center"/>
        <w:rPr>
          <w:rFonts w:hint="eastAsia"/>
          <w:color w:val="000000" w:themeColor="text1"/>
          <w:sz w:val="24"/>
          <w:szCs w:val="24"/>
          <w14:textFill>
            <w14:solidFill>
              <w14:schemeClr w14:val="tx1"/>
            </w14:solidFill>
          </w14:textFill>
        </w:rPr>
      </w:pPr>
      <w:bookmarkStart w:id="103" w:name="_Toc23235"/>
      <w:r>
        <w:rPr>
          <w:rFonts w:hint="eastAsia"/>
          <w:color w:val="000000" w:themeColor="text1"/>
          <w:sz w:val="24"/>
          <w:szCs w:val="24"/>
          <w14:textFill>
            <w14:solidFill>
              <w14:schemeClr w14:val="tx1"/>
            </w14:solidFill>
          </w14:textFill>
        </w:rPr>
        <w:t xml:space="preserve">7.3 </w:t>
      </w:r>
      <w:r>
        <w:rPr>
          <w:rFonts w:hint="eastAsia"/>
          <w:color w:val="000000" w:themeColor="text1"/>
          <w:sz w:val="24"/>
          <w:szCs w:val="24"/>
          <w:lang w:val="en-US" w:eastAsia="zh-CN"/>
          <w14:textFill>
            <w14:solidFill>
              <w14:schemeClr w14:val="tx1"/>
            </w14:solidFill>
          </w14:textFill>
        </w:rPr>
        <w:t>共用管理</w:t>
      </w:r>
      <w:bookmarkEnd w:id="103"/>
    </w:p>
    <w:p w14:paraId="039D92B2">
      <w:pPr>
        <w:snapToGrid w:val="0"/>
        <w:spacing w:line="360" w:lineRule="auto"/>
        <w:ind w:firstLine="0" w:firstLineChars="0"/>
        <w:rPr>
          <w:rFonts w:hint="eastAsia" w:ascii="仿宋" w:hAnsi="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3</w:t>
      </w:r>
      <w:r>
        <w:rPr>
          <w:rFonts w:hint="eastAsia" w:ascii="仿宋" w:hAnsi="仿宋" w:cs="仿宋"/>
          <w:color w:val="000000" w:themeColor="text1"/>
          <w:sz w:val="24"/>
          <w:szCs w:val="24"/>
          <w14:textFill>
            <w14:solidFill>
              <w14:schemeClr w14:val="tx1"/>
            </w14:solidFill>
          </w14:textFill>
        </w:rPr>
        <w:t>.</w:t>
      </w:r>
      <w:r>
        <w:rPr>
          <w:rFonts w:hint="eastAsia" w:ascii="仿宋" w:hAnsi="仿宋" w:cs="仿宋"/>
          <w:color w:val="000000" w:themeColor="text1"/>
          <w:sz w:val="24"/>
          <w:szCs w:val="24"/>
          <w:lang w:val="en-US" w:eastAsia="zh-CN"/>
          <w14:textFill>
            <w14:solidFill>
              <w14:schemeClr w14:val="tx1"/>
            </w14:solidFill>
          </w14:textFill>
        </w:rPr>
        <w:t>1</w:t>
      </w:r>
      <w:r>
        <w:rPr>
          <w:rFonts w:hint="eastAsia" w:ascii="仿宋" w:hAnsi="仿宋" w:cs="仿宋"/>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lang w:val="en-US" w:eastAsia="zh-CN"/>
          <w14:textFill>
            <w14:solidFill>
              <w14:schemeClr w14:val="tx1"/>
            </w14:solidFill>
          </w14:textFill>
        </w:rPr>
        <w:t>物业服务人需按照合同约定进行</w:t>
      </w:r>
      <w:r>
        <w:rPr>
          <w:rFonts w:hint="eastAsia" w:ascii="仿宋" w:hAnsi="仿宋" w:cs="仿宋"/>
          <w:color w:val="000000" w:themeColor="text1"/>
          <w:sz w:val="24"/>
          <w:szCs w:val="24"/>
          <w14:textFill>
            <w14:solidFill>
              <w14:schemeClr w14:val="tx1"/>
            </w14:solidFill>
          </w14:textFill>
        </w:rPr>
        <w:t>共用</w:t>
      </w:r>
      <w:r>
        <w:rPr>
          <w:rFonts w:hint="eastAsia" w:ascii="仿宋" w:hAnsi="仿宋" w:cs="仿宋"/>
          <w:color w:val="000000" w:themeColor="text1"/>
          <w:sz w:val="24"/>
          <w:szCs w:val="24"/>
          <w:lang w:val="en-US" w:eastAsia="zh-CN"/>
          <w14:textFill>
            <w14:solidFill>
              <w14:schemeClr w14:val="tx1"/>
            </w14:solidFill>
          </w14:textFill>
        </w:rPr>
        <w:t>部位、共用</w:t>
      </w:r>
      <w:r>
        <w:rPr>
          <w:rFonts w:hint="eastAsia" w:ascii="仿宋" w:hAnsi="仿宋" w:cs="仿宋"/>
          <w:color w:val="000000" w:themeColor="text1"/>
          <w:sz w:val="24"/>
          <w:szCs w:val="24"/>
          <w14:textFill>
            <w14:solidFill>
              <w14:schemeClr w14:val="tx1"/>
            </w14:solidFill>
          </w14:textFill>
        </w:rPr>
        <w:t>设施设备的日常管理</w:t>
      </w:r>
      <w:r>
        <w:rPr>
          <w:rFonts w:hint="eastAsia" w:ascii="仿宋" w:hAnsi="仿宋" w:cs="仿宋"/>
          <w:color w:val="000000" w:themeColor="text1"/>
          <w:sz w:val="24"/>
          <w:szCs w:val="24"/>
          <w:lang w:eastAsia="zh-CN"/>
          <w14:textFill>
            <w14:solidFill>
              <w14:schemeClr w14:val="tx1"/>
            </w14:solidFill>
          </w14:textFill>
        </w:rPr>
        <w:t>。</w:t>
      </w:r>
    </w:p>
    <w:p w14:paraId="690F16EC">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7.3.2 建筑物本体管理应遵循以下原则：</w:t>
      </w:r>
    </w:p>
    <w:p w14:paraId="6570DB26">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依据国家相关法律法规及技术标准，结合物业管理实际情况，制定建筑物本体管理标准。制定完善的建筑物本体管理规定、建筑物本体维修养护制度、巡检制度、建筑物本体装饰装修管理办法、户外设置物业管理规定等规章制度。</w:t>
      </w:r>
    </w:p>
    <w:p w14:paraId="74666020">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根据房屋实际使用年限，定期检查房屋共用部位的使用状况，检查中发现的问题，属于小修范围的，及时修复；属于大、中修范围的，在保修期内的，及时编制维修计划报建设单位，按《前期物业服务合同》约定进行维修；超过保修期的，报请业主大会、业主委员会或物业管理委员会批准，按照相关规定申报使用维修资金，组织维修或者更新改造。</w:t>
      </w:r>
    </w:p>
    <w:p w14:paraId="4E77BE5F">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3.建筑物本体的巡查应不低于《山西住宅物业服务标准》五级标准。</w:t>
      </w:r>
    </w:p>
    <w:p w14:paraId="3A0322F1">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3.3</w:t>
      </w:r>
      <w:r>
        <w:rPr>
          <w:rFonts w:hint="eastAsia" w:ascii="仿宋" w:hAnsi="仿宋" w:cs="仿宋"/>
          <w:color w:val="000000" w:themeColor="text1"/>
          <w:sz w:val="24"/>
          <w:szCs w:val="24"/>
          <w14:textFill>
            <w14:solidFill>
              <w14:schemeClr w14:val="tx1"/>
            </w14:solidFill>
          </w14:textFill>
        </w:rPr>
        <w:t xml:space="preserve"> 设备房管理应遵循以下原则：</w:t>
      </w:r>
    </w:p>
    <w:p w14:paraId="0755D2A3">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1.设备房按设施设备的特性、需求做好日常管理，设备房门上设有标注设备名称、主要责任人的标志。</w:t>
      </w:r>
    </w:p>
    <w:p w14:paraId="5CF71C1D">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2.室内管理制度、运行规程、维修规程、保养规程、应急预案等制度上墙明示。</w:t>
      </w:r>
    </w:p>
    <w:p w14:paraId="111ED70C">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3.室内照明的照度符合有关规范的照度值，应急照明灯具工作正常。</w:t>
      </w:r>
    </w:p>
    <w:p w14:paraId="5C7689CA">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4.设备周围在地面施划警示区域。</w:t>
      </w:r>
    </w:p>
    <w:p w14:paraId="3F4F16E3">
      <w:pPr>
        <w:snapToGrid w:val="0"/>
        <w:spacing w:line="360" w:lineRule="auto"/>
        <w:ind w:firstLine="0" w:firstLineChars="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3.4</w:t>
      </w:r>
      <w:r>
        <w:rPr>
          <w:rFonts w:hint="eastAsia" w:ascii="仿宋" w:hAnsi="仿宋" w:cs="仿宋"/>
          <w:color w:val="000000" w:themeColor="text1"/>
          <w:sz w:val="24"/>
          <w:szCs w:val="24"/>
          <w14:textFill>
            <w14:solidFill>
              <w14:schemeClr w14:val="tx1"/>
            </w14:solidFill>
          </w14:textFill>
        </w:rPr>
        <w:t xml:space="preserve"> 建筑设备系统设计应考虑运行维护的要求</w:t>
      </w:r>
      <w:r>
        <w:rPr>
          <w:rFonts w:hint="eastAsia" w:ascii="仿宋" w:hAnsi="仿宋" w:cs="仿宋"/>
          <w:color w:val="000000" w:themeColor="text1"/>
          <w:sz w:val="24"/>
          <w:szCs w:val="24"/>
          <w:lang w:eastAsia="zh-CN"/>
          <w14:textFill>
            <w14:solidFill>
              <w14:schemeClr w14:val="tx1"/>
            </w14:solidFill>
          </w14:textFill>
        </w:rPr>
        <w:t>。</w:t>
      </w:r>
    </w:p>
    <w:p w14:paraId="22D953A6">
      <w:pPr>
        <w:snapToGrid w:val="0"/>
        <w:spacing w:line="360" w:lineRule="auto"/>
        <w:ind w:firstLine="0" w:firstLineChars="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3.5</w:t>
      </w:r>
      <w:r>
        <w:rPr>
          <w:rFonts w:hint="eastAsia" w:ascii="仿宋" w:hAnsi="仿宋" w:cs="仿宋"/>
          <w:color w:val="000000" w:themeColor="text1"/>
          <w:sz w:val="24"/>
          <w:szCs w:val="24"/>
          <w14:textFill>
            <w14:solidFill>
              <w14:schemeClr w14:val="tx1"/>
            </w14:solidFill>
          </w14:textFill>
        </w:rPr>
        <w:t xml:space="preserve"> 机电设备管线的安装、管道敷设及终端点位应设置满足安装、使用和后期检修、更换需求的检修口和空间；室外各种控制箱体维护通道宜设置硬质铺装通道</w:t>
      </w:r>
      <w:r>
        <w:rPr>
          <w:rFonts w:hint="eastAsia" w:ascii="仿宋" w:hAnsi="仿宋" w:cs="仿宋"/>
          <w:color w:val="000000" w:themeColor="text1"/>
          <w:sz w:val="24"/>
          <w:szCs w:val="24"/>
          <w:lang w:eastAsia="zh-CN"/>
          <w14:textFill>
            <w14:solidFill>
              <w14:schemeClr w14:val="tx1"/>
            </w14:solidFill>
          </w14:textFill>
        </w:rPr>
        <w:t>。</w:t>
      </w:r>
    </w:p>
    <w:p w14:paraId="2812EEF1">
      <w:pPr>
        <w:snapToGrid w:val="0"/>
        <w:spacing w:line="360" w:lineRule="auto"/>
        <w:ind w:firstLine="0" w:firstLineChars="0"/>
        <w:rPr>
          <w:rFonts w:hint="eastAsia" w:ascii="仿宋" w:hAnsi="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3.6</w:t>
      </w:r>
      <w:r>
        <w:rPr>
          <w:rFonts w:hint="eastAsia" w:ascii="仿宋" w:hAnsi="仿宋" w:cs="仿宋"/>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lang w:val="en-US" w:eastAsia="zh-CN"/>
          <w14:textFill>
            <w14:solidFill>
              <w14:schemeClr w14:val="tx1"/>
            </w14:solidFill>
          </w14:textFill>
        </w:rPr>
        <w:t>应进行</w:t>
      </w:r>
      <w:r>
        <w:rPr>
          <w:rFonts w:hint="eastAsia" w:ascii="仿宋" w:hAnsi="仿宋" w:cs="仿宋"/>
          <w:color w:val="000000" w:themeColor="text1"/>
          <w:sz w:val="24"/>
          <w:szCs w:val="24"/>
          <w14:textFill>
            <w14:solidFill>
              <w14:schemeClr w14:val="tx1"/>
            </w14:solidFill>
          </w14:textFill>
        </w:rPr>
        <w:t>生活用水的检测、清洗和维护</w:t>
      </w:r>
      <w:r>
        <w:rPr>
          <w:rFonts w:hint="eastAsia" w:ascii="仿宋" w:hAnsi="仿宋" w:cs="仿宋"/>
          <w:color w:val="000000" w:themeColor="text1"/>
          <w:sz w:val="24"/>
          <w:szCs w:val="24"/>
          <w:lang w:eastAsia="zh-CN"/>
          <w14:textFill>
            <w14:solidFill>
              <w14:schemeClr w14:val="tx1"/>
            </w14:solidFill>
          </w14:textFill>
        </w:rPr>
        <w:t>。</w:t>
      </w:r>
    </w:p>
    <w:p w14:paraId="58A4E482">
      <w:pPr>
        <w:snapToGrid w:val="0"/>
        <w:spacing w:line="360" w:lineRule="auto"/>
        <w:ind w:firstLine="0" w:firstLineChars="0"/>
        <w:rPr>
          <w:rFonts w:hint="eastAsia" w:ascii="仿宋" w:hAnsi="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3.7</w:t>
      </w:r>
      <w:r>
        <w:rPr>
          <w:rFonts w:hint="eastAsia" w:ascii="仿宋" w:hAnsi="仿宋" w:cs="仿宋"/>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lang w:val="en-US" w:eastAsia="zh-CN"/>
          <w14:textFill>
            <w14:solidFill>
              <w14:schemeClr w14:val="tx1"/>
            </w14:solidFill>
          </w14:textFill>
        </w:rPr>
        <w:t>应积极进行</w:t>
      </w:r>
      <w:r>
        <w:rPr>
          <w:rFonts w:hint="eastAsia" w:ascii="仿宋" w:hAnsi="仿宋" w:cs="仿宋"/>
          <w:color w:val="000000" w:themeColor="text1"/>
          <w:sz w:val="24"/>
          <w:szCs w:val="24"/>
          <w14:textFill>
            <w14:solidFill>
              <w14:schemeClr w14:val="tx1"/>
            </w14:solidFill>
          </w14:textFill>
        </w:rPr>
        <w:t>房屋防水、围护结构的维护和检验</w:t>
      </w:r>
      <w:r>
        <w:rPr>
          <w:rFonts w:hint="eastAsia" w:ascii="仿宋" w:hAnsi="仿宋" w:cs="仿宋"/>
          <w:color w:val="000000" w:themeColor="text1"/>
          <w:sz w:val="24"/>
          <w:szCs w:val="24"/>
          <w:lang w:eastAsia="zh-CN"/>
          <w14:textFill>
            <w14:solidFill>
              <w14:schemeClr w14:val="tx1"/>
            </w14:solidFill>
          </w14:textFill>
        </w:rPr>
        <w:t>。</w:t>
      </w:r>
    </w:p>
    <w:p w14:paraId="3616EEE7">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3.8</w:t>
      </w:r>
      <w:r>
        <w:rPr>
          <w:rFonts w:hint="eastAsia" w:ascii="仿宋" w:hAnsi="仿宋" w:cs="仿宋"/>
          <w:color w:val="000000" w:themeColor="text1"/>
          <w:sz w:val="24"/>
          <w:szCs w:val="24"/>
          <w14:textFill>
            <w14:solidFill>
              <w14:schemeClr w14:val="tx1"/>
            </w14:solidFill>
          </w14:textFill>
        </w:rPr>
        <w:t xml:space="preserve"> 应建立住宅建筑运</w:t>
      </w:r>
      <w:r>
        <w:rPr>
          <w:rFonts w:hint="eastAsia" w:ascii="仿宋" w:hAnsi="仿宋" w:cs="仿宋"/>
          <w:color w:val="000000" w:themeColor="text1"/>
          <w:sz w:val="24"/>
          <w:szCs w:val="24"/>
          <w:lang w:val="en-US" w:eastAsia="zh-CN"/>
          <w14:textFill>
            <w14:solidFill>
              <w14:schemeClr w14:val="tx1"/>
            </w14:solidFill>
          </w14:textFill>
        </w:rPr>
        <w:t>维</w:t>
      </w:r>
      <w:r>
        <w:rPr>
          <w:rFonts w:hint="eastAsia" w:ascii="仿宋" w:hAnsi="仿宋" w:cs="仿宋"/>
          <w:color w:val="000000" w:themeColor="text1"/>
          <w:sz w:val="24"/>
          <w:szCs w:val="24"/>
          <w14:textFill>
            <w14:solidFill>
              <w14:schemeClr w14:val="tx1"/>
            </w14:solidFill>
          </w14:textFill>
        </w:rPr>
        <w:t>维护安全管理制度，并应定期进行检查，保障建筑部品、部件在工作年限内安全可靠。</w:t>
      </w:r>
    </w:p>
    <w:p w14:paraId="25C1CD6E">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3.9</w:t>
      </w:r>
      <w:r>
        <w:rPr>
          <w:rFonts w:hint="eastAsia" w:ascii="仿宋" w:hAnsi="仿宋" w:cs="仿宋"/>
          <w:color w:val="000000" w:themeColor="text1"/>
          <w:sz w:val="24"/>
          <w:szCs w:val="24"/>
          <w14:textFill>
            <w14:solidFill>
              <w14:schemeClr w14:val="tx1"/>
            </w14:solidFill>
          </w14:textFill>
        </w:rPr>
        <w:t xml:space="preserve"> 电梯、消防等涉及人身、财产安全以及其他有特定要求的设施设备，应按规定委托专业机构进行维修和养护。</w:t>
      </w:r>
    </w:p>
    <w:p w14:paraId="16289C35">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3.10</w:t>
      </w:r>
      <w:r>
        <w:rPr>
          <w:rFonts w:hint="eastAsia" w:ascii="仿宋" w:hAnsi="仿宋" w:cs="仿宋"/>
          <w:color w:val="000000" w:themeColor="text1"/>
          <w:sz w:val="24"/>
          <w:szCs w:val="24"/>
          <w14:textFill>
            <w14:solidFill>
              <w14:schemeClr w14:val="tx1"/>
            </w14:solidFill>
          </w14:textFill>
        </w:rPr>
        <w:t xml:space="preserve"> 应构建完善的安全生产管理体系，不仅涵盖安全生产责任制、巡逻制度、消防管理、应急处理等关键安全制度，还应配备各工种的安全操作规程等操作性文件，确保安全管理工作的规范性和可追溯性。</w:t>
      </w:r>
    </w:p>
    <w:p w14:paraId="3794530A">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3</w:t>
      </w:r>
      <w:r>
        <w:rPr>
          <w:rFonts w:hint="eastAsia" w:ascii="仿宋" w:hAnsi="仿宋" w:cs="仿宋"/>
          <w:color w:val="000000" w:themeColor="text1"/>
          <w:sz w:val="24"/>
          <w:szCs w:val="24"/>
          <w14:textFill>
            <w14:solidFill>
              <w14:schemeClr w14:val="tx1"/>
            </w14:solidFill>
          </w14:textFill>
        </w:rPr>
        <w:t>.1</w:t>
      </w:r>
      <w:r>
        <w:rPr>
          <w:rFonts w:hint="eastAsia" w:ascii="仿宋" w:hAnsi="仿宋" w:cs="仿宋"/>
          <w:color w:val="000000" w:themeColor="text1"/>
          <w:sz w:val="24"/>
          <w:szCs w:val="24"/>
          <w:lang w:val="en-US" w:eastAsia="zh-CN"/>
          <w14:textFill>
            <w14:solidFill>
              <w14:schemeClr w14:val="tx1"/>
            </w14:solidFill>
          </w14:textFill>
        </w:rPr>
        <w:t>1物业管理应制定</w:t>
      </w:r>
      <w:r>
        <w:rPr>
          <w:rFonts w:hint="eastAsia" w:ascii="仿宋" w:hAnsi="仿宋" w:cs="仿宋"/>
          <w:color w:val="000000" w:themeColor="text1"/>
          <w:sz w:val="24"/>
          <w:szCs w:val="24"/>
          <w14:textFill>
            <w14:solidFill>
              <w14:schemeClr w14:val="tx1"/>
            </w14:solidFill>
          </w14:textFill>
        </w:rPr>
        <w:t>安全设备管控</w:t>
      </w:r>
      <w:r>
        <w:rPr>
          <w:rFonts w:hint="eastAsia" w:ascii="仿宋" w:hAnsi="仿宋" w:cs="仿宋"/>
          <w:color w:val="000000" w:themeColor="text1"/>
          <w:sz w:val="24"/>
          <w:szCs w:val="24"/>
          <w:lang w:val="en-US" w:eastAsia="zh-CN"/>
          <w14:textFill>
            <w14:solidFill>
              <w14:schemeClr w14:val="tx1"/>
            </w14:solidFill>
          </w14:textFill>
        </w:rPr>
        <w:t>制度。</w:t>
      </w:r>
    </w:p>
    <w:p w14:paraId="193A94CF">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3</w:t>
      </w:r>
      <w:r>
        <w:rPr>
          <w:rFonts w:hint="eastAsia" w:ascii="仿宋" w:hAnsi="仿宋" w:cs="仿宋"/>
          <w:color w:val="000000" w:themeColor="text1"/>
          <w:sz w:val="24"/>
          <w:szCs w:val="24"/>
          <w14:textFill>
            <w14:solidFill>
              <w14:schemeClr w14:val="tx1"/>
            </w14:solidFill>
          </w14:textFill>
        </w:rPr>
        <w:t>.1</w:t>
      </w:r>
      <w:r>
        <w:rPr>
          <w:rFonts w:hint="eastAsia" w:ascii="仿宋" w:hAnsi="仿宋" w:cs="仿宋"/>
          <w:color w:val="000000" w:themeColor="text1"/>
          <w:sz w:val="24"/>
          <w:szCs w:val="24"/>
          <w:lang w:val="en-US" w:eastAsia="zh-CN"/>
          <w14:textFill>
            <w14:solidFill>
              <w14:schemeClr w14:val="tx1"/>
            </w14:solidFill>
          </w14:textFill>
        </w:rPr>
        <w:t>2</w:t>
      </w:r>
      <w:r>
        <w:rPr>
          <w:rFonts w:hint="eastAsia" w:ascii="仿宋" w:hAnsi="仿宋" w:cs="仿宋"/>
          <w:color w:val="000000" w:themeColor="text1"/>
          <w:sz w:val="24"/>
          <w:szCs w:val="24"/>
          <w14:textFill>
            <w14:solidFill>
              <w14:schemeClr w14:val="tx1"/>
            </w14:solidFill>
          </w14:textFill>
        </w:rPr>
        <w:t xml:space="preserve"> 物业应制定消防安全管理制度和应急预案，明确消防安全责任人及其职责。定期组织消防安全检查，及时消除火灾隐患，例如检查电气线路是否老化、易燃物品存放是否符合规定等。定期对消防设施进行检查、维护和保养。</w:t>
      </w:r>
    </w:p>
    <w:p w14:paraId="55FD2264">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3</w:t>
      </w:r>
      <w:r>
        <w:rPr>
          <w:rFonts w:hint="eastAsia" w:ascii="仿宋" w:hAnsi="仿宋" w:cs="仿宋"/>
          <w:color w:val="000000" w:themeColor="text1"/>
          <w:sz w:val="24"/>
          <w:szCs w:val="24"/>
          <w14:textFill>
            <w14:solidFill>
              <w14:schemeClr w14:val="tx1"/>
            </w14:solidFill>
          </w14:textFill>
        </w:rPr>
        <w:t>.1</w:t>
      </w:r>
      <w:r>
        <w:rPr>
          <w:rFonts w:hint="eastAsia" w:ascii="仿宋" w:hAnsi="仿宋" w:cs="仿宋"/>
          <w:color w:val="000000" w:themeColor="text1"/>
          <w:sz w:val="24"/>
          <w:szCs w:val="24"/>
          <w:lang w:val="en-US" w:eastAsia="zh-CN"/>
          <w14:textFill>
            <w14:solidFill>
              <w14:schemeClr w14:val="tx1"/>
            </w14:solidFill>
          </w14:textFill>
        </w:rPr>
        <w:t>3</w:t>
      </w:r>
      <w:r>
        <w:rPr>
          <w:rFonts w:hint="eastAsia" w:ascii="仿宋" w:hAnsi="仿宋" w:cs="仿宋"/>
          <w:color w:val="000000" w:themeColor="text1"/>
          <w:sz w:val="24"/>
          <w:szCs w:val="24"/>
          <w14:textFill>
            <w14:solidFill>
              <w14:schemeClr w14:val="tx1"/>
            </w14:solidFill>
          </w14:textFill>
        </w:rPr>
        <w:t xml:space="preserve"> 物业应建立健全安全管理记录，包括各类安全规章制度、安全检查、巡逻记录、监控录像记录、消防检查记录、应急事件处理记录等。将安全管理记录整理归档，妥善保存，确保记录的完整性和可追溯性。档案保存期限不少于3年。</w:t>
      </w:r>
    </w:p>
    <w:p w14:paraId="7BB4555A">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p>
    <w:p w14:paraId="5D39F99F">
      <w:pPr>
        <w:pStyle w:val="3"/>
        <w:ind w:firstLine="643"/>
        <w:jc w:val="center"/>
        <w:rPr>
          <w:color w:val="000000" w:themeColor="text1"/>
          <w:sz w:val="24"/>
          <w:szCs w:val="24"/>
          <w14:textFill>
            <w14:solidFill>
              <w14:schemeClr w14:val="tx1"/>
            </w14:solidFill>
          </w14:textFill>
        </w:rPr>
      </w:pPr>
      <w:bookmarkStart w:id="104" w:name="_Toc1754"/>
      <w:bookmarkStart w:id="105" w:name="OLE_LINK8"/>
      <w:r>
        <w:rPr>
          <w:rFonts w:hint="eastAsia"/>
          <w:color w:val="000000" w:themeColor="text1"/>
          <w:sz w:val="24"/>
          <w:szCs w:val="24"/>
          <w14:textFill>
            <w14:solidFill>
              <w14:schemeClr w14:val="tx1"/>
            </w14:solidFill>
          </w14:textFill>
        </w:rPr>
        <w:t>7.4 智慧化建设</w:t>
      </w:r>
      <w:bookmarkEnd w:id="104"/>
    </w:p>
    <w:bookmarkEnd w:id="105"/>
    <w:p w14:paraId="4041E977">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4</w:t>
      </w:r>
      <w:r>
        <w:rPr>
          <w:rFonts w:hint="eastAsia" w:ascii="仿宋" w:hAnsi="仿宋" w:cs="仿宋"/>
          <w:color w:val="000000" w:themeColor="text1"/>
          <w:sz w:val="24"/>
          <w:szCs w:val="24"/>
          <w14:textFill>
            <w14:solidFill>
              <w14:schemeClr w14:val="tx1"/>
            </w14:solidFill>
          </w14:textFill>
        </w:rPr>
        <w:t xml:space="preserve">.1 </w:t>
      </w:r>
      <w:r>
        <w:rPr>
          <w:rFonts w:hint="eastAsia" w:ascii="仿宋" w:hAnsi="仿宋" w:cs="仿宋"/>
          <w:color w:val="000000" w:themeColor="text1"/>
          <w:sz w:val="24"/>
          <w:szCs w:val="24"/>
          <w:lang w:val="en-US" w:eastAsia="zh-CN"/>
          <w14:textFill>
            <w14:solidFill>
              <w14:schemeClr w14:val="tx1"/>
            </w14:solidFill>
          </w14:textFill>
        </w:rPr>
        <w:t>推广运用智慧物业管理服务系统，实现事务公开、业务办理等线上功能，满足业主在线服务需求，物业服务企业要实现多维度一体化物业服务体系，拓展服务内容。</w:t>
      </w:r>
      <w:r>
        <w:rPr>
          <w:rFonts w:hint="eastAsia" w:ascii="仿宋" w:hAnsi="仿宋" w:cs="仿宋"/>
          <w:color w:val="000000" w:themeColor="text1"/>
          <w:sz w:val="24"/>
          <w:szCs w:val="24"/>
          <w14:textFill>
            <w14:solidFill>
              <w14:schemeClr w14:val="tx1"/>
            </w14:solidFill>
          </w14:textFill>
        </w:rPr>
        <w:t>具备与智慧城市的资源和平台数据共享的能力。</w:t>
      </w:r>
    </w:p>
    <w:p w14:paraId="6A395F13">
      <w:pPr>
        <w:snapToGrid w:val="0"/>
        <w:spacing w:line="360" w:lineRule="auto"/>
        <w:ind w:firstLine="0" w:firstLineChars="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4</w:t>
      </w:r>
      <w:r>
        <w:rPr>
          <w:rFonts w:hint="eastAsia" w:ascii="仿宋" w:hAnsi="仿宋" w:cs="仿宋"/>
          <w:color w:val="000000" w:themeColor="text1"/>
          <w:sz w:val="24"/>
          <w:szCs w:val="24"/>
          <w14:textFill>
            <w14:solidFill>
              <w14:schemeClr w14:val="tx1"/>
            </w14:solidFill>
          </w14:textFill>
        </w:rPr>
        <w:t>.2 应</w:t>
      </w:r>
      <w:r>
        <w:rPr>
          <w:rFonts w:ascii="仿宋" w:hAnsi="仿宋" w:cs="仿宋"/>
          <w:color w:val="000000" w:themeColor="text1"/>
          <w:sz w:val="24"/>
          <w:szCs w:val="24"/>
          <w14:textFill>
            <w14:solidFill>
              <w14:schemeClr w14:val="tx1"/>
            </w14:solidFill>
          </w14:textFill>
        </w:rPr>
        <w:t>对用户登录信息、交易数据、个人资料等进行加密处理，防止数据泄露。</w:t>
      </w:r>
    </w:p>
    <w:p w14:paraId="596CB951">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4</w:t>
      </w:r>
      <w:r>
        <w:rPr>
          <w:rFonts w:hint="eastAsia" w:ascii="仿宋" w:hAnsi="仿宋" w:cs="仿宋"/>
          <w:color w:val="000000" w:themeColor="text1"/>
          <w:sz w:val="24"/>
          <w:szCs w:val="24"/>
          <w14:textFill>
            <w14:solidFill>
              <w14:schemeClr w14:val="tx1"/>
            </w14:solidFill>
          </w14:textFill>
        </w:rPr>
        <w:t xml:space="preserve">.3 </w:t>
      </w:r>
      <w:r>
        <w:rPr>
          <w:rFonts w:hint="eastAsia" w:ascii="仿宋" w:hAnsi="仿宋" w:cs="仿宋"/>
          <w:color w:val="000000" w:themeColor="text1"/>
          <w:sz w:val="24"/>
          <w:szCs w:val="24"/>
          <w:lang w:val="en-US" w:eastAsia="zh-CN"/>
          <w14:textFill>
            <w14:solidFill>
              <w14:schemeClr w14:val="tx1"/>
            </w14:solidFill>
          </w14:textFill>
        </w:rPr>
        <w:t>智慧</w:t>
      </w:r>
      <w:r>
        <w:rPr>
          <w:rFonts w:ascii="仿宋" w:hAnsi="仿宋" w:cs="仿宋"/>
          <w:color w:val="000000" w:themeColor="text1"/>
          <w:sz w:val="24"/>
          <w:szCs w:val="24"/>
          <w14:textFill>
            <w14:solidFill>
              <w14:schemeClr w14:val="tx1"/>
            </w14:solidFill>
          </w14:textFill>
        </w:rPr>
        <w:t>社区生活服务</w:t>
      </w:r>
      <w:r>
        <w:rPr>
          <w:rFonts w:hint="eastAsia" w:ascii="仿宋" w:hAnsi="仿宋" w:cs="仿宋"/>
          <w:color w:val="000000" w:themeColor="text1"/>
          <w:sz w:val="24"/>
          <w:szCs w:val="24"/>
          <w14:textFill>
            <w14:solidFill>
              <w14:schemeClr w14:val="tx1"/>
            </w14:solidFill>
          </w14:textFill>
        </w:rPr>
        <w:t>宜</w:t>
      </w:r>
      <w:r>
        <w:rPr>
          <w:rFonts w:hint="eastAsia" w:ascii="仿宋" w:hAnsi="仿宋" w:cs="仿宋"/>
          <w:color w:val="000000" w:themeColor="text1"/>
          <w:sz w:val="24"/>
          <w:szCs w:val="24"/>
          <w:lang w:val="en-US" w:eastAsia="zh-CN"/>
          <w14:textFill>
            <w14:solidFill>
              <w14:schemeClr w14:val="tx1"/>
            </w14:solidFill>
          </w14:textFill>
        </w:rPr>
        <w:t>和物联网结合。</w:t>
      </w:r>
    </w:p>
    <w:p w14:paraId="5EF4F982">
      <w:pPr>
        <w:snapToGrid w:val="0"/>
        <w:spacing w:line="360" w:lineRule="auto"/>
        <w:ind w:firstLine="0" w:firstLineChars="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4</w:t>
      </w:r>
      <w:r>
        <w:rPr>
          <w:rFonts w:hint="eastAsia" w:ascii="仿宋" w:hAnsi="仿宋" w:cs="仿宋"/>
          <w:color w:val="000000" w:themeColor="text1"/>
          <w:sz w:val="24"/>
          <w:szCs w:val="24"/>
          <w14:textFill>
            <w14:solidFill>
              <w14:schemeClr w14:val="tx1"/>
            </w14:solidFill>
          </w14:textFill>
        </w:rPr>
        <w:t>.4 物业管理</w:t>
      </w:r>
      <w:r>
        <w:rPr>
          <w:rFonts w:ascii="仿宋" w:hAnsi="仿宋" w:cs="仿宋"/>
          <w:color w:val="000000" w:themeColor="text1"/>
          <w:sz w:val="24"/>
          <w:szCs w:val="24"/>
          <w14:textFill>
            <w14:solidFill>
              <w14:schemeClr w14:val="tx1"/>
            </w14:solidFill>
          </w14:textFill>
        </w:rPr>
        <w:t>平台</w:t>
      </w:r>
      <w:r>
        <w:rPr>
          <w:rFonts w:hint="eastAsia" w:ascii="仿宋" w:hAnsi="仿宋" w:cs="仿宋"/>
          <w:color w:val="000000" w:themeColor="text1"/>
          <w:sz w:val="24"/>
          <w:szCs w:val="24"/>
          <w14:textFill>
            <w14:solidFill>
              <w14:schemeClr w14:val="tx1"/>
            </w14:solidFill>
          </w14:textFill>
        </w:rPr>
        <w:t>宜具备</w:t>
      </w:r>
      <w:r>
        <w:rPr>
          <w:rFonts w:ascii="仿宋" w:hAnsi="仿宋" w:cs="仿宋"/>
          <w:color w:val="000000" w:themeColor="text1"/>
          <w:sz w:val="24"/>
          <w:szCs w:val="24"/>
          <w14:textFill>
            <w14:solidFill>
              <w14:schemeClr w14:val="tx1"/>
            </w14:solidFill>
          </w14:textFill>
        </w:rPr>
        <w:t>社区社交功能模块，业主可在平台上发起社区活动、交流生活经验等。​</w:t>
      </w:r>
    </w:p>
    <w:p w14:paraId="48B1ECBB">
      <w:pPr>
        <w:snapToGrid w:val="0"/>
        <w:spacing w:line="360" w:lineRule="auto"/>
        <w:ind w:firstLine="0" w:firstLineChars="0"/>
        <w:rPr>
          <w:rFonts w:hint="eastAsia" w:ascii="仿宋" w:hAnsi="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4</w:t>
      </w:r>
      <w:r>
        <w:rPr>
          <w:rFonts w:hint="eastAsia" w:ascii="仿宋" w:hAnsi="仿宋" w:cs="仿宋"/>
          <w:color w:val="000000" w:themeColor="text1"/>
          <w:sz w:val="24"/>
          <w:szCs w:val="24"/>
          <w14:textFill>
            <w14:solidFill>
              <w14:schemeClr w14:val="tx1"/>
            </w14:solidFill>
          </w14:textFill>
        </w:rPr>
        <w:t xml:space="preserve">.5 </w:t>
      </w:r>
      <w:r>
        <w:rPr>
          <w:rFonts w:hint="eastAsia" w:ascii="仿宋" w:hAnsi="仿宋" w:cs="仿宋"/>
          <w:color w:val="000000" w:themeColor="text1"/>
          <w:sz w:val="24"/>
          <w:szCs w:val="24"/>
          <w:lang w:val="en-US" w:eastAsia="zh-CN"/>
          <w14:textFill>
            <w14:solidFill>
              <w14:schemeClr w14:val="tx1"/>
            </w14:solidFill>
          </w14:textFill>
        </w:rPr>
        <w:t>积极引进新技术，遵循节约优先、效率为本、技术赋能、全员参与的原则，进行</w:t>
      </w:r>
      <w:r>
        <w:rPr>
          <w:rFonts w:ascii="仿宋" w:hAnsi="仿宋" w:cs="仿宋"/>
          <w:color w:val="000000" w:themeColor="text1"/>
          <w:sz w:val="24"/>
          <w:szCs w:val="24"/>
          <w14:textFill>
            <w14:solidFill>
              <w14:schemeClr w14:val="tx1"/>
            </w14:solidFill>
          </w14:textFill>
        </w:rPr>
        <w:t>能耗管理</w:t>
      </w:r>
      <w:r>
        <w:rPr>
          <w:rFonts w:hint="eastAsia" w:ascii="仿宋" w:hAnsi="仿宋" w:cs="仿宋"/>
          <w:color w:val="000000" w:themeColor="text1"/>
          <w:sz w:val="24"/>
          <w:szCs w:val="24"/>
          <w:lang w:eastAsia="zh-CN"/>
          <w14:textFill>
            <w14:solidFill>
              <w14:schemeClr w14:val="tx1"/>
            </w14:solidFill>
          </w14:textFill>
        </w:rPr>
        <w:t>。</w:t>
      </w:r>
    </w:p>
    <w:p w14:paraId="3B13DADC">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4</w:t>
      </w:r>
      <w:r>
        <w:rPr>
          <w:rFonts w:hint="eastAsia" w:ascii="仿宋" w:hAnsi="仿宋" w:cs="仿宋"/>
          <w:color w:val="000000" w:themeColor="text1"/>
          <w:sz w:val="24"/>
          <w:szCs w:val="24"/>
          <w14:textFill>
            <w14:solidFill>
              <w14:schemeClr w14:val="tx1"/>
            </w14:solidFill>
          </w14:textFill>
        </w:rPr>
        <w:t>.6 宜</w:t>
      </w:r>
      <w:r>
        <w:rPr>
          <w:rFonts w:ascii="仿宋" w:hAnsi="仿宋" w:cs="仿宋"/>
          <w:color w:val="000000" w:themeColor="text1"/>
          <w:sz w:val="24"/>
          <w:szCs w:val="24"/>
          <w14:textFill>
            <w14:solidFill>
              <w14:schemeClr w14:val="tx1"/>
            </w14:solidFill>
          </w14:textFill>
        </w:rPr>
        <w:t>推广使用智能照明控制系统，根据环境光线强度和人员活动情况自动调节照明亮度，实现节能降耗。在小区公共区域安装太阳能路灯、风光互补路灯等新能源照明设备，减少传统能源消耗。​</w:t>
      </w:r>
    </w:p>
    <w:p w14:paraId="386A8491">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p>
    <w:p w14:paraId="45AC4F01">
      <w:pPr>
        <w:pStyle w:val="3"/>
        <w:ind w:firstLine="643"/>
        <w:jc w:val="center"/>
        <w:rPr>
          <w:color w:val="000000" w:themeColor="text1"/>
          <w:sz w:val="24"/>
          <w:szCs w:val="24"/>
          <w14:textFill>
            <w14:solidFill>
              <w14:schemeClr w14:val="tx1"/>
            </w14:solidFill>
          </w14:textFill>
        </w:rPr>
      </w:pPr>
      <w:bookmarkStart w:id="106" w:name="_Toc24993"/>
      <w:r>
        <w:rPr>
          <w:rFonts w:hint="eastAsia"/>
          <w:color w:val="000000" w:themeColor="text1"/>
          <w:sz w:val="24"/>
          <w:szCs w:val="24"/>
          <w14:textFill>
            <w14:solidFill>
              <w14:schemeClr w14:val="tx1"/>
            </w14:solidFill>
          </w14:textFill>
        </w:rPr>
        <w:t xml:space="preserve">7.5 </w:t>
      </w:r>
      <w:r>
        <w:rPr>
          <w:rFonts w:hint="eastAsia"/>
          <w:color w:val="000000" w:themeColor="text1"/>
          <w:sz w:val="24"/>
          <w:szCs w:val="24"/>
          <w:lang w:eastAsia="zh-CN"/>
          <w14:textFill>
            <w14:solidFill>
              <w14:schemeClr w14:val="tx1"/>
            </w14:solidFill>
          </w14:textFill>
        </w:rPr>
        <w:t>社区</w:t>
      </w:r>
      <w:r>
        <w:rPr>
          <w:rFonts w:hint="eastAsia"/>
          <w:color w:val="000000" w:themeColor="text1"/>
          <w:sz w:val="24"/>
          <w:szCs w:val="24"/>
          <w14:textFill>
            <w14:solidFill>
              <w14:schemeClr w14:val="tx1"/>
            </w14:solidFill>
          </w14:textFill>
        </w:rPr>
        <w:t>服务</w:t>
      </w:r>
      <w:bookmarkEnd w:id="106"/>
    </w:p>
    <w:p w14:paraId="28C199D3">
      <w:pPr>
        <w:snapToGrid w:val="0"/>
        <w:spacing w:line="360" w:lineRule="auto"/>
        <w:ind w:firstLine="0" w:firstLineChars="0"/>
        <w:rPr>
          <w:rFonts w:hint="eastAsia" w:ascii="仿宋" w:hAnsi="仿宋" w:eastAsia="仿宋" w:cs="仿宋"/>
          <w:color w:val="000000" w:themeColor="text1"/>
          <w:sz w:val="24"/>
          <w:szCs w:val="24"/>
          <w:lang w:eastAsia="zh-CN"/>
          <w14:textFill>
            <w14:solidFill>
              <w14:schemeClr w14:val="tx1"/>
            </w14:solidFill>
          </w14:textFill>
        </w:rPr>
      </w:pPr>
      <w:bookmarkStart w:id="107" w:name="OLE_LINK5"/>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5</w:t>
      </w:r>
      <w:r>
        <w:rPr>
          <w:rFonts w:hint="eastAsia" w:ascii="仿宋" w:hAnsi="仿宋" w:cs="仿宋"/>
          <w:color w:val="000000" w:themeColor="text1"/>
          <w:sz w:val="24"/>
          <w:szCs w:val="24"/>
          <w14:textFill>
            <w14:solidFill>
              <w14:schemeClr w14:val="tx1"/>
            </w14:solidFill>
          </w14:textFill>
        </w:rPr>
        <w:t>.1</w:t>
      </w:r>
      <w:bookmarkEnd w:id="107"/>
      <w:r>
        <w:rPr>
          <w:rFonts w:hint="eastAsia" w:ascii="仿宋" w:hAnsi="仿宋" w:cs="仿宋"/>
          <w:color w:val="000000" w:themeColor="text1"/>
          <w:sz w:val="24"/>
          <w:szCs w:val="24"/>
          <w14:textFill>
            <w14:solidFill>
              <w14:schemeClr w14:val="tx1"/>
            </w14:solidFill>
          </w14:textFill>
        </w:rPr>
        <w:t xml:space="preserve"> 新建、改建居住区的</w:t>
      </w:r>
      <w:r>
        <w:rPr>
          <w:rFonts w:hint="eastAsia" w:ascii="仿宋" w:hAnsi="仿宋" w:cs="仿宋"/>
          <w:color w:val="000000" w:themeColor="text1"/>
          <w:sz w:val="24"/>
          <w:szCs w:val="24"/>
          <w:lang w:eastAsia="zh-CN"/>
          <w14:textFill>
            <w14:solidFill>
              <w14:schemeClr w14:val="tx1"/>
            </w14:solidFill>
          </w14:textFill>
        </w:rPr>
        <w:t>社区</w:t>
      </w:r>
      <w:r>
        <w:rPr>
          <w:rFonts w:hint="eastAsia" w:ascii="仿宋" w:hAnsi="仿宋" w:cs="仿宋"/>
          <w:color w:val="000000" w:themeColor="text1"/>
          <w:sz w:val="24"/>
          <w:szCs w:val="24"/>
          <w14:textFill>
            <w14:solidFill>
              <w14:schemeClr w14:val="tx1"/>
            </w14:solidFill>
          </w14:textFill>
        </w:rPr>
        <w:t>服务设施</w:t>
      </w:r>
      <w:r>
        <w:rPr>
          <w:rFonts w:hint="eastAsia" w:ascii="仿宋" w:hAnsi="仿宋" w:cs="仿宋"/>
          <w:color w:val="000000" w:themeColor="text1"/>
          <w:sz w:val="24"/>
          <w:szCs w:val="24"/>
          <w14:textFill>
            <w14:solidFill>
              <w14:schemeClr w14:val="tx1"/>
            </w14:solidFill>
          </w14:textFill>
        </w:rPr>
        <w:t>用房应纳入控制性详细规划</w:t>
      </w:r>
      <w:r>
        <w:rPr>
          <w:rFonts w:hint="eastAsia" w:ascii="仿宋" w:hAnsi="仿宋" w:cs="仿宋"/>
          <w:color w:val="000000" w:themeColor="text1"/>
          <w:sz w:val="24"/>
          <w:szCs w:val="24"/>
          <w:lang w:eastAsia="zh-CN"/>
          <w14:textFill>
            <w14:solidFill>
              <w14:schemeClr w14:val="tx1"/>
            </w14:solidFill>
          </w14:textFill>
        </w:rPr>
        <w:t>。</w:t>
      </w:r>
    </w:p>
    <w:p w14:paraId="00B04093">
      <w:pPr>
        <w:snapToGrid w:val="0"/>
        <w:spacing w:line="360" w:lineRule="auto"/>
        <w:ind w:firstLine="0" w:firstLineChars="0"/>
        <w:rPr>
          <w:rFonts w:hint="eastAsia" w:ascii="方正仿宋_GB2312" w:hAnsi="方正仿宋_GB2312" w:eastAsia="方正仿宋_GB2312" w:cs="方正仿宋_GB2312"/>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5</w:t>
      </w:r>
      <w:r>
        <w:rPr>
          <w:rFonts w:hint="eastAsia" w:ascii="仿宋" w:hAnsi="仿宋" w:cs="仿宋"/>
          <w:color w:val="000000" w:themeColor="text1"/>
          <w:sz w:val="24"/>
          <w:szCs w:val="24"/>
          <w14:textFill>
            <w14:solidFill>
              <w14:schemeClr w14:val="tx1"/>
            </w14:solidFill>
          </w14:textFill>
        </w:rPr>
        <w:t>.2</w:t>
      </w:r>
      <w:r>
        <w:rPr>
          <w:rFonts w:hint="eastAsia" w:ascii="方正仿宋_GB2312" w:hAnsi="方正仿宋_GB2312" w:eastAsia="方正仿宋_GB2312" w:cs="方正仿宋_GB2312"/>
          <w:color w:val="000000" w:themeColor="text1"/>
          <w:sz w:val="24"/>
          <w:szCs w:val="24"/>
          <w14:textFill>
            <w14:solidFill>
              <w14:schemeClr w14:val="tx1"/>
            </w14:solidFill>
          </w14:textFill>
        </w:rPr>
        <w:t xml:space="preserve"> 建立健全</w:t>
      </w:r>
      <w:r>
        <w:rPr>
          <w:rFonts w:hint="eastAsia" w:ascii="方正仿宋_GB2312" w:hAnsi="方正仿宋_GB2312" w:eastAsia="方正仿宋_GB2312" w:cs="方正仿宋_GB2312"/>
          <w:color w:val="000000" w:themeColor="text1"/>
          <w:sz w:val="24"/>
          <w:szCs w:val="24"/>
          <w:lang w:eastAsia="zh-CN"/>
          <w14:textFill>
            <w14:solidFill>
              <w14:schemeClr w14:val="tx1"/>
            </w14:solidFill>
          </w14:textFill>
        </w:rPr>
        <w:t>社区</w:t>
      </w:r>
      <w:r>
        <w:rPr>
          <w:rFonts w:hint="eastAsia" w:ascii="方正仿宋_GB2312" w:hAnsi="方正仿宋_GB2312" w:eastAsia="方正仿宋_GB2312" w:cs="方正仿宋_GB2312"/>
          <w:color w:val="000000" w:themeColor="text1"/>
          <w:sz w:val="24"/>
          <w:szCs w:val="24"/>
          <w14:textFill>
            <w14:solidFill>
              <w14:schemeClr w14:val="tx1"/>
            </w14:solidFill>
          </w14:textFill>
        </w:rPr>
        <w:t>服务体系。</w:t>
      </w:r>
    </w:p>
    <w:p w14:paraId="66E63C4D">
      <w:pPr>
        <w:snapToGrid w:val="0"/>
        <w:spacing w:line="360" w:lineRule="auto"/>
        <w:ind w:firstLine="0" w:firstLineChars="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5</w:t>
      </w:r>
      <w:r>
        <w:rPr>
          <w:rFonts w:hint="eastAsia" w:ascii="仿宋" w:hAnsi="仿宋" w:cs="仿宋"/>
          <w:color w:val="000000" w:themeColor="text1"/>
          <w:sz w:val="24"/>
          <w:szCs w:val="24"/>
          <w14:textFill>
            <w14:solidFill>
              <w14:schemeClr w14:val="tx1"/>
            </w14:solidFill>
          </w14:textFill>
        </w:rPr>
        <w:t xml:space="preserve">.3 </w:t>
      </w:r>
      <w:r>
        <w:rPr>
          <w:rFonts w:hint="eastAsia" w:ascii="仿宋" w:hAnsi="仿宋" w:cs="仿宋"/>
          <w:color w:val="000000" w:themeColor="text1"/>
          <w:sz w:val="24"/>
          <w:szCs w:val="24"/>
          <w:lang w:val="en-US" w:eastAsia="zh-CN"/>
          <w14:textFill>
            <w14:solidFill>
              <w14:schemeClr w14:val="tx1"/>
            </w14:solidFill>
          </w14:textFill>
        </w:rPr>
        <w:t>提供一站式</w:t>
      </w:r>
      <w:r>
        <w:rPr>
          <w:rFonts w:hint="eastAsia" w:ascii="方正仿宋_GB2312" w:hAnsi="方正仿宋_GB2312" w:eastAsia="方正仿宋_GB2312" w:cs="方正仿宋_GB2312"/>
          <w:color w:val="000000" w:themeColor="text1"/>
          <w:sz w:val="24"/>
          <w:szCs w:val="24"/>
          <w:lang w:eastAsia="zh-CN"/>
          <w14:textFill>
            <w14:solidFill>
              <w14:schemeClr w14:val="tx1"/>
            </w14:solidFill>
          </w14:textFill>
        </w:rPr>
        <w:t>社区</w:t>
      </w:r>
      <w:r>
        <w:rPr>
          <w:rFonts w:hint="eastAsia" w:ascii="仿宋" w:hAnsi="仿宋" w:cs="仿宋"/>
          <w:color w:val="000000" w:themeColor="text1"/>
          <w:sz w:val="24"/>
          <w:szCs w:val="24"/>
          <w14:textFill>
            <w14:solidFill>
              <w14:schemeClr w14:val="tx1"/>
            </w14:solidFill>
          </w14:textFill>
        </w:rPr>
        <w:t>服务</w:t>
      </w:r>
      <w:r>
        <w:rPr>
          <w:rFonts w:hint="eastAsia" w:ascii="仿宋" w:hAnsi="仿宋" w:cs="仿宋"/>
          <w:color w:val="000000" w:themeColor="text1"/>
          <w:sz w:val="24"/>
          <w:szCs w:val="24"/>
          <w:lang w:eastAsia="zh-CN"/>
          <w14:textFill>
            <w14:solidFill>
              <w14:schemeClr w14:val="tx1"/>
            </w14:solidFill>
          </w14:textFill>
        </w:rPr>
        <w:t>。</w:t>
      </w:r>
    </w:p>
    <w:p w14:paraId="3795F634">
      <w:pPr>
        <w:snapToGrid w:val="0"/>
        <w:spacing w:line="360" w:lineRule="auto"/>
        <w:ind w:firstLine="0" w:firstLineChars="0"/>
        <w:rPr>
          <w:rFonts w:hint="eastAsia" w:ascii="仿宋" w:hAnsi="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5</w:t>
      </w:r>
      <w:r>
        <w:rPr>
          <w:rFonts w:hint="eastAsia" w:ascii="仿宋" w:hAnsi="仿宋" w:cs="仿宋"/>
          <w:color w:val="000000" w:themeColor="text1"/>
          <w:sz w:val="24"/>
          <w:szCs w:val="24"/>
          <w14:textFill>
            <w14:solidFill>
              <w14:schemeClr w14:val="tx1"/>
            </w14:solidFill>
          </w14:textFill>
        </w:rPr>
        <w:t xml:space="preserve">.4 </w:t>
      </w:r>
      <w:r>
        <w:rPr>
          <w:rFonts w:hint="eastAsia" w:ascii="仿宋" w:hAnsi="仿宋" w:cs="仿宋"/>
          <w:color w:val="000000" w:themeColor="text1"/>
          <w:sz w:val="24"/>
          <w:szCs w:val="24"/>
          <w:lang w:val="en-US" w:eastAsia="zh-CN"/>
          <w14:textFill>
            <w14:solidFill>
              <w14:schemeClr w14:val="tx1"/>
            </w14:solidFill>
          </w14:textFill>
        </w:rPr>
        <w:t>设立</w:t>
      </w:r>
      <w:r>
        <w:rPr>
          <w:rFonts w:hint="eastAsia" w:ascii="仿宋" w:hAnsi="仿宋" w:cs="仿宋"/>
          <w:color w:val="000000" w:themeColor="text1"/>
          <w:sz w:val="24"/>
          <w:szCs w:val="24"/>
          <w14:textFill>
            <w14:solidFill>
              <w14:schemeClr w14:val="tx1"/>
            </w14:solidFill>
          </w14:textFill>
        </w:rPr>
        <w:t>物业服务企业监督制度</w:t>
      </w:r>
      <w:r>
        <w:rPr>
          <w:rFonts w:hint="eastAsia" w:ascii="仿宋" w:hAnsi="仿宋" w:cs="仿宋"/>
          <w:color w:val="000000" w:themeColor="text1"/>
          <w:sz w:val="24"/>
          <w:szCs w:val="24"/>
          <w:lang w:eastAsia="zh-CN"/>
          <w14:textFill>
            <w14:solidFill>
              <w14:schemeClr w14:val="tx1"/>
            </w14:solidFill>
          </w14:textFill>
        </w:rPr>
        <w:t>。</w:t>
      </w:r>
    </w:p>
    <w:p w14:paraId="33728F09">
      <w:pPr>
        <w:snapToGrid w:val="0"/>
        <w:spacing w:line="360" w:lineRule="auto"/>
        <w:ind w:firstLine="0" w:firstLineChars="0"/>
        <w:rPr>
          <w:rFonts w:ascii="仿宋" w:hAnsi="仿宋" w:cs="仿宋"/>
          <w:color w:val="000000" w:themeColor="text1"/>
          <w:sz w:val="24"/>
          <w:szCs w:val="24"/>
          <w14:textFill>
            <w14:solidFill>
              <w14:schemeClr w14:val="tx1"/>
            </w14:solidFill>
          </w14:textFill>
        </w:rPr>
      </w:pPr>
    </w:p>
    <w:p w14:paraId="3A098258">
      <w:pPr>
        <w:pStyle w:val="3"/>
        <w:ind w:firstLine="643"/>
        <w:jc w:val="center"/>
        <w:rPr>
          <w:rFonts w:hint="eastAsia"/>
          <w:color w:val="000000" w:themeColor="text1"/>
          <w:sz w:val="24"/>
          <w:szCs w:val="24"/>
          <w14:textFill>
            <w14:solidFill>
              <w14:schemeClr w14:val="tx1"/>
            </w14:solidFill>
          </w14:textFill>
        </w:rPr>
      </w:pPr>
      <w:bookmarkStart w:id="108" w:name="_Toc27669"/>
      <w:r>
        <w:rPr>
          <w:rFonts w:hint="eastAsia"/>
          <w:color w:val="000000" w:themeColor="text1"/>
          <w:sz w:val="24"/>
          <w:szCs w:val="24"/>
          <w14:textFill>
            <w14:solidFill>
              <w14:schemeClr w14:val="tx1"/>
            </w14:solidFill>
          </w14:textFill>
        </w:rPr>
        <w:t>7.6 生活服务</w:t>
      </w:r>
      <w:bookmarkEnd w:id="108"/>
    </w:p>
    <w:p w14:paraId="7056D38B">
      <w:pPr>
        <w:snapToGrid w:val="0"/>
        <w:spacing w:line="360" w:lineRule="auto"/>
        <w:ind w:firstLine="0" w:firstLineChars="0"/>
        <w:rPr>
          <w:rFonts w:hint="eastAsia" w:ascii="仿宋" w:hAnsi="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6</w:t>
      </w:r>
      <w:r>
        <w:rPr>
          <w:rFonts w:hint="eastAsia" w:ascii="仿宋" w:hAnsi="仿宋" w:cs="仿宋"/>
          <w:color w:val="000000" w:themeColor="text1"/>
          <w:sz w:val="24"/>
          <w:szCs w:val="24"/>
          <w14:textFill>
            <w14:solidFill>
              <w14:schemeClr w14:val="tx1"/>
            </w14:solidFill>
          </w14:textFill>
        </w:rPr>
        <w:t>.1</w:t>
      </w:r>
      <w:r>
        <w:rPr>
          <w:rFonts w:hint="eastAsia" w:ascii="仿宋" w:hAnsi="仿宋" w:cs="仿宋"/>
          <w:b/>
          <w:bCs/>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14:textFill>
            <w14:solidFill>
              <w14:schemeClr w14:val="tx1"/>
            </w14:solidFill>
          </w14:textFill>
        </w:rPr>
        <w:t>明确社区应配置的公共服务设施的总体要求，同步规划社区内的“一老一小”等公共服务设施</w:t>
      </w:r>
      <w:r>
        <w:rPr>
          <w:rFonts w:hint="eastAsia" w:ascii="仿宋" w:hAnsi="仿宋" w:cs="仿宋"/>
          <w:color w:val="000000" w:themeColor="text1"/>
          <w:sz w:val="24"/>
          <w:szCs w:val="24"/>
          <w:lang w:eastAsia="zh-CN"/>
          <w14:textFill>
            <w14:solidFill>
              <w14:schemeClr w14:val="tx1"/>
            </w14:solidFill>
          </w14:textFill>
        </w:rPr>
        <w:t>。</w:t>
      </w:r>
    </w:p>
    <w:p w14:paraId="3AE45B95">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6</w:t>
      </w:r>
      <w:r>
        <w:rPr>
          <w:rFonts w:hint="eastAsia" w:ascii="仿宋" w:hAnsi="仿宋" w:cs="仿宋"/>
          <w:color w:val="000000" w:themeColor="text1"/>
          <w:sz w:val="24"/>
          <w:szCs w:val="24"/>
          <w14:textFill>
            <w14:solidFill>
              <w14:schemeClr w14:val="tx1"/>
            </w14:solidFill>
          </w14:textFill>
        </w:rPr>
        <w:t>.2 社区无偿提供便民服务，如代购飞机票、火车票，代收信件，便民雨伞、服务手推车等5项以上。</w:t>
      </w:r>
    </w:p>
    <w:p w14:paraId="65B085ED">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6</w:t>
      </w:r>
      <w:r>
        <w:rPr>
          <w:rFonts w:hint="eastAsia" w:ascii="仿宋" w:hAnsi="仿宋" w:cs="仿宋"/>
          <w:color w:val="000000" w:themeColor="text1"/>
          <w:sz w:val="24"/>
          <w:szCs w:val="24"/>
          <w14:textFill>
            <w14:solidFill>
              <w14:schemeClr w14:val="tx1"/>
            </w14:solidFill>
          </w14:textFill>
        </w:rPr>
        <w:t>.3 公共区域无障碍化（防滑地面、扶手、电梯语音提示）；每日巡查公共区域，检查老年人家庭水电安全（每月1次）。</w:t>
      </w:r>
    </w:p>
    <w:p w14:paraId="3CA059D3">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6</w:t>
      </w:r>
      <w:r>
        <w:rPr>
          <w:rFonts w:hint="eastAsia" w:ascii="仿宋" w:hAnsi="仿宋" w:cs="仿宋"/>
          <w:color w:val="000000" w:themeColor="text1"/>
          <w:sz w:val="24"/>
          <w:szCs w:val="24"/>
          <w14:textFill>
            <w14:solidFill>
              <w14:schemeClr w14:val="tx1"/>
            </w14:solidFill>
          </w14:textFill>
        </w:rPr>
        <w:t>.4 物业</w:t>
      </w:r>
      <w:r>
        <w:rPr>
          <w:rFonts w:hint="eastAsia" w:ascii="仿宋" w:hAnsi="仿宋" w:cs="仿宋"/>
          <w:color w:val="000000" w:themeColor="text1"/>
          <w:sz w:val="24"/>
          <w:szCs w:val="24"/>
          <w:lang w:val="en-US" w:eastAsia="zh-CN"/>
          <w14:textFill>
            <w14:solidFill>
              <w14:schemeClr w14:val="tx1"/>
            </w14:solidFill>
          </w14:textFill>
        </w:rPr>
        <w:t>服务人</w:t>
      </w:r>
      <w:r>
        <w:rPr>
          <w:rFonts w:hint="eastAsia" w:ascii="仿宋" w:hAnsi="仿宋" w:cs="仿宋"/>
          <w:color w:val="000000" w:themeColor="text1"/>
          <w:sz w:val="24"/>
          <w:szCs w:val="24"/>
          <w14:textFill>
            <w14:solidFill>
              <w14:schemeClr w14:val="tx1"/>
            </w14:solidFill>
          </w14:textFill>
        </w:rPr>
        <w:t>开展托幼服务需向当地教育、民政部门备案，确保合法合规运</w:t>
      </w:r>
      <w:r>
        <w:rPr>
          <w:rFonts w:hint="eastAsia" w:ascii="仿宋" w:hAnsi="仿宋" w:cs="仿宋"/>
          <w:color w:val="000000" w:themeColor="text1"/>
          <w:sz w:val="24"/>
          <w:szCs w:val="24"/>
          <w:lang w:val="en-US" w:eastAsia="zh-CN"/>
          <w14:textFill>
            <w14:solidFill>
              <w14:schemeClr w14:val="tx1"/>
            </w14:solidFill>
          </w14:textFill>
        </w:rPr>
        <w:t>维</w:t>
      </w:r>
      <w:r>
        <w:rPr>
          <w:rFonts w:hint="eastAsia" w:ascii="仿宋" w:hAnsi="仿宋" w:cs="仿宋"/>
          <w:color w:val="000000" w:themeColor="text1"/>
          <w:sz w:val="24"/>
          <w:szCs w:val="24"/>
          <w14:textFill>
            <w14:solidFill>
              <w14:schemeClr w14:val="tx1"/>
            </w14:solidFill>
          </w14:textFill>
        </w:rPr>
        <w:t>。</w:t>
      </w:r>
    </w:p>
    <w:p w14:paraId="38E5DE5B">
      <w:pPr>
        <w:snapToGrid w:val="0"/>
        <w:spacing w:line="360" w:lineRule="auto"/>
        <w:ind w:firstLine="0" w:firstLineChars="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6</w:t>
      </w:r>
      <w:r>
        <w:rPr>
          <w:rFonts w:hint="eastAsia" w:ascii="仿宋" w:hAnsi="仿宋" w:cs="仿宋"/>
          <w:color w:val="000000" w:themeColor="text1"/>
          <w:sz w:val="24"/>
          <w:szCs w:val="24"/>
          <w14:textFill>
            <w14:solidFill>
              <w14:schemeClr w14:val="tx1"/>
            </w14:solidFill>
          </w14:textFill>
        </w:rPr>
        <w:t>.5 物业</w:t>
      </w:r>
      <w:r>
        <w:rPr>
          <w:rFonts w:hint="eastAsia" w:ascii="仿宋" w:hAnsi="仿宋" w:cs="仿宋"/>
          <w:color w:val="000000" w:themeColor="text1"/>
          <w:sz w:val="24"/>
          <w:szCs w:val="24"/>
          <w:lang w:val="en-US" w:eastAsia="zh-CN"/>
          <w14:textFill>
            <w14:solidFill>
              <w14:schemeClr w14:val="tx1"/>
            </w14:solidFill>
          </w14:textFill>
        </w:rPr>
        <w:t>服务人</w:t>
      </w:r>
      <w:r>
        <w:rPr>
          <w:rFonts w:hint="eastAsia" w:ascii="仿宋" w:hAnsi="仿宋" w:cs="仿宋"/>
          <w:color w:val="000000" w:themeColor="text1"/>
          <w:sz w:val="24"/>
          <w:szCs w:val="24"/>
          <w14:textFill>
            <w14:solidFill>
              <w14:schemeClr w14:val="tx1"/>
            </w14:solidFill>
          </w14:textFill>
        </w:rPr>
        <w:t>提供代收快递、家电维修、家政对接等便民服务</w:t>
      </w:r>
      <w:r>
        <w:rPr>
          <w:rFonts w:hint="eastAsia" w:ascii="仿宋" w:hAnsi="仿宋" w:cs="仿宋"/>
          <w:color w:val="000000" w:themeColor="text1"/>
          <w:sz w:val="24"/>
          <w:szCs w:val="24"/>
          <w:lang w:eastAsia="zh-CN"/>
          <w14:textFill>
            <w14:solidFill>
              <w14:schemeClr w14:val="tx1"/>
            </w14:solidFill>
          </w14:textFill>
        </w:rPr>
        <w:t>。</w:t>
      </w:r>
    </w:p>
    <w:p w14:paraId="6661E113">
      <w:pPr>
        <w:snapToGrid w:val="0"/>
        <w:spacing w:line="360" w:lineRule="auto"/>
        <w:ind w:left="0" w:leftChars="0" w:firstLine="0" w:firstLineChars="0"/>
        <w:rPr>
          <w:rFonts w:hint="default" w:ascii="仿宋" w:hAnsi="仿宋" w:cs="仿宋"/>
          <w:color w:val="000000" w:themeColor="text1"/>
          <w:sz w:val="24"/>
          <w:szCs w:val="24"/>
          <w:lang w:val="en-US" w:eastAsia="zh-CN"/>
          <w14:textFill>
            <w14:solidFill>
              <w14:schemeClr w14:val="tx1"/>
            </w14:solidFill>
          </w14:textFill>
        </w:rPr>
      </w:pPr>
    </w:p>
    <w:p w14:paraId="620A05BB">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p>
    <w:p w14:paraId="45103BEE">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br w:type="page"/>
      </w:r>
    </w:p>
    <w:p w14:paraId="1D562000">
      <w:pPr>
        <w:pStyle w:val="2"/>
        <w:ind w:firstLine="643"/>
        <w:jc w:val="center"/>
        <w:rPr>
          <w:rFonts w:hint="eastAsia" w:ascii="黑体" w:hAnsi="黑体" w:eastAsia="黑体" w:cs="黑体"/>
          <w:color w:val="000000" w:themeColor="text1"/>
          <w:sz w:val="24"/>
          <w:szCs w:val="24"/>
          <w14:textFill>
            <w14:solidFill>
              <w14:schemeClr w14:val="tx1"/>
            </w14:solidFill>
          </w14:textFill>
        </w:rPr>
      </w:pPr>
      <w:bookmarkStart w:id="109" w:name="_Toc2921"/>
      <w:bookmarkStart w:id="110" w:name="_Toc7097"/>
      <w:bookmarkStart w:id="111" w:name="_Toc5263"/>
      <w:r>
        <w:rPr>
          <w:rFonts w:hint="eastAsia" w:ascii="黑体" w:hAnsi="黑体" w:eastAsia="黑体" w:cs="黑体"/>
          <w:color w:val="000000" w:themeColor="text1"/>
          <w:sz w:val="24"/>
          <w:szCs w:val="24"/>
          <w14:textFill>
            <w14:solidFill>
              <w14:schemeClr w14:val="tx1"/>
            </w14:solidFill>
          </w14:textFill>
        </w:rPr>
        <w:t>8 既有建筑改造</w:t>
      </w:r>
      <w:bookmarkEnd w:id="109"/>
      <w:bookmarkEnd w:id="110"/>
      <w:bookmarkEnd w:id="111"/>
    </w:p>
    <w:p w14:paraId="2D06E3D4">
      <w:pPr>
        <w:pStyle w:val="3"/>
        <w:ind w:firstLine="643"/>
        <w:jc w:val="center"/>
        <w:rPr>
          <w:rFonts w:hint="eastAsia"/>
          <w:color w:val="000000" w:themeColor="text1"/>
          <w:sz w:val="24"/>
          <w:szCs w:val="24"/>
          <w14:textFill>
            <w14:solidFill>
              <w14:schemeClr w14:val="tx1"/>
            </w14:solidFill>
          </w14:textFill>
        </w:rPr>
      </w:pPr>
      <w:bookmarkStart w:id="112" w:name="_Toc15116"/>
      <w:r>
        <w:rPr>
          <w:rFonts w:hint="eastAsia"/>
          <w:color w:val="000000" w:themeColor="text1"/>
          <w:sz w:val="24"/>
          <w:szCs w:val="24"/>
          <w14:textFill>
            <w14:solidFill>
              <w14:schemeClr w14:val="tx1"/>
            </w14:solidFill>
          </w14:textFill>
        </w:rPr>
        <w:t>8.1 基本规定</w:t>
      </w:r>
      <w:bookmarkEnd w:id="112"/>
    </w:p>
    <w:p w14:paraId="506BD710">
      <w:pPr>
        <w:snapToGrid w:val="0"/>
        <w:spacing w:line="360" w:lineRule="auto"/>
        <w:ind w:firstLine="0" w:firstLineChars="0"/>
        <w:rPr>
          <w:rFonts w:hint="eastAsia"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8.1.1 改造应确保既有建筑的安全性，不得降低建筑的结构安全性和防火性能。</w:t>
      </w:r>
    </w:p>
    <w:p w14:paraId="09A478ED">
      <w:pPr>
        <w:snapToGrid w:val="0"/>
        <w:spacing w:line="360" w:lineRule="auto"/>
        <w:ind w:firstLine="0" w:firstLineChars="0"/>
        <w:rPr>
          <w:i/>
          <w:iCs/>
          <w:color w:val="000000" w:themeColor="text1"/>
          <w:sz w:val="24"/>
          <w:szCs w:val="24"/>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8.1.2 改造应根据居民的实际需求和使用功能的变化，合理确定改造内容，提高适用性和舒适性。</w:t>
      </w:r>
    </w:p>
    <w:p w14:paraId="307FB369">
      <w:pPr>
        <w:snapToGrid w:val="0"/>
        <w:spacing w:line="360" w:lineRule="auto"/>
        <w:ind w:firstLine="0" w:firstLineChars="0"/>
        <w:rPr>
          <w:rFonts w:hint="eastAsia"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8.1.3 改造应控制成本，确保经济效益和社会效益。</w:t>
      </w:r>
    </w:p>
    <w:p w14:paraId="79C2999E">
      <w:pPr>
        <w:snapToGrid w:val="0"/>
        <w:spacing w:line="360" w:lineRule="auto"/>
        <w:ind w:firstLine="0" w:firstLineChars="0"/>
        <w:rPr>
          <w:rFonts w:hint="eastAsia"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8.1.4 改造应注重可持续发展，采用绿色、环保、节能的改造技术和材料，延长建筑的使用寿命。</w:t>
      </w:r>
    </w:p>
    <w:p w14:paraId="6FA6A118">
      <w:pPr>
        <w:snapToGrid w:val="0"/>
        <w:spacing w:line="360" w:lineRule="auto"/>
        <w:ind w:firstLine="0" w:firstLineChars="0"/>
        <w:rPr>
          <w:rFonts w:hint="eastAsia"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8.1.5 改造应充分考虑不同年龄段居民的需求。设置无障碍设施、儿童游乐空间、老年活动区域等，打造全龄化环境。</w:t>
      </w:r>
    </w:p>
    <w:p w14:paraId="43330FEF">
      <w:pPr>
        <w:snapToGrid w:val="0"/>
        <w:spacing w:line="360" w:lineRule="auto"/>
        <w:ind w:firstLine="0" w:firstLineChars="0"/>
        <w:rPr>
          <w:i/>
          <w:iCs/>
          <w:color w:val="000000" w:themeColor="text1"/>
          <w:sz w:val="24"/>
          <w:szCs w:val="24"/>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8.1.6 既有建筑改造应依据经审查合格的施工图施工，确需设计变更时，应履行相关手续。</w:t>
      </w:r>
    </w:p>
    <w:p w14:paraId="136558E2">
      <w:pPr>
        <w:snapToGrid w:val="0"/>
        <w:spacing w:line="360" w:lineRule="auto"/>
        <w:ind w:firstLine="0" w:firstLineChars="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8.1.7 改造应因地制宜融入开放共享、绿色低碳、信息化、数字化、智慧化等理念，遵循施工便捷、设置灵活、维护简单、经济高效的原则。应优先使用符合绿色和智能化要求的新技术、新工艺、新材料、新设备。严禁使用国家明令淘汰的产品、设备、材料。宜推广应用智能建造和建筑工业化技术。创新性的技术方法和措施，应进行论证。</w:t>
      </w:r>
    </w:p>
    <w:p w14:paraId="1747AFEE">
      <w:pPr>
        <w:snapToGrid w:val="0"/>
        <w:spacing w:line="360" w:lineRule="auto"/>
        <w:ind w:firstLine="0" w:firstLineChars="0"/>
        <w:rPr>
          <w:i/>
          <w:iCs/>
          <w:color w:val="000000" w:themeColor="text1"/>
          <w:sz w:val="24"/>
          <w:szCs w:val="24"/>
          <w14:textFill>
            <w14:solidFill>
              <w14:schemeClr w14:val="tx1"/>
            </w14:solidFill>
          </w14:textFill>
        </w:rPr>
      </w:pPr>
    </w:p>
    <w:p w14:paraId="6D59E5A5">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p>
    <w:p w14:paraId="5BDADC2E">
      <w:pPr>
        <w:pStyle w:val="3"/>
        <w:ind w:firstLine="643"/>
        <w:jc w:val="center"/>
        <w:rPr>
          <w:color w:val="000000" w:themeColor="text1"/>
          <w:sz w:val="24"/>
          <w:szCs w:val="24"/>
          <w14:textFill>
            <w14:solidFill>
              <w14:schemeClr w14:val="tx1"/>
            </w14:solidFill>
          </w14:textFill>
        </w:rPr>
      </w:pPr>
      <w:bookmarkStart w:id="113" w:name="_Toc16772"/>
      <w:r>
        <w:rPr>
          <w:rFonts w:hint="eastAsia"/>
          <w:color w:val="000000" w:themeColor="text1"/>
          <w:sz w:val="24"/>
          <w:szCs w:val="24"/>
          <w14:textFill>
            <w14:solidFill>
              <w14:schemeClr w14:val="tx1"/>
            </w14:solidFill>
          </w14:textFill>
        </w:rPr>
        <w:t>8.2 改造建筑全流程技术规定</w:t>
      </w:r>
      <w:bookmarkEnd w:id="113"/>
    </w:p>
    <w:p w14:paraId="532E28F0">
      <w:pPr>
        <w:snapToGrid w:val="0"/>
        <w:spacing w:line="360" w:lineRule="auto"/>
        <w:ind w:firstLine="0" w:firstLineChars="0"/>
        <w:rPr>
          <w:rFonts w:hint="eastAsia"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8.2.1 既有建筑改造前，应对其使用现状、结构安全状况、设施设备状况、环境状况及居民需求进行综合评估与调研。</w:t>
      </w:r>
    </w:p>
    <w:p w14:paraId="3ACA65BD">
      <w:pPr>
        <w:snapToGrid w:val="0"/>
        <w:spacing w:line="360" w:lineRule="auto"/>
        <w:ind w:firstLine="0" w:firstLineChars="0"/>
        <w:rPr>
          <w:i/>
          <w:iCs/>
          <w:color w:val="000000" w:themeColor="text1"/>
          <w:sz w:val="24"/>
          <w:szCs w:val="24"/>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8.2.2 应根据评估与调研结果，明确改造目标与范围，并据此编制改造方案。改造方案应包含改造内容、技术措施、预期效果及主要施工计划。</w:t>
      </w:r>
    </w:p>
    <w:p w14:paraId="21524CB1">
      <w:pPr>
        <w:snapToGrid w:val="0"/>
        <w:spacing w:line="360" w:lineRule="auto"/>
        <w:ind w:firstLine="0" w:firstLineChars="0"/>
        <w:rPr>
          <w:rFonts w:hint="eastAsia"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8.2.3 改造设计应基于改造方案进行，并应满足下列要求：</w:t>
      </w:r>
    </w:p>
    <w:p w14:paraId="75347ECB">
      <w:pPr>
        <w:snapToGrid w:val="0"/>
        <w:spacing w:line="360" w:lineRule="auto"/>
        <w:ind w:firstLine="64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1优化建筑功能布局，满足居民需求（如适老性、无障碍、空间改善等）。</w:t>
      </w:r>
    </w:p>
    <w:p w14:paraId="19570E58">
      <w:pPr>
        <w:snapToGrid w:val="0"/>
        <w:spacing w:line="360" w:lineRule="auto"/>
        <w:ind w:firstLine="640"/>
        <w:rPr>
          <w:i/>
          <w:iCs/>
          <w:color w:val="000000" w:themeColor="text1"/>
          <w:sz w:val="24"/>
          <w:szCs w:val="24"/>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2提升建筑性能（包括但不限于节能性能、防水性能、隔声性能、抗震性能、智能化水平）。</w:t>
      </w:r>
    </w:p>
    <w:p w14:paraId="7FA6141B">
      <w:pPr>
        <w:snapToGrid w:val="0"/>
        <w:spacing w:line="360" w:lineRule="auto"/>
        <w:ind w:firstLine="640"/>
        <w:rPr>
          <w:rFonts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3改善室外环境（包括但不限于景观绿化、交通组织、活动场地）。</w:t>
      </w:r>
    </w:p>
    <w:p w14:paraId="0BEEA2C2">
      <w:pPr>
        <w:snapToGrid w:val="0"/>
        <w:spacing w:line="360" w:lineRule="auto"/>
        <w:ind w:firstLine="640"/>
        <w:rPr>
          <w:i/>
          <w:iCs/>
          <w:color w:val="000000" w:themeColor="text1"/>
          <w:sz w:val="24"/>
          <w:szCs w:val="24"/>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4满足结构安全要求。</w:t>
      </w:r>
    </w:p>
    <w:p w14:paraId="70920BCC">
      <w:pPr>
        <w:snapToGrid w:val="0"/>
        <w:spacing w:line="360" w:lineRule="auto"/>
        <w:ind w:firstLine="0" w:firstLineChars="0"/>
        <w:rPr>
          <w:i/>
          <w:iCs/>
          <w:color w:val="000000" w:themeColor="text1"/>
          <w:sz w:val="24"/>
          <w:szCs w:val="24"/>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8.2.4 改造设计应充分考虑既有建筑的结构特点、设施现状及改造施工的可操作性，优先采用模块化、集成化、装配化的技术和产品。</w:t>
      </w:r>
    </w:p>
    <w:p w14:paraId="35830213">
      <w:pPr>
        <w:snapToGrid w:val="0"/>
        <w:spacing w:line="360" w:lineRule="auto"/>
        <w:ind w:firstLine="0" w:firstLineChars="0"/>
        <w:rPr>
          <w:i/>
          <w:iCs/>
          <w:color w:val="000000" w:themeColor="text1"/>
          <w:sz w:val="24"/>
          <w:szCs w:val="24"/>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8.2.5 改造施工应严格按照经审查合格的设计文件及专项施工方案执行。施工前应完成必要的技术交底与专项培训。</w:t>
      </w:r>
    </w:p>
    <w:p w14:paraId="51D2C1D8">
      <w:pPr>
        <w:snapToGrid w:val="0"/>
        <w:spacing w:line="360" w:lineRule="auto"/>
        <w:ind w:firstLine="0" w:firstLineChars="0"/>
        <w:rPr>
          <w:i/>
          <w:iCs/>
          <w:color w:val="000000" w:themeColor="text1"/>
          <w:sz w:val="24"/>
          <w:szCs w:val="24"/>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8.2.6 改造施工过程中，应确保结构安全，不得损伤或削弱原承重结构构件。确需改动原结构时，必须进行鉴定并按设计要求采取可靠加固措施后方可实施。</w:t>
      </w:r>
    </w:p>
    <w:p w14:paraId="421196B9">
      <w:pPr>
        <w:snapToGrid w:val="0"/>
        <w:spacing w:line="360" w:lineRule="auto"/>
        <w:ind w:firstLine="0" w:firstLineChars="0"/>
        <w:rPr>
          <w:i/>
          <w:iCs/>
          <w:color w:val="000000" w:themeColor="text1"/>
          <w:sz w:val="24"/>
          <w:szCs w:val="24"/>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8.2.7 改造施工应制定并落实环境保护与污染控制措施，有效控制施工噪声、扬尘、废水、废气及固体废弃物，减少对居民生活及环境的影响。</w:t>
      </w:r>
    </w:p>
    <w:p w14:paraId="17099A88">
      <w:pPr>
        <w:snapToGrid w:val="0"/>
        <w:spacing w:line="360" w:lineRule="auto"/>
        <w:ind w:firstLine="0" w:firstLineChars="0"/>
        <w:rPr>
          <w:i/>
          <w:iCs/>
          <w:color w:val="000000" w:themeColor="text1"/>
          <w:sz w:val="24"/>
          <w:szCs w:val="24"/>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8.2.8 改造施工选用的材料、部品和设备应符合设计要求和相关标准规定，优先选用绿色、环保、节能的产品。</w:t>
      </w:r>
    </w:p>
    <w:p w14:paraId="2965ABC6">
      <w:pPr>
        <w:snapToGrid w:val="0"/>
        <w:spacing w:line="360" w:lineRule="auto"/>
        <w:ind w:firstLine="0" w:firstLineChars="0"/>
        <w:rPr>
          <w:i/>
          <w:iCs/>
          <w:color w:val="000000" w:themeColor="text1"/>
          <w:sz w:val="24"/>
          <w:szCs w:val="24"/>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8.2.9 改造工程完成后，应按照相关标准规范组织验收，并对改造效果进行评价。验收应包括工程质量、功能性能、环境性能及居民满意度等方面。</w:t>
      </w:r>
    </w:p>
    <w:p w14:paraId="27424E19">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8.2.10 改造完成后应建立健全的运营管理机制，确保改造后的建筑能够长期稳定运行。物业管理公司加强对公共设施的维护和管理，定期检查设备运行情况，及时处理故障问题。</w:t>
      </w:r>
    </w:p>
    <w:p w14:paraId="79FE7B60">
      <w:pPr>
        <w:snapToGrid w:val="0"/>
        <w:spacing w:line="360" w:lineRule="auto"/>
        <w:ind w:firstLine="0" w:firstLineChars="0"/>
        <w:rPr>
          <w:rFonts w:hint="eastAsia"/>
          <w:i/>
          <w:iCs/>
          <w:color w:val="000000" w:themeColor="text1"/>
          <w:sz w:val="24"/>
          <w:szCs w:val="24"/>
          <w:lang w:eastAsia="zh-CN"/>
          <w14:textFill>
            <w14:solidFill>
              <w14:schemeClr w14:val="tx1"/>
            </w14:solidFill>
          </w14:textFill>
        </w:rPr>
      </w:pPr>
    </w:p>
    <w:p w14:paraId="7A62F5BB">
      <w:pPr>
        <w:snapToGrid w:val="0"/>
        <w:spacing w:line="360" w:lineRule="auto"/>
        <w:ind w:firstLine="0" w:firstLineChars="0"/>
        <w:rPr>
          <w:rFonts w:hint="eastAsia"/>
          <w:i/>
          <w:iCs/>
          <w:color w:val="000000" w:themeColor="text1"/>
          <w:sz w:val="24"/>
          <w:szCs w:val="24"/>
          <w:lang w:eastAsia="zh-CN"/>
          <w14:textFill>
            <w14:solidFill>
              <w14:schemeClr w14:val="tx1"/>
            </w14:solidFill>
          </w14:textFill>
        </w:rPr>
      </w:pPr>
    </w:p>
    <w:p w14:paraId="3997EA9C">
      <w:pPr>
        <w:snapToGrid w:val="0"/>
        <w:spacing w:line="360" w:lineRule="auto"/>
        <w:ind w:firstLine="0" w:firstLineChars="0"/>
        <w:rPr>
          <w:rFonts w:hint="eastAsia"/>
          <w:i/>
          <w:iCs/>
          <w:color w:val="000000" w:themeColor="text1"/>
          <w:sz w:val="24"/>
          <w:szCs w:val="24"/>
          <w:lang w:eastAsia="zh-CN"/>
          <w14:textFill>
            <w14:solidFill>
              <w14:schemeClr w14:val="tx1"/>
            </w14:solidFill>
          </w14:textFill>
        </w:rPr>
      </w:pPr>
    </w:p>
    <w:p w14:paraId="4B8DB359">
      <w:pPr>
        <w:ind w:firstLine="0" w:firstLineChars="0"/>
        <w:rPr>
          <w:rFonts w:hint="eastAsia"/>
          <w:i/>
          <w:iCs/>
          <w:color w:val="000000" w:themeColor="text1"/>
          <w:sz w:val="24"/>
          <w:szCs w:val="24"/>
          <w14:textFill>
            <w14:solidFill>
              <w14:schemeClr w14:val="tx1"/>
            </w14:solidFill>
          </w14:textFill>
        </w:rPr>
      </w:pPr>
      <w:r>
        <w:rPr>
          <w:rFonts w:hint="eastAsia"/>
          <w:i/>
          <w:iCs/>
          <w:color w:val="000000" w:themeColor="text1"/>
          <w:sz w:val="24"/>
          <w:szCs w:val="24"/>
          <w14:textFill>
            <w14:solidFill>
              <w14:schemeClr w14:val="tx1"/>
            </w14:solidFill>
          </w14:textFill>
        </w:rPr>
        <w:br w:type="page"/>
      </w:r>
    </w:p>
    <w:p w14:paraId="515CD9F9">
      <w:pPr>
        <w:pStyle w:val="2"/>
        <w:ind w:firstLine="643"/>
        <w:jc w:val="center"/>
        <w:rPr>
          <w:rFonts w:hint="default" w:ascii="黑体" w:hAnsi="黑体" w:eastAsia="黑体" w:cs="黑体"/>
          <w:color w:val="000000" w:themeColor="text1"/>
          <w:sz w:val="24"/>
          <w:szCs w:val="24"/>
          <w:lang w:val="en-US" w:eastAsia="zh-CN"/>
          <w14:textFill>
            <w14:solidFill>
              <w14:schemeClr w14:val="tx1"/>
            </w14:solidFill>
          </w14:textFill>
        </w:rPr>
      </w:pPr>
      <w:bookmarkStart w:id="114" w:name="_Toc29501"/>
      <w:r>
        <w:rPr>
          <w:rFonts w:hint="eastAsia" w:ascii="黑体" w:hAnsi="黑体" w:eastAsia="黑体" w:cs="黑体"/>
          <w:color w:val="000000" w:themeColor="text1"/>
          <w:sz w:val="24"/>
          <w:szCs w:val="24"/>
          <w:lang w:val="en-US" w:eastAsia="zh-CN"/>
          <w14:textFill>
            <w14:solidFill>
              <w14:schemeClr w14:val="tx1"/>
            </w14:solidFill>
          </w14:textFill>
        </w:rPr>
        <w:t>9</w:t>
      </w:r>
      <w:r>
        <w:rPr>
          <w:rFonts w:hint="eastAsia" w:ascii="黑体" w:hAnsi="黑体" w:eastAsia="黑体" w:cs="黑体"/>
          <w:color w:val="000000" w:themeColor="text1"/>
          <w:sz w:val="24"/>
          <w:szCs w:val="24"/>
          <w14:textFill>
            <w14:solidFill>
              <w14:schemeClr w14:val="tx1"/>
            </w14:solidFill>
          </w14:textFill>
        </w:rPr>
        <w:t xml:space="preserve"> </w:t>
      </w:r>
      <w:r>
        <w:rPr>
          <w:rFonts w:hint="eastAsia" w:ascii="黑体" w:hAnsi="黑体" w:eastAsia="黑体" w:cs="黑体"/>
          <w:color w:val="000000" w:themeColor="text1"/>
          <w:sz w:val="24"/>
          <w:szCs w:val="24"/>
          <w:lang w:val="en-US" w:eastAsia="zh-CN"/>
          <w14:textFill>
            <w14:solidFill>
              <w14:schemeClr w14:val="tx1"/>
            </w14:solidFill>
          </w14:textFill>
        </w:rPr>
        <w:t>等级评价</w:t>
      </w:r>
      <w:bookmarkEnd w:id="114"/>
    </w:p>
    <w:p w14:paraId="1718E97A">
      <w:pPr>
        <w:snapToGrid w:val="0"/>
        <w:spacing w:line="360" w:lineRule="auto"/>
        <w:ind w:firstLine="643"/>
        <w:rPr>
          <w:rFonts w:hint="eastAsia" w:ascii="仿宋" w:hAnsi="仿宋" w:cs="仿宋"/>
          <w:color w:val="000000" w:themeColor="text1"/>
          <w:sz w:val="24"/>
          <w:szCs w:val="24"/>
          <w14:textFill>
            <w14:solidFill>
              <w14:schemeClr w14:val="tx1"/>
            </w14:solidFill>
          </w14:textFill>
        </w:rPr>
      </w:pPr>
    </w:p>
    <w:p w14:paraId="25A48421">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9</w:t>
      </w:r>
      <w:r>
        <w:rPr>
          <w:rFonts w:hint="eastAsia" w:ascii="仿宋" w:hAnsi="仿宋" w:cs="仿宋"/>
          <w:color w:val="000000" w:themeColor="text1"/>
          <w:sz w:val="24"/>
          <w:szCs w:val="24"/>
          <w:lang w:bidi="ar"/>
          <w14:textFill>
            <w14:solidFill>
              <w14:schemeClr w14:val="tx1"/>
            </w14:solidFill>
          </w14:textFill>
        </w:rPr>
        <w:t>.</w:t>
      </w:r>
      <w:r>
        <w:rPr>
          <w:rFonts w:hint="eastAsia" w:ascii="仿宋" w:hAnsi="仿宋" w:cs="仿宋"/>
          <w:color w:val="000000" w:themeColor="text1"/>
          <w:sz w:val="24"/>
          <w:szCs w:val="24"/>
          <w:lang w:val="en-US" w:eastAsia="zh-CN" w:bidi="ar"/>
          <w14:textFill>
            <w14:solidFill>
              <w14:schemeClr w14:val="tx1"/>
            </w14:solidFill>
          </w14:textFill>
        </w:rPr>
        <w:t>0</w:t>
      </w:r>
      <w:r>
        <w:rPr>
          <w:rFonts w:hint="eastAsia" w:ascii="仿宋" w:hAnsi="仿宋" w:cs="仿宋"/>
          <w:color w:val="000000" w:themeColor="text1"/>
          <w:sz w:val="24"/>
          <w:szCs w:val="24"/>
          <w:lang w:bidi="ar"/>
          <w14:textFill>
            <w14:solidFill>
              <w14:schemeClr w14:val="tx1"/>
            </w14:solidFill>
          </w14:textFill>
        </w:rPr>
        <w:t xml:space="preserve">.1 </w:t>
      </w:r>
      <w:r>
        <w:rPr>
          <w:rFonts w:hint="default" w:ascii="仿宋" w:hAnsi="仿宋" w:cs="仿宋"/>
          <w:color w:val="000000" w:themeColor="text1"/>
          <w:sz w:val="24"/>
          <w:szCs w:val="24"/>
          <w:lang w:val="en-US" w:eastAsia="zh-CN" w:bidi="ar"/>
          <w14:textFill>
            <w14:solidFill>
              <w14:schemeClr w14:val="tx1"/>
            </w14:solidFill>
          </w14:textFill>
        </w:rPr>
        <w:t>本</w:t>
      </w:r>
      <w:r>
        <w:rPr>
          <w:rFonts w:hint="eastAsia" w:ascii="仿宋" w:hAnsi="仿宋" w:cs="仿宋"/>
          <w:color w:val="000000" w:themeColor="text1"/>
          <w:sz w:val="24"/>
          <w:szCs w:val="24"/>
          <w:lang w:val="en-US" w:eastAsia="zh-CN" w:bidi="ar"/>
          <w14:textFill>
            <w14:solidFill>
              <w14:schemeClr w14:val="tx1"/>
            </w14:solidFill>
          </w14:textFill>
        </w:rPr>
        <w:t>判定方式</w:t>
      </w:r>
      <w:r>
        <w:rPr>
          <w:rFonts w:hint="default" w:ascii="仿宋" w:hAnsi="仿宋" w:cs="仿宋"/>
          <w:color w:val="000000" w:themeColor="text1"/>
          <w:sz w:val="24"/>
          <w:szCs w:val="24"/>
          <w:lang w:val="en-US" w:eastAsia="zh-CN" w:bidi="ar"/>
          <w14:textFill>
            <w14:solidFill>
              <w14:schemeClr w14:val="tx1"/>
            </w14:solidFill>
          </w14:textFill>
        </w:rPr>
        <w:t>适用于</w:t>
      </w:r>
      <w:r>
        <w:rPr>
          <w:rFonts w:hint="eastAsia" w:ascii="仿宋" w:hAnsi="仿宋" w:cs="仿宋"/>
          <w:color w:val="000000" w:themeColor="text1"/>
          <w:sz w:val="24"/>
          <w:szCs w:val="24"/>
          <w:lang w:val="en-US" w:eastAsia="zh-CN" w:bidi="ar"/>
          <w14:textFill>
            <w14:solidFill>
              <w14:schemeClr w14:val="tx1"/>
            </w14:solidFill>
          </w14:textFill>
        </w:rPr>
        <w:t>新建住宅项目</w:t>
      </w:r>
      <w:r>
        <w:rPr>
          <w:rFonts w:hint="default" w:ascii="仿宋" w:hAnsi="仿宋" w:cs="仿宋"/>
          <w:color w:val="000000" w:themeColor="text1"/>
          <w:sz w:val="24"/>
          <w:szCs w:val="24"/>
          <w:lang w:val="en-US" w:eastAsia="zh-CN" w:bidi="ar"/>
          <w14:textFill>
            <w14:solidFill>
              <w14:schemeClr w14:val="tx1"/>
            </w14:solidFill>
          </w14:textFill>
        </w:rPr>
        <w:t>的评价</w:t>
      </w:r>
      <w:r>
        <w:rPr>
          <w:rFonts w:hint="eastAsia" w:ascii="仿宋" w:hAnsi="仿宋" w:cs="仿宋"/>
          <w:color w:val="000000" w:themeColor="text1"/>
          <w:sz w:val="24"/>
          <w:szCs w:val="24"/>
          <w:lang w:val="en-US" w:eastAsia="zh-CN" w:bidi="ar"/>
          <w14:textFill>
            <w14:solidFill>
              <w14:schemeClr w14:val="tx1"/>
            </w14:solidFill>
          </w14:textFill>
        </w:rPr>
        <w:t>。好房子评价体系以“全寿命期品质管控”为核心，围绕安全耐久、健康舒适、绿色低碳、智慧便利四大基础维度展开，同步增设“创新升级”加分项（分值在四大基础维度总分100分以外，最高可加10分）。四大基础维度均划分为控制项（基础准入要求，必须全部达标）与评分项（品质提升指标，按达标程度计分），且覆盖规划、设计、施工、运维四个关键环节。</w:t>
      </w:r>
    </w:p>
    <w:p w14:paraId="5AB32440">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9.0.2 好房子评价规则如下：</w:t>
      </w:r>
    </w:p>
    <w:p w14:paraId="716AF483">
      <w:pPr>
        <w:snapToGrid w:val="0"/>
        <w:spacing w:line="360" w:lineRule="auto"/>
        <w:ind w:firstLine="480" w:firstLineChars="20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1.基础准入判定：四大基础维度的控制项需100%满足，若任一基础维度控制项未达标，则直接判定为“不合格”，不参与后续评分与等级判定；</w:t>
      </w:r>
    </w:p>
    <w:p w14:paraId="197610E0">
      <w:pPr>
        <w:snapToGrid w:val="0"/>
        <w:spacing w:line="360" w:lineRule="auto"/>
        <w:ind w:firstLine="480" w:firstLineChars="20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2.最终分数计算：基础准入判定通过后，先计算四大基础维度评分项累计得分（满分100分），再叠加“创新升级”加分项得分（最高10分），若叠加后总分超过100分，按100分计；</w:t>
      </w:r>
    </w:p>
    <w:p w14:paraId="70D197B2">
      <w:pPr>
        <w:snapToGrid w:val="0"/>
        <w:spacing w:line="360" w:lineRule="auto"/>
        <w:ind w:firstLine="480" w:firstLineChars="20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3.等级划分标准：根据最终分数确定好房子等级，具体为一星级（60～69分）、二星级（70～84分）、三星级（≥85分），若四大基础维度评分项累计得分＜55分，即使叠加加分后仍按“不合格”判定。</w:t>
      </w:r>
    </w:p>
    <w:p w14:paraId="4D1D6280">
      <w:pPr>
        <w:snapToGrid w:val="0"/>
        <w:spacing w:line="360" w:lineRule="auto"/>
        <w:ind w:firstLine="0" w:firstLineChars="0"/>
        <w:rPr>
          <w:rFonts w:hint="eastAsia"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9</w:t>
      </w:r>
      <w:r>
        <w:rPr>
          <w:rFonts w:hint="eastAsia" w:ascii="仿宋" w:hAnsi="仿宋" w:cs="仿宋"/>
          <w:color w:val="000000" w:themeColor="text1"/>
          <w:sz w:val="24"/>
          <w:szCs w:val="24"/>
          <w:lang w:bidi="ar"/>
          <w14:textFill>
            <w14:solidFill>
              <w14:schemeClr w14:val="tx1"/>
            </w14:solidFill>
          </w14:textFill>
        </w:rPr>
        <w:t>.</w:t>
      </w:r>
      <w:r>
        <w:rPr>
          <w:rFonts w:hint="eastAsia" w:ascii="仿宋" w:hAnsi="仿宋" w:cs="仿宋"/>
          <w:color w:val="000000" w:themeColor="text1"/>
          <w:sz w:val="24"/>
          <w:szCs w:val="24"/>
          <w:lang w:val="en-US" w:eastAsia="zh-CN" w:bidi="ar"/>
          <w14:textFill>
            <w14:solidFill>
              <w14:schemeClr w14:val="tx1"/>
            </w14:solidFill>
          </w14:textFill>
        </w:rPr>
        <w:t>0</w:t>
      </w:r>
      <w:r>
        <w:rPr>
          <w:rFonts w:hint="eastAsia" w:ascii="仿宋" w:hAnsi="仿宋" w:cs="仿宋"/>
          <w:color w:val="000000" w:themeColor="text1"/>
          <w:sz w:val="24"/>
          <w:szCs w:val="24"/>
          <w:lang w:bidi="ar"/>
          <w14:textFill>
            <w14:solidFill>
              <w14:schemeClr w14:val="tx1"/>
            </w14:solidFill>
          </w14:textFill>
        </w:rPr>
        <w:t>.</w:t>
      </w:r>
      <w:r>
        <w:rPr>
          <w:rFonts w:hint="eastAsia" w:ascii="仿宋" w:hAnsi="仿宋" w:cs="仿宋"/>
          <w:color w:val="000000" w:themeColor="text1"/>
          <w:sz w:val="24"/>
          <w:szCs w:val="24"/>
          <w:lang w:val="en-US" w:eastAsia="zh-CN" w:bidi="ar"/>
          <w14:textFill>
            <w14:solidFill>
              <w14:schemeClr w14:val="tx1"/>
            </w14:solidFill>
          </w14:textFill>
        </w:rPr>
        <w:t>3</w:t>
      </w:r>
      <w:r>
        <w:rPr>
          <w:rFonts w:hint="eastAsia" w:ascii="仿宋" w:hAnsi="仿宋" w:cs="仿宋"/>
          <w:color w:val="000000" w:themeColor="text1"/>
          <w:sz w:val="24"/>
          <w:szCs w:val="24"/>
          <w:lang w:bidi="ar"/>
          <w14:textFill>
            <w14:solidFill>
              <w14:schemeClr w14:val="tx1"/>
            </w14:solidFill>
          </w14:textFill>
        </w:rPr>
        <w:t xml:space="preserve"> </w:t>
      </w:r>
      <w:r>
        <w:rPr>
          <w:rFonts w:hint="eastAsia" w:ascii="仿宋" w:hAnsi="仿宋" w:cs="仿宋"/>
          <w:color w:val="000000" w:themeColor="text1"/>
          <w:sz w:val="24"/>
          <w:szCs w:val="24"/>
          <w:lang w:val="en-US" w:eastAsia="zh-CN" w:bidi="ar"/>
          <w14:textFill>
            <w14:solidFill>
              <w14:schemeClr w14:val="tx1"/>
            </w14:solidFill>
          </w14:textFill>
        </w:rPr>
        <w:t>好房子评价内容如下：</w:t>
      </w:r>
    </w:p>
    <w:p w14:paraId="28559295">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（一）安全耐久（总分 25 分）</w:t>
      </w:r>
    </w:p>
    <w:p w14:paraId="13A0546A">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1. 控制项（须全部满足，不达标则整体评价不合格）</w:t>
      </w:r>
    </w:p>
    <w:p w14:paraId="4E2467C2">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p>
    <w:tbl>
      <w:tblPr>
        <w:tblStyle w:val="20"/>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 w:type="dxa"/>
          <w:bottom w:w="0" w:type="dxa"/>
          <w:right w:w="10" w:type="dxa"/>
        </w:tblCellMar>
      </w:tblPr>
      <w:tblGrid>
        <w:gridCol w:w="719"/>
        <w:gridCol w:w="1218"/>
        <w:gridCol w:w="5186"/>
        <w:gridCol w:w="1423"/>
      </w:tblGrid>
      <w:tr w14:paraId="02F1E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0D843436">
            <w:pPr>
              <w:keepNext w:val="0"/>
              <w:keepLines w:val="0"/>
              <w:suppressLineNumbers w:val="0"/>
              <w:snapToGrid w:val="0"/>
              <w:spacing w:before="0" w:beforeAutospacing="0" w:after="0" w:afterAutospacing="0" w:line="36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序号</w:t>
            </w:r>
          </w:p>
        </w:tc>
        <w:tc>
          <w:tcPr>
            <w:tcW w:w="1218" w:type="dxa"/>
            <w:tcBorders>
              <w:tl2br w:val="nil"/>
              <w:tr2bl w:val="nil"/>
            </w:tcBorders>
            <w:noWrap w:val="0"/>
            <w:tcMar>
              <w:top w:w="60" w:type="dxa"/>
              <w:left w:w="120" w:type="dxa"/>
              <w:bottom w:w="30" w:type="dxa"/>
              <w:right w:w="120" w:type="dxa"/>
            </w:tcMar>
            <w:vAlign w:val="top"/>
          </w:tcPr>
          <w:p w14:paraId="0CDFBC87">
            <w:pPr>
              <w:keepNext w:val="0"/>
              <w:keepLines w:val="0"/>
              <w:suppressLineNumbers w:val="0"/>
              <w:snapToGrid w:val="0"/>
              <w:spacing w:before="0" w:beforeAutospacing="0" w:after="0" w:afterAutospacing="0" w:line="36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评价内容</w:t>
            </w:r>
          </w:p>
        </w:tc>
        <w:tc>
          <w:tcPr>
            <w:tcW w:w="5186" w:type="dxa"/>
            <w:tcBorders>
              <w:tl2br w:val="nil"/>
              <w:tr2bl w:val="nil"/>
            </w:tcBorders>
            <w:noWrap w:val="0"/>
            <w:tcMar>
              <w:top w:w="60" w:type="dxa"/>
              <w:left w:w="120" w:type="dxa"/>
              <w:bottom w:w="30" w:type="dxa"/>
              <w:right w:w="120" w:type="dxa"/>
            </w:tcMar>
            <w:vAlign w:val="top"/>
          </w:tcPr>
          <w:p w14:paraId="77363489">
            <w:pPr>
              <w:keepNext w:val="0"/>
              <w:keepLines w:val="0"/>
              <w:suppressLineNumbers w:val="0"/>
              <w:snapToGrid w:val="0"/>
              <w:spacing w:before="0" w:beforeAutospacing="0" w:after="0" w:afterAutospacing="0" w:line="36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评价要求</w:t>
            </w:r>
          </w:p>
        </w:tc>
        <w:tc>
          <w:tcPr>
            <w:tcW w:w="1423" w:type="dxa"/>
            <w:tcBorders>
              <w:tl2br w:val="nil"/>
              <w:tr2bl w:val="nil"/>
            </w:tcBorders>
            <w:noWrap w:val="0"/>
            <w:tcMar>
              <w:top w:w="60" w:type="dxa"/>
              <w:left w:w="120" w:type="dxa"/>
              <w:bottom w:w="30" w:type="dxa"/>
              <w:right w:w="120" w:type="dxa"/>
            </w:tcMar>
            <w:vAlign w:val="top"/>
          </w:tcPr>
          <w:p w14:paraId="68B4BF1B">
            <w:pPr>
              <w:keepNext w:val="0"/>
              <w:keepLines w:val="0"/>
              <w:suppressLineNumbers w:val="0"/>
              <w:snapToGrid w:val="0"/>
              <w:spacing w:before="0" w:beforeAutospacing="0" w:after="0" w:afterAutospacing="0" w:line="36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适用环节</w:t>
            </w:r>
          </w:p>
        </w:tc>
      </w:tr>
      <w:tr w14:paraId="7FD32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65D21A23">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1.1</w:t>
            </w:r>
          </w:p>
        </w:tc>
        <w:tc>
          <w:tcPr>
            <w:tcW w:w="1218" w:type="dxa"/>
            <w:tcBorders>
              <w:tl2br w:val="nil"/>
              <w:tr2bl w:val="nil"/>
            </w:tcBorders>
            <w:noWrap w:val="0"/>
            <w:tcMar>
              <w:top w:w="60" w:type="dxa"/>
              <w:left w:w="120" w:type="dxa"/>
              <w:bottom w:w="30" w:type="dxa"/>
              <w:right w:w="120" w:type="dxa"/>
            </w:tcMar>
            <w:vAlign w:val="top"/>
          </w:tcPr>
          <w:p w14:paraId="54B633E4">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结构安全</w:t>
            </w:r>
          </w:p>
        </w:tc>
        <w:tc>
          <w:tcPr>
            <w:tcW w:w="5186" w:type="dxa"/>
            <w:tcBorders>
              <w:tl2br w:val="nil"/>
              <w:tr2bl w:val="nil"/>
            </w:tcBorders>
            <w:noWrap w:val="0"/>
            <w:tcMar>
              <w:top w:w="60" w:type="dxa"/>
              <w:left w:w="120" w:type="dxa"/>
              <w:bottom w:w="30" w:type="dxa"/>
              <w:right w:w="120" w:type="dxa"/>
            </w:tcMar>
            <w:vAlign w:val="top"/>
          </w:tcPr>
          <w:p w14:paraId="3AEE2C21">
            <w:pPr>
              <w:keepNext w:val="0"/>
              <w:keepLines w:val="0"/>
              <w:numPr>
                <w:ilvl w:val="0"/>
                <w:numId w:val="1"/>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结构设计工作年限不低于 50 年，抗震设防烈度 7（8）度及以上地区按规范采用抗震措施；</w:t>
            </w:r>
          </w:p>
          <w:p w14:paraId="694DC48E">
            <w:pPr>
              <w:keepNext w:val="0"/>
              <w:keepLines w:val="0"/>
              <w:numPr>
                <w:ilvl w:val="0"/>
                <w:numId w:val="0"/>
              </w:numPr>
              <w:suppressLineNumbers w:val="0"/>
              <w:snapToGrid w:val="0"/>
              <w:spacing w:before="0" w:beforeAutospacing="0" w:after="0" w:afterAutospacing="0" w:line="240" w:lineRule="auto"/>
              <w:ind w:left="0" w:right="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2. 地下室外墙厚度≥300mm，屋面及卫生间采用抗渗混凝土（抗渗等级≥P6）；</w:t>
            </w:r>
          </w:p>
          <w:p w14:paraId="2208A9BA">
            <w:pPr>
              <w:keepNext w:val="0"/>
              <w:keepLines w:val="0"/>
              <w:numPr>
                <w:ilvl w:val="0"/>
                <w:numId w:val="0"/>
              </w:numPr>
              <w:suppressLineNumbers w:val="0"/>
              <w:snapToGrid w:val="0"/>
              <w:spacing w:before="0" w:beforeAutospacing="0" w:after="0" w:afterAutospacing="0" w:line="240" w:lineRule="auto"/>
              <w:ind w:left="0" w:right="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3. 装配式构件进场验收合格，竖向构件插筋定位偏差≤2mm。</w:t>
            </w:r>
          </w:p>
        </w:tc>
        <w:tc>
          <w:tcPr>
            <w:tcW w:w="1423" w:type="dxa"/>
            <w:tcBorders>
              <w:tl2br w:val="nil"/>
              <w:tr2bl w:val="nil"/>
            </w:tcBorders>
            <w:noWrap w:val="0"/>
            <w:tcMar>
              <w:top w:w="60" w:type="dxa"/>
              <w:left w:w="120" w:type="dxa"/>
              <w:bottom w:w="30" w:type="dxa"/>
              <w:right w:w="120" w:type="dxa"/>
            </w:tcMar>
            <w:vAlign w:val="top"/>
          </w:tcPr>
          <w:p w14:paraId="382F2269">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设计、施工</w:t>
            </w:r>
          </w:p>
        </w:tc>
      </w:tr>
      <w:tr w14:paraId="5E3EA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0FD01B06">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1.2</w:t>
            </w:r>
          </w:p>
        </w:tc>
        <w:tc>
          <w:tcPr>
            <w:tcW w:w="1218" w:type="dxa"/>
            <w:tcBorders>
              <w:tl2br w:val="nil"/>
              <w:tr2bl w:val="nil"/>
            </w:tcBorders>
            <w:noWrap w:val="0"/>
            <w:tcMar>
              <w:top w:w="60" w:type="dxa"/>
              <w:left w:w="120" w:type="dxa"/>
              <w:bottom w:w="30" w:type="dxa"/>
              <w:right w:w="120" w:type="dxa"/>
            </w:tcMar>
            <w:vAlign w:val="top"/>
          </w:tcPr>
          <w:p w14:paraId="1EDDAABD">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防火安全</w:t>
            </w:r>
          </w:p>
        </w:tc>
        <w:tc>
          <w:tcPr>
            <w:tcW w:w="5186" w:type="dxa"/>
            <w:tcBorders>
              <w:tl2br w:val="nil"/>
              <w:tr2bl w:val="nil"/>
            </w:tcBorders>
            <w:noWrap w:val="0"/>
            <w:tcMar>
              <w:top w:w="60" w:type="dxa"/>
              <w:left w:w="120" w:type="dxa"/>
              <w:bottom w:w="30" w:type="dxa"/>
              <w:right w:w="120" w:type="dxa"/>
            </w:tcMar>
            <w:vAlign w:val="top"/>
          </w:tcPr>
          <w:p w14:paraId="3D5779B8">
            <w:pPr>
              <w:keepNext w:val="0"/>
              <w:keepLines w:val="0"/>
              <w:numPr>
                <w:ilvl w:val="0"/>
                <w:numId w:val="2"/>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建筑材料燃烧性能符合《建筑防火通用规范》GB 55037，外墙外保温材料燃烧性能不低于 B1 级；</w:t>
            </w:r>
          </w:p>
          <w:p w14:paraId="4CCABAAE">
            <w:pPr>
              <w:keepNext w:val="0"/>
              <w:keepLines w:val="0"/>
              <w:numPr>
                <w:ilvl w:val="0"/>
                <w:numId w:val="2"/>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消防设施（灭火器、消火栓、应急照明）按规范配置，电梯候梯厅与楼梯平台共享时平台深度≥2.10m。</w:t>
            </w:r>
          </w:p>
        </w:tc>
        <w:tc>
          <w:tcPr>
            <w:tcW w:w="1423" w:type="dxa"/>
            <w:tcBorders>
              <w:tl2br w:val="nil"/>
              <w:tr2bl w:val="nil"/>
            </w:tcBorders>
            <w:noWrap w:val="0"/>
            <w:tcMar>
              <w:top w:w="60" w:type="dxa"/>
              <w:left w:w="120" w:type="dxa"/>
              <w:bottom w:w="30" w:type="dxa"/>
              <w:right w:w="120" w:type="dxa"/>
            </w:tcMar>
            <w:vAlign w:val="top"/>
          </w:tcPr>
          <w:p w14:paraId="2F69E517">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设计、施工、运维</w:t>
            </w:r>
          </w:p>
        </w:tc>
      </w:tr>
      <w:tr w14:paraId="78526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3F3AAD5D">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1.3</w:t>
            </w:r>
          </w:p>
        </w:tc>
        <w:tc>
          <w:tcPr>
            <w:tcW w:w="1218" w:type="dxa"/>
            <w:tcBorders>
              <w:tl2br w:val="nil"/>
              <w:tr2bl w:val="nil"/>
            </w:tcBorders>
            <w:noWrap w:val="0"/>
            <w:tcMar>
              <w:top w:w="60" w:type="dxa"/>
              <w:left w:w="120" w:type="dxa"/>
              <w:bottom w:w="30" w:type="dxa"/>
              <w:right w:w="120" w:type="dxa"/>
            </w:tcMar>
            <w:vAlign w:val="top"/>
          </w:tcPr>
          <w:p w14:paraId="00C09427">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防护安全</w:t>
            </w:r>
          </w:p>
        </w:tc>
        <w:tc>
          <w:tcPr>
            <w:tcW w:w="5186" w:type="dxa"/>
            <w:tcBorders>
              <w:tl2br w:val="nil"/>
              <w:tr2bl w:val="nil"/>
            </w:tcBorders>
            <w:noWrap w:val="0"/>
            <w:tcMar>
              <w:top w:w="60" w:type="dxa"/>
              <w:left w:w="120" w:type="dxa"/>
              <w:bottom w:w="30" w:type="dxa"/>
              <w:right w:w="120" w:type="dxa"/>
            </w:tcMar>
            <w:vAlign w:val="top"/>
          </w:tcPr>
          <w:p w14:paraId="71E9C716">
            <w:pPr>
              <w:keepNext w:val="0"/>
              <w:keepLines w:val="0"/>
              <w:numPr>
                <w:ilvl w:val="0"/>
                <w:numId w:val="3"/>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住宅户门开启不影响公共疏散，相邻户门并列布置时门扇净距≥400mm；</w:t>
            </w:r>
          </w:p>
          <w:p w14:paraId="1D8C8FF3">
            <w:pPr>
              <w:keepNext w:val="0"/>
              <w:keepLines w:val="0"/>
              <w:numPr>
                <w:ilvl w:val="0"/>
                <w:numId w:val="3"/>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室外活动场地采用防滑、防跌落材料，老年人活动区设紧急求助按钮并联动监控；</w:t>
            </w:r>
          </w:p>
          <w:p w14:paraId="7CBDCCC5">
            <w:pPr>
              <w:keepNext w:val="0"/>
              <w:keepLines w:val="0"/>
              <w:numPr>
                <w:ilvl w:val="0"/>
                <w:numId w:val="3"/>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电动自行车停车棚与充电设施符合《电动自行车停放充电场所防火技术标准》DBJ04/T440-2023。</w:t>
            </w:r>
          </w:p>
        </w:tc>
        <w:tc>
          <w:tcPr>
            <w:tcW w:w="1423" w:type="dxa"/>
            <w:tcBorders>
              <w:tl2br w:val="nil"/>
              <w:tr2bl w:val="nil"/>
            </w:tcBorders>
            <w:noWrap w:val="0"/>
            <w:tcMar>
              <w:top w:w="60" w:type="dxa"/>
              <w:left w:w="120" w:type="dxa"/>
              <w:bottom w:w="30" w:type="dxa"/>
              <w:right w:w="120" w:type="dxa"/>
            </w:tcMar>
            <w:vAlign w:val="top"/>
          </w:tcPr>
          <w:p w14:paraId="1B346620">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设计、施工、运维</w:t>
            </w:r>
          </w:p>
        </w:tc>
      </w:tr>
      <w:tr w14:paraId="0A476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67084B24">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1.4</w:t>
            </w:r>
          </w:p>
        </w:tc>
        <w:tc>
          <w:tcPr>
            <w:tcW w:w="1218" w:type="dxa"/>
            <w:tcBorders>
              <w:tl2br w:val="nil"/>
              <w:tr2bl w:val="nil"/>
            </w:tcBorders>
            <w:noWrap w:val="0"/>
            <w:tcMar>
              <w:top w:w="60" w:type="dxa"/>
              <w:left w:w="120" w:type="dxa"/>
              <w:bottom w:w="30" w:type="dxa"/>
              <w:right w:w="120" w:type="dxa"/>
            </w:tcMar>
            <w:vAlign w:val="top"/>
          </w:tcPr>
          <w:p w14:paraId="055DFCC4">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防渗漏安全</w:t>
            </w:r>
          </w:p>
        </w:tc>
        <w:tc>
          <w:tcPr>
            <w:tcW w:w="5186" w:type="dxa"/>
            <w:tcBorders>
              <w:tl2br w:val="nil"/>
              <w:tr2bl w:val="nil"/>
            </w:tcBorders>
            <w:noWrap w:val="0"/>
            <w:tcMar>
              <w:top w:w="60" w:type="dxa"/>
              <w:left w:w="120" w:type="dxa"/>
              <w:bottom w:w="30" w:type="dxa"/>
              <w:right w:w="120" w:type="dxa"/>
            </w:tcMar>
            <w:vAlign w:val="top"/>
          </w:tcPr>
          <w:p w14:paraId="4DE1D0D7">
            <w:pPr>
              <w:keepNext w:val="0"/>
              <w:keepLines w:val="0"/>
              <w:numPr>
                <w:ilvl w:val="0"/>
                <w:numId w:val="4"/>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地下室底板采用跳仓法施工，施工缝设止水钢板并满焊；</w:t>
            </w:r>
          </w:p>
          <w:p w14:paraId="3A94C3C1">
            <w:pPr>
              <w:keepNext w:val="0"/>
              <w:keepLines w:val="0"/>
              <w:numPr>
                <w:ilvl w:val="0"/>
                <w:numId w:val="4"/>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屋面防水层完工后蓄水试验≥24 小时，有水房间（卫生间、厨房）结构闭水试验无渗漏；</w:t>
            </w:r>
          </w:p>
          <w:p w14:paraId="4C0504DF">
            <w:pPr>
              <w:keepNext w:val="0"/>
              <w:keepLines w:val="0"/>
              <w:numPr>
                <w:ilvl w:val="0"/>
                <w:numId w:val="4"/>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外墙螺杆洞采用防水砂浆三遍封堵，外窗与洞口间用防水砂浆填塞（底部 200mm 范围）。</w:t>
            </w:r>
          </w:p>
        </w:tc>
        <w:tc>
          <w:tcPr>
            <w:tcW w:w="1423" w:type="dxa"/>
            <w:tcBorders>
              <w:tl2br w:val="nil"/>
              <w:tr2bl w:val="nil"/>
            </w:tcBorders>
            <w:noWrap w:val="0"/>
            <w:tcMar>
              <w:top w:w="60" w:type="dxa"/>
              <w:left w:w="120" w:type="dxa"/>
              <w:bottom w:w="30" w:type="dxa"/>
              <w:right w:w="120" w:type="dxa"/>
            </w:tcMar>
            <w:vAlign w:val="top"/>
          </w:tcPr>
          <w:p w14:paraId="235F5ADC">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施工、运维</w:t>
            </w:r>
          </w:p>
        </w:tc>
      </w:tr>
      <w:tr w14:paraId="7D860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1A30B8B1">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1.5</w:t>
            </w:r>
          </w:p>
        </w:tc>
        <w:tc>
          <w:tcPr>
            <w:tcW w:w="1218" w:type="dxa"/>
            <w:tcBorders>
              <w:tl2br w:val="nil"/>
              <w:tr2bl w:val="nil"/>
            </w:tcBorders>
            <w:noWrap w:val="0"/>
            <w:tcMar>
              <w:top w:w="60" w:type="dxa"/>
              <w:left w:w="120" w:type="dxa"/>
              <w:bottom w:w="30" w:type="dxa"/>
              <w:right w:w="120" w:type="dxa"/>
            </w:tcMar>
            <w:vAlign w:val="top"/>
          </w:tcPr>
          <w:p w14:paraId="25F5825F">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数据安全</w:t>
            </w:r>
          </w:p>
        </w:tc>
        <w:tc>
          <w:tcPr>
            <w:tcW w:w="5186" w:type="dxa"/>
            <w:tcBorders>
              <w:tl2br w:val="nil"/>
              <w:tr2bl w:val="nil"/>
            </w:tcBorders>
            <w:noWrap w:val="0"/>
            <w:tcMar>
              <w:top w:w="60" w:type="dxa"/>
              <w:left w:w="120" w:type="dxa"/>
              <w:bottom w:w="30" w:type="dxa"/>
              <w:right w:w="120" w:type="dxa"/>
            </w:tcMar>
            <w:vAlign w:val="top"/>
          </w:tcPr>
          <w:p w14:paraId="3FF519F2">
            <w:pPr>
              <w:keepNext w:val="0"/>
              <w:keepLines w:val="0"/>
              <w:numPr>
                <w:ilvl w:val="0"/>
                <w:numId w:val="5"/>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采集公民个人信息符合《中华人民共和国个人信息保护法》，人脸信息采集遵守《人脸识别技术应用安全管理办法》；</w:t>
            </w:r>
          </w:p>
          <w:p w14:paraId="5B8AC9EC">
            <w:pPr>
              <w:keepNext w:val="0"/>
              <w:keepLines w:val="0"/>
              <w:numPr>
                <w:ilvl w:val="0"/>
                <w:numId w:val="5"/>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智慧系统数据（用户登录信息、交易数据）加密存储，无权限人员不可访问。</w:t>
            </w:r>
          </w:p>
        </w:tc>
        <w:tc>
          <w:tcPr>
            <w:tcW w:w="1423" w:type="dxa"/>
            <w:tcBorders>
              <w:tl2br w:val="nil"/>
              <w:tr2bl w:val="nil"/>
            </w:tcBorders>
            <w:noWrap w:val="0"/>
            <w:tcMar>
              <w:top w:w="60" w:type="dxa"/>
              <w:left w:w="120" w:type="dxa"/>
              <w:bottom w:w="30" w:type="dxa"/>
              <w:right w:w="120" w:type="dxa"/>
            </w:tcMar>
            <w:vAlign w:val="top"/>
          </w:tcPr>
          <w:p w14:paraId="42547823">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设计、运维</w:t>
            </w:r>
          </w:p>
        </w:tc>
      </w:tr>
    </w:tbl>
    <w:p w14:paraId="1993FE37">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p>
    <w:p w14:paraId="0F56A836">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2. 评分项（总分 25 分，按达标程度计分）</w:t>
      </w:r>
    </w:p>
    <w:tbl>
      <w:tblPr>
        <w:tblStyle w:val="20"/>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 w:type="dxa"/>
          <w:bottom w:w="0" w:type="dxa"/>
          <w:right w:w="10" w:type="dxa"/>
        </w:tblCellMar>
      </w:tblPr>
      <w:tblGrid>
        <w:gridCol w:w="719"/>
        <w:gridCol w:w="1229"/>
        <w:gridCol w:w="4656"/>
        <w:gridCol w:w="1160"/>
        <w:gridCol w:w="782"/>
      </w:tblGrid>
      <w:tr w14:paraId="0FF9A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678C8E23">
            <w:pPr>
              <w:keepNext w:val="0"/>
              <w:keepLines w:val="0"/>
              <w:suppressLineNumbers w:val="0"/>
              <w:snapToGrid w:val="0"/>
              <w:spacing w:before="0" w:beforeAutospacing="0" w:after="0" w:afterAutospacing="0" w:line="36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序号</w:t>
            </w:r>
          </w:p>
        </w:tc>
        <w:tc>
          <w:tcPr>
            <w:tcW w:w="1229" w:type="dxa"/>
            <w:tcBorders>
              <w:tl2br w:val="nil"/>
              <w:tr2bl w:val="nil"/>
            </w:tcBorders>
            <w:noWrap w:val="0"/>
            <w:tcMar>
              <w:top w:w="60" w:type="dxa"/>
              <w:left w:w="120" w:type="dxa"/>
              <w:bottom w:w="30" w:type="dxa"/>
              <w:right w:w="120" w:type="dxa"/>
            </w:tcMar>
            <w:vAlign w:val="top"/>
          </w:tcPr>
          <w:p w14:paraId="5750E2BE">
            <w:pPr>
              <w:keepNext w:val="0"/>
              <w:keepLines w:val="0"/>
              <w:suppressLineNumbers w:val="0"/>
              <w:snapToGrid w:val="0"/>
              <w:spacing w:before="0" w:beforeAutospacing="0" w:after="0" w:afterAutospacing="0" w:line="36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评价内容</w:t>
            </w:r>
          </w:p>
        </w:tc>
        <w:tc>
          <w:tcPr>
            <w:tcW w:w="4656" w:type="dxa"/>
            <w:tcBorders>
              <w:tl2br w:val="nil"/>
              <w:tr2bl w:val="nil"/>
            </w:tcBorders>
            <w:noWrap w:val="0"/>
            <w:tcMar>
              <w:top w:w="60" w:type="dxa"/>
              <w:left w:w="120" w:type="dxa"/>
              <w:bottom w:w="30" w:type="dxa"/>
              <w:right w:w="120" w:type="dxa"/>
            </w:tcMar>
            <w:vAlign w:val="top"/>
          </w:tcPr>
          <w:p w14:paraId="435522D0">
            <w:pPr>
              <w:keepNext w:val="0"/>
              <w:keepLines w:val="0"/>
              <w:suppressLineNumbers w:val="0"/>
              <w:snapToGrid w:val="0"/>
              <w:spacing w:before="0" w:beforeAutospacing="0" w:after="0" w:afterAutospacing="0" w:line="36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评分标准</w:t>
            </w:r>
          </w:p>
        </w:tc>
        <w:tc>
          <w:tcPr>
            <w:tcW w:w="1160" w:type="dxa"/>
            <w:tcBorders>
              <w:tl2br w:val="nil"/>
              <w:tr2bl w:val="nil"/>
            </w:tcBorders>
            <w:noWrap w:val="0"/>
            <w:tcMar>
              <w:top w:w="60" w:type="dxa"/>
              <w:left w:w="120" w:type="dxa"/>
              <w:bottom w:w="30" w:type="dxa"/>
              <w:right w:w="120" w:type="dxa"/>
            </w:tcMar>
            <w:vAlign w:val="top"/>
          </w:tcPr>
          <w:p w14:paraId="3843191E">
            <w:pPr>
              <w:keepNext w:val="0"/>
              <w:keepLines w:val="0"/>
              <w:suppressLineNumbers w:val="0"/>
              <w:snapToGrid w:val="0"/>
              <w:spacing w:before="0" w:beforeAutospacing="0" w:after="0" w:afterAutospacing="0" w:line="36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适用环节</w:t>
            </w:r>
          </w:p>
        </w:tc>
        <w:tc>
          <w:tcPr>
            <w:tcW w:w="782" w:type="dxa"/>
            <w:tcBorders>
              <w:tl2br w:val="nil"/>
              <w:tr2bl w:val="nil"/>
            </w:tcBorders>
            <w:noWrap w:val="0"/>
            <w:tcMar>
              <w:top w:w="60" w:type="dxa"/>
              <w:left w:w="120" w:type="dxa"/>
              <w:bottom w:w="30" w:type="dxa"/>
              <w:right w:w="120" w:type="dxa"/>
            </w:tcMar>
            <w:vAlign w:val="top"/>
          </w:tcPr>
          <w:p w14:paraId="40D26AC9">
            <w:pPr>
              <w:keepNext w:val="0"/>
              <w:keepLines w:val="0"/>
              <w:suppressLineNumbers w:val="0"/>
              <w:snapToGrid w:val="0"/>
              <w:spacing w:before="0" w:beforeAutospacing="0" w:after="0" w:afterAutospacing="0" w:line="36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分值</w:t>
            </w:r>
          </w:p>
        </w:tc>
      </w:tr>
      <w:tr w14:paraId="1C265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5B98E9A4">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2.1</w:t>
            </w:r>
          </w:p>
        </w:tc>
        <w:tc>
          <w:tcPr>
            <w:tcW w:w="1229" w:type="dxa"/>
            <w:tcBorders>
              <w:tl2br w:val="nil"/>
              <w:tr2bl w:val="nil"/>
            </w:tcBorders>
            <w:noWrap w:val="0"/>
            <w:tcMar>
              <w:top w:w="60" w:type="dxa"/>
              <w:left w:w="120" w:type="dxa"/>
              <w:bottom w:w="30" w:type="dxa"/>
              <w:right w:w="120" w:type="dxa"/>
            </w:tcMar>
            <w:vAlign w:val="top"/>
          </w:tcPr>
          <w:p w14:paraId="70B220F6">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结构耐久性</w:t>
            </w:r>
          </w:p>
        </w:tc>
        <w:tc>
          <w:tcPr>
            <w:tcW w:w="4656" w:type="dxa"/>
            <w:tcBorders>
              <w:tl2br w:val="nil"/>
              <w:tr2bl w:val="nil"/>
            </w:tcBorders>
            <w:noWrap w:val="0"/>
            <w:tcMar>
              <w:top w:w="60" w:type="dxa"/>
              <w:left w:w="120" w:type="dxa"/>
              <w:bottom w:w="30" w:type="dxa"/>
              <w:right w:w="120" w:type="dxa"/>
            </w:tcMar>
            <w:vAlign w:val="top"/>
          </w:tcPr>
          <w:p w14:paraId="70AAAA19">
            <w:pPr>
              <w:keepNext w:val="0"/>
              <w:keepLines w:val="0"/>
              <w:numPr>
                <w:ilvl w:val="0"/>
                <w:numId w:val="6"/>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结构设计按 70 年工作年限设计（+3 分），</w:t>
            </w:r>
          </w:p>
          <w:p w14:paraId="0404D006">
            <w:pPr>
              <w:keepNext w:val="0"/>
              <w:keepLines w:val="0"/>
              <w:numPr>
                <w:ilvl w:val="0"/>
                <w:numId w:val="6"/>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抗震设防烈度 7（8）度及以上地区采用减隔震设计（+2 分）。</w:t>
            </w:r>
          </w:p>
        </w:tc>
        <w:tc>
          <w:tcPr>
            <w:tcW w:w="1160" w:type="dxa"/>
            <w:tcBorders>
              <w:tl2br w:val="nil"/>
              <w:tr2bl w:val="nil"/>
            </w:tcBorders>
            <w:noWrap w:val="0"/>
            <w:tcMar>
              <w:top w:w="60" w:type="dxa"/>
              <w:left w:w="120" w:type="dxa"/>
              <w:bottom w:w="30" w:type="dxa"/>
              <w:right w:w="120" w:type="dxa"/>
            </w:tcMar>
            <w:vAlign w:val="top"/>
          </w:tcPr>
          <w:p w14:paraId="6A849E55">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设计</w:t>
            </w:r>
          </w:p>
        </w:tc>
        <w:tc>
          <w:tcPr>
            <w:tcW w:w="782" w:type="dxa"/>
            <w:tcBorders>
              <w:tl2br w:val="nil"/>
              <w:tr2bl w:val="nil"/>
            </w:tcBorders>
            <w:noWrap w:val="0"/>
            <w:tcMar>
              <w:top w:w="60" w:type="dxa"/>
              <w:left w:w="120" w:type="dxa"/>
              <w:bottom w:w="30" w:type="dxa"/>
              <w:right w:w="120" w:type="dxa"/>
            </w:tcMar>
            <w:vAlign w:val="top"/>
          </w:tcPr>
          <w:p w14:paraId="1142BC40">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5 分</w:t>
            </w:r>
          </w:p>
        </w:tc>
      </w:tr>
      <w:tr w14:paraId="40C14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0E605413">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2.2</w:t>
            </w:r>
          </w:p>
        </w:tc>
        <w:tc>
          <w:tcPr>
            <w:tcW w:w="1229" w:type="dxa"/>
            <w:tcBorders>
              <w:tl2br w:val="nil"/>
              <w:tr2bl w:val="nil"/>
            </w:tcBorders>
            <w:noWrap w:val="0"/>
            <w:tcMar>
              <w:top w:w="60" w:type="dxa"/>
              <w:left w:w="120" w:type="dxa"/>
              <w:bottom w:w="30" w:type="dxa"/>
              <w:right w:w="120" w:type="dxa"/>
            </w:tcMar>
            <w:vAlign w:val="top"/>
          </w:tcPr>
          <w:p w14:paraId="1903EE74">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消防与应急</w:t>
            </w:r>
          </w:p>
        </w:tc>
        <w:tc>
          <w:tcPr>
            <w:tcW w:w="4656" w:type="dxa"/>
            <w:tcBorders>
              <w:tl2br w:val="nil"/>
              <w:tr2bl w:val="nil"/>
            </w:tcBorders>
            <w:noWrap w:val="0"/>
            <w:tcMar>
              <w:top w:w="60" w:type="dxa"/>
              <w:left w:w="120" w:type="dxa"/>
              <w:bottom w:w="30" w:type="dxa"/>
              <w:right w:w="120" w:type="dxa"/>
            </w:tcMar>
            <w:vAlign w:val="top"/>
          </w:tcPr>
          <w:p w14:paraId="4F1377DA">
            <w:pPr>
              <w:keepNext w:val="0"/>
              <w:keepLines w:val="0"/>
              <w:numPr>
                <w:ilvl w:val="0"/>
                <w:numId w:val="7"/>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高层住宅每个单元设 1 台可容纳担架的电梯（候梯厅深度≥1.80m，+2 分）；</w:t>
            </w:r>
          </w:p>
          <w:p w14:paraId="2FFE5329">
            <w:pPr>
              <w:keepNext w:val="0"/>
              <w:keepLines w:val="0"/>
              <w:numPr>
                <w:ilvl w:val="0"/>
                <w:numId w:val="7"/>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建立消防应急预案，每季度组织 1 次消防演练（+2 分）；</w:t>
            </w:r>
          </w:p>
          <w:p w14:paraId="7DF0DEB0">
            <w:pPr>
              <w:keepNext w:val="0"/>
              <w:keepLines w:val="0"/>
              <w:numPr>
                <w:ilvl w:val="0"/>
                <w:numId w:val="7"/>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住区出入口设应急广场，满足平急转换需求（+1 分）。</w:t>
            </w:r>
          </w:p>
        </w:tc>
        <w:tc>
          <w:tcPr>
            <w:tcW w:w="1160" w:type="dxa"/>
            <w:tcBorders>
              <w:tl2br w:val="nil"/>
              <w:tr2bl w:val="nil"/>
            </w:tcBorders>
            <w:noWrap w:val="0"/>
            <w:tcMar>
              <w:top w:w="60" w:type="dxa"/>
              <w:left w:w="120" w:type="dxa"/>
              <w:bottom w:w="30" w:type="dxa"/>
              <w:right w:w="120" w:type="dxa"/>
            </w:tcMar>
            <w:vAlign w:val="top"/>
          </w:tcPr>
          <w:p w14:paraId="18E6960F">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设计、运维</w:t>
            </w:r>
          </w:p>
        </w:tc>
        <w:tc>
          <w:tcPr>
            <w:tcW w:w="782" w:type="dxa"/>
            <w:tcBorders>
              <w:tl2br w:val="nil"/>
              <w:tr2bl w:val="nil"/>
            </w:tcBorders>
            <w:noWrap w:val="0"/>
            <w:tcMar>
              <w:top w:w="60" w:type="dxa"/>
              <w:left w:w="120" w:type="dxa"/>
              <w:bottom w:w="30" w:type="dxa"/>
              <w:right w:w="120" w:type="dxa"/>
            </w:tcMar>
            <w:vAlign w:val="top"/>
          </w:tcPr>
          <w:p w14:paraId="50E05EBE">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5 分</w:t>
            </w:r>
          </w:p>
        </w:tc>
      </w:tr>
      <w:tr w14:paraId="5D39D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76CD3C7F">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2.3</w:t>
            </w:r>
          </w:p>
        </w:tc>
        <w:tc>
          <w:tcPr>
            <w:tcW w:w="1229" w:type="dxa"/>
            <w:tcBorders>
              <w:tl2br w:val="nil"/>
              <w:tr2bl w:val="nil"/>
            </w:tcBorders>
            <w:noWrap w:val="0"/>
            <w:tcMar>
              <w:top w:w="60" w:type="dxa"/>
              <w:left w:w="120" w:type="dxa"/>
              <w:bottom w:w="30" w:type="dxa"/>
              <w:right w:w="120" w:type="dxa"/>
            </w:tcMar>
            <w:vAlign w:val="top"/>
          </w:tcPr>
          <w:p w14:paraId="1C3321E0">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防高空抛物与监控</w:t>
            </w:r>
          </w:p>
        </w:tc>
        <w:tc>
          <w:tcPr>
            <w:tcW w:w="4656" w:type="dxa"/>
            <w:tcBorders>
              <w:tl2br w:val="nil"/>
              <w:tr2bl w:val="nil"/>
            </w:tcBorders>
            <w:noWrap w:val="0"/>
            <w:tcMar>
              <w:top w:w="60" w:type="dxa"/>
              <w:left w:w="120" w:type="dxa"/>
              <w:bottom w:w="30" w:type="dxa"/>
              <w:right w:w="120" w:type="dxa"/>
            </w:tcMar>
            <w:vAlign w:val="top"/>
          </w:tcPr>
          <w:p w14:paraId="79B925C0">
            <w:pPr>
              <w:keepNext w:val="0"/>
              <w:keepLines w:val="0"/>
              <w:numPr>
                <w:ilvl w:val="0"/>
                <w:numId w:val="8"/>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住区周界、单元出入口、电梯轿厢等关键部位设视频监控（存储≥30 天，+2 分）；</w:t>
            </w:r>
          </w:p>
          <w:p w14:paraId="6FD0A769">
            <w:pPr>
              <w:keepNext w:val="0"/>
              <w:keepLines w:val="0"/>
              <w:numPr>
                <w:ilvl w:val="0"/>
                <w:numId w:val="8"/>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安装防高空抛物摄像机（分辨率≥400 万像素，+2 分）；</w:t>
            </w:r>
          </w:p>
          <w:p w14:paraId="786B9530">
            <w:pPr>
              <w:keepNext w:val="0"/>
              <w:keepLines w:val="0"/>
              <w:numPr>
                <w:ilvl w:val="0"/>
                <w:numId w:val="8"/>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监控中心 24 小时双人值班，报警响应时间≤60 秒（+1 分）。</w:t>
            </w:r>
          </w:p>
        </w:tc>
        <w:tc>
          <w:tcPr>
            <w:tcW w:w="1160" w:type="dxa"/>
            <w:tcBorders>
              <w:tl2br w:val="nil"/>
              <w:tr2bl w:val="nil"/>
            </w:tcBorders>
            <w:noWrap w:val="0"/>
            <w:tcMar>
              <w:top w:w="60" w:type="dxa"/>
              <w:left w:w="120" w:type="dxa"/>
              <w:bottom w:w="30" w:type="dxa"/>
              <w:right w:w="120" w:type="dxa"/>
            </w:tcMar>
            <w:vAlign w:val="top"/>
          </w:tcPr>
          <w:p w14:paraId="2F5D2CC0">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设计、运维</w:t>
            </w:r>
          </w:p>
        </w:tc>
        <w:tc>
          <w:tcPr>
            <w:tcW w:w="782" w:type="dxa"/>
            <w:tcBorders>
              <w:tl2br w:val="nil"/>
              <w:tr2bl w:val="nil"/>
            </w:tcBorders>
            <w:noWrap w:val="0"/>
            <w:tcMar>
              <w:top w:w="60" w:type="dxa"/>
              <w:left w:w="120" w:type="dxa"/>
              <w:bottom w:w="30" w:type="dxa"/>
              <w:right w:w="120" w:type="dxa"/>
            </w:tcMar>
            <w:vAlign w:val="top"/>
          </w:tcPr>
          <w:p w14:paraId="33D3F5FE">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5 分</w:t>
            </w:r>
          </w:p>
        </w:tc>
      </w:tr>
      <w:tr w14:paraId="4512F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378FFF96">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2.4</w:t>
            </w:r>
          </w:p>
        </w:tc>
        <w:tc>
          <w:tcPr>
            <w:tcW w:w="1229" w:type="dxa"/>
            <w:tcBorders>
              <w:tl2br w:val="nil"/>
              <w:tr2bl w:val="nil"/>
            </w:tcBorders>
            <w:noWrap w:val="0"/>
            <w:tcMar>
              <w:top w:w="60" w:type="dxa"/>
              <w:left w:w="120" w:type="dxa"/>
              <w:bottom w:w="30" w:type="dxa"/>
              <w:right w:w="120" w:type="dxa"/>
            </w:tcMar>
            <w:vAlign w:val="top"/>
          </w:tcPr>
          <w:p w14:paraId="25842D25">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设备与管线安全</w:t>
            </w:r>
          </w:p>
        </w:tc>
        <w:tc>
          <w:tcPr>
            <w:tcW w:w="4656" w:type="dxa"/>
            <w:tcBorders>
              <w:tl2br w:val="nil"/>
              <w:tr2bl w:val="nil"/>
            </w:tcBorders>
            <w:noWrap w:val="0"/>
            <w:tcMar>
              <w:top w:w="60" w:type="dxa"/>
              <w:left w:w="120" w:type="dxa"/>
              <w:bottom w:w="30" w:type="dxa"/>
              <w:right w:w="120" w:type="dxa"/>
            </w:tcMar>
            <w:vAlign w:val="top"/>
          </w:tcPr>
          <w:p w14:paraId="0B17FC76">
            <w:pPr>
              <w:keepNext w:val="0"/>
              <w:keepLines w:val="0"/>
              <w:numPr>
                <w:ilvl w:val="0"/>
                <w:numId w:val="9"/>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生活水泵房、变配电室设水浸监测装置（+2 分）；</w:t>
            </w:r>
          </w:p>
          <w:p w14:paraId="3A980DA3">
            <w:pPr>
              <w:keepNext w:val="0"/>
              <w:keepLines w:val="0"/>
              <w:numPr>
                <w:ilvl w:val="0"/>
                <w:numId w:val="9"/>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燃气管道不穿套内水平敷设，厨房设燃气泄漏报警装置并联动阀门关闭（+2 分）；</w:t>
            </w:r>
          </w:p>
          <w:p w14:paraId="2F6AB34F">
            <w:pPr>
              <w:keepNext w:val="0"/>
              <w:keepLines w:val="0"/>
              <w:numPr>
                <w:ilvl w:val="0"/>
                <w:numId w:val="9"/>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机电设备（水泵、空调主机）采用弹簧减震器，管道与设备用柔性接头（+1 分）。</w:t>
            </w:r>
          </w:p>
        </w:tc>
        <w:tc>
          <w:tcPr>
            <w:tcW w:w="1160" w:type="dxa"/>
            <w:tcBorders>
              <w:tl2br w:val="nil"/>
              <w:tr2bl w:val="nil"/>
            </w:tcBorders>
            <w:noWrap w:val="0"/>
            <w:tcMar>
              <w:top w:w="60" w:type="dxa"/>
              <w:left w:w="120" w:type="dxa"/>
              <w:bottom w:w="30" w:type="dxa"/>
              <w:right w:w="120" w:type="dxa"/>
            </w:tcMar>
            <w:vAlign w:val="top"/>
          </w:tcPr>
          <w:p w14:paraId="4064E805">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设计、施工</w:t>
            </w:r>
          </w:p>
        </w:tc>
        <w:tc>
          <w:tcPr>
            <w:tcW w:w="782" w:type="dxa"/>
            <w:tcBorders>
              <w:tl2br w:val="nil"/>
              <w:tr2bl w:val="nil"/>
            </w:tcBorders>
            <w:noWrap w:val="0"/>
            <w:tcMar>
              <w:top w:w="60" w:type="dxa"/>
              <w:left w:w="120" w:type="dxa"/>
              <w:bottom w:w="30" w:type="dxa"/>
              <w:right w:w="120" w:type="dxa"/>
            </w:tcMar>
            <w:vAlign w:val="top"/>
          </w:tcPr>
          <w:p w14:paraId="085C4822">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5 分</w:t>
            </w:r>
          </w:p>
        </w:tc>
      </w:tr>
      <w:tr w14:paraId="55D6B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6560E5BF">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2.5</w:t>
            </w:r>
          </w:p>
        </w:tc>
        <w:tc>
          <w:tcPr>
            <w:tcW w:w="1229" w:type="dxa"/>
            <w:tcBorders>
              <w:tl2br w:val="nil"/>
              <w:tr2bl w:val="nil"/>
            </w:tcBorders>
            <w:noWrap w:val="0"/>
            <w:tcMar>
              <w:top w:w="60" w:type="dxa"/>
              <w:left w:w="120" w:type="dxa"/>
              <w:bottom w:w="30" w:type="dxa"/>
              <w:right w:w="120" w:type="dxa"/>
            </w:tcMar>
            <w:vAlign w:val="top"/>
          </w:tcPr>
          <w:p w14:paraId="7E12A7EC">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运维安全管理</w:t>
            </w:r>
          </w:p>
        </w:tc>
        <w:tc>
          <w:tcPr>
            <w:tcW w:w="4656" w:type="dxa"/>
            <w:tcBorders>
              <w:tl2br w:val="nil"/>
              <w:tr2bl w:val="nil"/>
            </w:tcBorders>
            <w:noWrap w:val="0"/>
            <w:tcMar>
              <w:top w:w="60" w:type="dxa"/>
              <w:left w:w="120" w:type="dxa"/>
              <w:bottom w:w="30" w:type="dxa"/>
              <w:right w:w="120" w:type="dxa"/>
            </w:tcMar>
            <w:vAlign w:val="top"/>
          </w:tcPr>
          <w:p w14:paraId="24D84DFA">
            <w:pPr>
              <w:keepNext w:val="0"/>
              <w:keepLines w:val="0"/>
              <w:numPr>
                <w:ilvl w:val="0"/>
                <w:numId w:val="10"/>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物业建立安全巡查制度，日常每 2 小时巡逻 1 次，恶劣天气每 30 分钟 1 次（+2 分）；</w:t>
            </w:r>
          </w:p>
          <w:p w14:paraId="1B67983E">
            <w:pPr>
              <w:keepNext w:val="0"/>
              <w:keepLines w:val="0"/>
              <w:numPr>
                <w:ilvl w:val="0"/>
                <w:numId w:val="10"/>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建立设施设备维护台账，防水工程保修期≥5 年（+2 分）；</w:t>
            </w:r>
          </w:p>
          <w:p w14:paraId="57D4A96A">
            <w:pPr>
              <w:keepNext w:val="0"/>
              <w:keepLines w:val="0"/>
              <w:numPr>
                <w:ilvl w:val="0"/>
                <w:numId w:val="10"/>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定期开展房屋结构安全检测（每年 1 次，+1 分）。</w:t>
            </w:r>
          </w:p>
        </w:tc>
        <w:tc>
          <w:tcPr>
            <w:tcW w:w="1160" w:type="dxa"/>
            <w:tcBorders>
              <w:tl2br w:val="nil"/>
              <w:tr2bl w:val="nil"/>
            </w:tcBorders>
            <w:noWrap w:val="0"/>
            <w:tcMar>
              <w:top w:w="60" w:type="dxa"/>
              <w:left w:w="120" w:type="dxa"/>
              <w:bottom w:w="30" w:type="dxa"/>
              <w:right w:w="120" w:type="dxa"/>
            </w:tcMar>
            <w:vAlign w:val="top"/>
          </w:tcPr>
          <w:p w14:paraId="44C70761">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运维</w:t>
            </w:r>
          </w:p>
        </w:tc>
        <w:tc>
          <w:tcPr>
            <w:tcW w:w="782" w:type="dxa"/>
            <w:tcBorders>
              <w:tl2br w:val="nil"/>
              <w:tr2bl w:val="nil"/>
            </w:tcBorders>
            <w:noWrap w:val="0"/>
            <w:tcMar>
              <w:top w:w="60" w:type="dxa"/>
              <w:left w:w="120" w:type="dxa"/>
              <w:bottom w:w="30" w:type="dxa"/>
              <w:right w:w="120" w:type="dxa"/>
            </w:tcMar>
            <w:vAlign w:val="top"/>
          </w:tcPr>
          <w:p w14:paraId="7E8AE9ED">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5 分</w:t>
            </w:r>
          </w:p>
        </w:tc>
      </w:tr>
    </w:tbl>
    <w:p w14:paraId="09B2482C">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p>
    <w:p w14:paraId="0FEC4F5F">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（二）健康舒适（总分 25 分）</w:t>
      </w:r>
    </w:p>
    <w:p w14:paraId="6B3BF3D7">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1. 控制项（须全部满足，不达标则整体评价不合格）</w:t>
      </w:r>
    </w:p>
    <w:p w14:paraId="4B015D12">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p>
    <w:tbl>
      <w:tblPr>
        <w:tblStyle w:val="20"/>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 w:type="dxa"/>
          <w:bottom w:w="0" w:type="dxa"/>
          <w:right w:w="10" w:type="dxa"/>
        </w:tblCellMar>
      </w:tblPr>
      <w:tblGrid>
        <w:gridCol w:w="719"/>
        <w:gridCol w:w="1229"/>
        <w:gridCol w:w="5198"/>
        <w:gridCol w:w="1400"/>
      </w:tblGrid>
      <w:tr w14:paraId="677F7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244D2A47">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序号</w:t>
            </w:r>
          </w:p>
        </w:tc>
        <w:tc>
          <w:tcPr>
            <w:tcW w:w="1229" w:type="dxa"/>
            <w:tcBorders>
              <w:tl2br w:val="nil"/>
              <w:tr2bl w:val="nil"/>
            </w:tcBorders>
            <w:noWrap w:val="0"/>
            <w:tcMar>
              <w:top w:w="60" w:type="dxa"/>
              <w:left w:w="120" w:type="dxa"/>
              <w:bottom w:w="30" w:type="dxa"/>
              <w:right w:w="120" w:type="dxa"/>
            </w:tcMar>
            <w:vAlign w:val="top"/>
          </w:tcPr>
          <w:p w14:paraId="6FC004A6">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评价内容</w:t>
            </w:r>
          </w:p>
        </w:tc>
        <w:tc>
          <w:tcPr>
            <w:tcW w:w="5198" w:type="dxa"/>
            <w:tcBorders>
              <w:tl2br w:val="nil"/>
              <w:tr2bl w:val="nil"/>
            </w:tcBorders>
            <w:noWrap w:val="0"/>
            <w:tcMar>
              <w:top w:w="60" w:type="dxa"/>
              <w:left w:w="120" w:type="dxa"/>
              <w:bottom w:w="30" w:type="dxa"/>
              <w:right w:w="120" w:type="dxa"/>
            </w:tcMar>
            <w:vAlign w:val="top"/>
          </w:tcPr>
          <w:p w14:paraId="7D8DDD99">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评价要求</w:t>
            </w:r>
          </w:p>
        </w:tc>
        <w:tc>
          <w:tcPr>
            <w:tcW w:w="1400" w:type="dxa"/>
            <w:tcBorders>
              <w:tl2br w:val="nil"/>
              <w:tr2bl w:val="nil"/>
            </w:tcBorders>
            <w:noWrap w:val="0"/>
            <w:tcMar>
              <w:top w:w="60" w:type="dxa"/>
              <w:left w:w="120" w:type="dxa"/>
              <w:bottom w:w="30" w:type="dxa"/>
              <w:right w:w="120" w:type="dxa"/>
            </w:tcMar>
            <w:vAlign w:val="top"/>
          </w:tcPr>
          <w:p w14:paraId="7791C00A">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适用环节</w:t>
            </w:r>
          </w:p>
        </w:tc>
      </w:tr>
      <w:tr w14:paraId="040E1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095A4FD7">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1.1</w:t>
            </w:r>
          </w:p>
        </w:tc>
        <w:tc>
          <w:tcPr>
            <w:tcW w:w="1229" w:type="dxa"/>
            <w:tcBorders>
              <w:tl2br w:val="nil"/>
              <w:tr2bl w:val="nil"/>
            </w:tcBorders>
            <w:noWrap w:val="0"/>
            <w:tcMar>
              <w:top w:w="60" w:type="dxa"/>
              <w:left w:w="120" w:type="dxa"/>
              <w:bottom w:w="30" w:type="dxa"/>
              <w:right w:w="120" w:type="dxa"/>
            </w:tcMar>
            <w:vAlign w:val="top"/>
          </w:tcPr>
          <w:p w14:paraId="2BF12E93">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室内环境</w:t>
            </w:r>
          </w:p>
        </w:tc>
        <w:tc>
          <w:tcPr>
            <w:tcW w:w="5198" w:type="dxa"/>
            <w:tcBorders>
              <w:tl2br w:val="nil"/>
              <w:tr2bl w:val="nil"/>
            </w:tcBorders>
            <w:noWrap w:val="0"/>
            <w:tcMar>
              <w:top w:w="60" w:type="dxa"/>
              <w:left w:w="120" w:type="dxa"/>
              <w:bottom w:w="30" w:type="dxa"/>
              <w:right w:w="120" w:type="dxa"/>
            </w:tcMar>
            <w:vAlign w:val="top"/>
          </w:tcPr>
          <w:p w14:paraId="5F64B71C">
            <w:pPr>
              <w:keepNext w:val="0"/>
              <w:keepLines w:val="0"/>
              <w:numPr>
                <w:ilvl w:val="0"/>
                <w:numId w:val="11"/>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室内甲醛、苯、TVOC 等污染物浓度≤《室内空气质量标准》GB/T18883 限值的 80%；</w:t>
            </w:r>
          </w:p>
          <w:p w14:paraId="0F41DF42">
            <w:pPr>
              <w:keepNext w:val="0"/>
              <w:keepLines w:val="0"/>
              <w:numPr>
                <w:ilvl w:val="0"/>
                <w:numId w:val="0"/>
              </w:numPr>
              <w:suppressLineNumbers w:val="0"/>
              <w:snapToGrid w:val="0"/>
              <w:spacing w:before="0" w:beforeAutospacing="0" w:after="0" w:afterAutospacing="0" w:line="240" w:lineRule="auto"/>
              <w:ind w:left="0" w:right="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2. 卧室、起居室冬季温度≥20℃，夏季≤26℃，相对湿度 30%～60%。</w:t>
            </w:r>
          </w:p>
        </w:tc>
        <w:tc>
          <w:tcPr>
            <w:tcW w:w="1400" w:type="dxa"/>
            <w:tcBorders>
              <w:tl2br w:val="nil"/>
              <w:tr2bl w:val="nil"/>
            </w:tcBorders>
            <w:noWrap w:val="0"/>
            <w:tcMar>
              <w:top w:w="60" w:type="dxa"/>
              <w:left w:w="120" w:type="dxa"/>
              <w:bottom w:w="30" w:type="dxa"/>
              <w:right w:w="120" w:type="dxa"/>
            </w:tcMar>
            <w:vAlign w:val="top"/>
          </w:tcPr>
          <w:p w14:paraId="0C3D05E3">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设计、施工、运维</w:t>
            </w:r>
          </w:p>
        </w:tc>
      </w:tr>
      <w:tr w14:paraId="42FD9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64479B9E">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1.2</w:t>
            </w:r>
          </w:p>
        </w:tc>
        <w:tc>
          <w:tcPr>
            <w:tcW w:w="1229" w:type="dxa"/>
            <w:tcBorders>
              <w:tl2br w:val="nil"/>
              <w:tr2bl w:val="nil"/>
            </w:tcBorders>
            <w:noWrap w:val="0"/>
            <w:tcMar>
              <w:top w:w="60" w:type="dxa"/>
              <w:left w:w="120" w:type="dxa"/>
              <w:bottom w:w="30" w:type="dxa"/>
              <w:right w:w="120" w:type="dxa"/>
            </w:tcMar>
            <w:vAlign w:val="top"/>
          </w:tcPr>
          <w:p w14:paraId="7F7777F0">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日照与通风</w:t>
            </w:r>
          </w:p>
        </w:tc>
        <w:tc>
          <w:tcPr>
            <w:tcW w:w="5198" w:type="dxa"/>
            <w:tcBorders>
              <w:tl2br w:val="nil"/>
              <w:tr2bl w:val="nil"/>
            </w:tcBorders>
            <w:noWrap w:val="0"/>
            <w:tcMar>
              <w:top w:w="60" w:type="dxa"/>
              <w:left w:w="120" w:type="dxa"/>
              <w:bottom w:w="30" w:type="dxa"/>
              <w:right w:w="120" w:type="dxa"/>
            </w:tcMar>
            <w:vAlign w:val="top"/>
          </w:tcPr>
          <w:p w14:paraId="3AB78280">
            <w:pPr>
              <w:keepNext w:val="0"/>
              <w:keepLines w:val="0"/>
              <w:numPr>
                <w:ilvl w:val="0"/>
                <w:numId w:val="12"/>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每套住宅至少 1 个居住空间满足当地日照标准，窗洞开口宽度≥1.5m；</w:t>
            </w:r>
          </w:p>
          <w:p w14:paraId="367C47E9">
            <w:pPr>
              <w:keepNext w:val="0"/>
              <w:keepLines w:val="0"/>
              <w:numPr>
                <w:ilvl w:val="0"/>
                <w:numId w:val="0"/>
              </w:numPr>
              <w:suppressLineNumbers w:val="0"/>
              <w:snapToGrid w:val="0"/>
              <w:spacing w:before="0" w:beforeAutospacing="0" w:after="0" w:afterAutospacing="0" w:line="240" w:lineRule="auto"/>
              <w:ind w:left="0" w:right="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2. 住区风环境模拟优化，避免冬季风速过大，夏季利于自然通风。</w:t>
            </w:r>
          </w:p>
        </w:tc>
        <w:tc>
          <w:tcPr>
            <w:tcW w:w="1400" w:type="dxa"/>
            <w:tcBorders>
              <w:tl2br w:val="nil"/>
              <w:tr2bl w:val="nil"/>
            </w:tcBorders>
            <w:noWrap w:val="0"/>
            <w:tcMar>
              <w:top w:w="60" w:type="dxa"/>
              <w:left w:w="120" w:type="dxa"/>
              <w:bottom w:w="30" w:type="dxa"/>
              <w:right w:w="120" w:type="dxa"/>
            </w:tcMar>
            <w:vAlign w:val="top"/>
          </w:tcPr>
          <w:p w14:paraId="38981C83">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规划、设计</w:t>
            </w:r>
          </w:p>
        </w:tc>
      </w:tr>
      <w:tr w14:paraId="318C4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0F09CA67">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1.3</w:t>
            </w:r>
          </w:p>
        </w:tc>
        <w:tc>
          <w:tcPr>
            <w:tcW w:w="1229" w:type="dxa"/>
            <w:tcBorders>
              <w:tl2br w:val="nil"/>
              <w:tr2bl w:val="nil"/>
            </w:tcBorders>
            <w:noWrap w:val="0"/>
            <w:tcMar>
              <w:top w:w="60" w:type="dxa"/>
              <w:left w:w="120" w:type="dxa"/>
              <w:bottom w:w="30" w:type="dxa"/>
              <w:right w:w="120" w:type="dxa"/>
            </w:tcMar>
            <w:vAlign w:val="top"/>
          </w:tcPr>
          <w:p w14:paraId="7BF9BDEC">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隔声降噪</w:t>
            </w:r>
          </w:p>
        </w:tc>
        <w:tc>
          <w:tcPr>
            <w:tcW w:w="5198" w:type="dxa"/>
            <w:tcBorders>
              <w:tl2br w:val="nil"/>
              <w:tr2bl w:val="nil"/>
            </w:tcBorders>
            <w:noWrap w:val="0"/>
            <w:tcMar>
              <w:top w:w="60" w:type="dxa"/>
              <w:left w:w="120" w:type="dxa"/>
              <w:bottom w:w="30" w:type="dxa"/>
              <w:right w:w="120" w:type="dxa"/>
            </w:tcMar>
            <w:vAlign w:val="top"/>
          </w:tcPr>
          <w:p w14:paraId="7C8C8B4D">
            <w:pPr>
              <w:keepNext w:val="0"/>
              <w:keepLines w:val="0"/>
              <w:numPr>
                <w:ilvl w:val="0"/>
                <w:numId w:val="13"/>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分户墙两侧设备位置错开，管线穿楼板时孔洞密封隔声；</w:t>
            </w:r>
          </w:p>
          <w:p w14:paraId="621363F7">
            <w:pPr>
              <w:keepNext w:val="0"/>
              <w:keepLines w:val="0"/>
              <w:numPr>
                <w:ilvl w:val="0"/>
                <w:numId w:val="13"/>
              </w:numPr>
              <w:suppressLineNumbers w:val="0"/>
              <w:snapToGrid w:val="0"/>
              <w:spacing w:before="0" w:beforeAutospacing="0" w:after="0" w:afterAutospacing="0" w:line="240" w:lineRule="auto"/>
              <w:ind w:left="0" w:leftChars="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排水立管不贴邻卧室，卧室内排水噪声≤33dB；</w:t>
            </w:r>
          </w:p>
          <w:p w14:paraId="07166CF8">
            <w:pPr>
              <w:keepNext w:val="0"/>
              <w:keepLines w:val="0"/>
              <w:numPr>
                <w:ilvl w:val="0"/>
                <w:numId w:val="13"/>
              </w:numPr>
              <w:suppressLineNumbers w:val="0"/>
              <w:snapToGrid w:val="0"/>
              <w:spacing w:before="0" w:beforeAutospacing="0" w:after="0" w:afterAutospacing="0" w:line="240" w:lineRule="auto"/>
              <w:ind w:left="0" w:leftChars="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外窗采用隔声密封设计，窗扇与窗框间设弹性密封条。</w:t>
            </w:r>
          </w:p>
        </w:tc>
        <w:tc>
          <w:tcPr>
            <w:tcW w:w="1400" w:type="dxa"/>
            <w:tcBorders>
              <w:tl2br w:val="nil"/>
              <w:tr2bl w:val="nil"/>
            </w:tcBorders>
            <w:noWrap w:val="0"/>
            <w:tcMar>
              <w:top w:w="60" w:type="dxa"/>
              <w:left w:w="120" w:type="dxa"/>
              <w:bottom w:w="30" w:type="dxa"/>
              <w:right w:w="120" w:type="dxa"/>
            </w:tcMar>
            <w:vAlign w:val="top"/>
          </w:tcPr>
          <w:p w14:paraId="79DBDE36">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设计、施工</w:t>
            </w:r>
          </w:p>
        </w:tc>
      </w:tr>
      <w:tr w14:paraId="5DAA8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2E80F20A">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1.4</w:t>
            </w:r>
          </w:p>
        </w:tc>
        <w:tc>
          <w:tcPr>
            <w:tcW w:w="1229" w:type="dxa"/>
            <w:tcBorders>
              <w:tl2br w:val="nil"/>
              <w:tr2bl w:val="nil"/>
            </w:tcBorders>
            <w:noWrap w:val="0"/>
            <w:tcMar>
              <w:top w:w="60" w:type="dxa"/>
              <w:left w:w="120" w:type="dxa"/>
              <w:bottom w:w="30" w:type="dxa"/>
              <w:right w:w="120" w:type="dxa"/>
            </w:tcMar>
            <w:vAlign w:val="top"/>
          </w:tcPr>
          <w:p w14:paraId="536B1F4F">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空间舒适性</w:t>
            </w:r>
          </w:p>
        </w:tc>
        <w:tc>
          <w:tcPr>
            <w:tcW w:w="5198" w:type="dxa"/>
            <w:tcBorders>
              <w:tl2br w:val="nil"/>
              <w:tr2bl w:val="nil"/>
            </w:tcBorders>
            <w:noWrap w:val="0"/>
            <w:tcMar>
              <w:top w:w="60" w:type="dxa"/>
              <w:left w:w="120" w:type="dxa"/>
              <w:bottom w:w="30" w:type="dxa"/>
              <w:right w:w="120" w:type="dxa"/>
            </w:tcMar>
            <w:vAlign w:val="top"/>
          </w:tcPr>
          <w:p w14:paraId="5BBDDBEE">
            <w:pPr>
              <w:keepNext w:val="0"/>
              <w:keepLines w:val="0"/>
              <w:numPr>
                <w:ilvl w:val="0"/>
                <w:numId w:val="14"/>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住宅层高≥3.0m，卧室短边净尺寸：双人卧室≥3.10m，单人卧室≥2.20m；</w:t>
            </w:r>
          </w:p>
          <w:p w14:paraId="02573EDE">
            <w:pPr>
              <w:keepNext w:val="0"/>
              <w:keepLines w:val="0"/>
              <w:numPr>
                <w:ilvl w:val="0"/>
                <w:numId w:val="14"/>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厨房使用面积≥5㎡，操作台长度≥1.8m；卫生间使用面积≥3㎡，至少 1 个干湿分离。</w:t>
            </w:r>
          </w:p>
        </w:tc>
        <w:tc>
          <w:tcPr>
            <w:tcW w:w="1400" w:type="dxa"/>
            <w:tcBorders>
              <w:tl2br w:val="nil"/>
              <w:tr2bl w:val="nil"/>
            </w:tcBorders>
            <w:noWrap w:val="0"/>
            <w:tcMar>
              <w:top w:w="60" w:type="dxa"/>
              <w:left w:w="120" w:type="dxa"/>
              <w:bottom w:w="30" w:type="dxa"/>
              <w:right w:w="120" w:type="dxa"/>
            </w:tcMar>
            <w:vAlign w:val="top"/>
          </w:tcPr>
          <w:p w14:paraId="5A58B5F4">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设计</w:t>
            </w:r>
          </w:p>
        </w:tc>
      </w:tr>
      <w:tr w14:paraId="6B5E9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1CB1C64B">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1.5</w:t>
            </w:r>
          </w:p>
        </w:tc>
        <w:tc>
          <w:tcPr>
            <w:tcW w:w="1229" w:type="dxa"/>
            <w:tcBorders>
              <w:tl2br w:val="nil"/>
              <w:tr2bl w:val="nil"/>
            </w:tcBorders>
            <w:noWrap w:val="0"/>
            <w:tcMar>
              <w:top w:w="60" w:type="dxa"/>
              <w:left w:w="120" w:type="dxa"/>
              <w:bottom w:w="30" w:type="dxa"/>
              <w:right w:w="120" w:type="dxa"/>
            </w:tcMar>
            <w:vAlign w:val="top"/>
          </w:tcPr>
          <w:p w14:paraId="0B8120F0">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全龄友好</w:t>
            </w:r>
          </w:p>
        </w:tc>
        <w:tc>
          <w:tcPr>
            <w:tcW w:w="5198" w:type="dxa"/>
            <w:tcBorders>
              <w:tl2br w:val="nil"/>
              <w:tr2bl w:val="nil"/>
            </w:tcBorders>
            <w:noWrap w:val="0"/>
            <w:tcMar>
              <w:top w:w="60" w:type="dxa"/>
              <w:left w:w="120" w:type="dxa"/>
              <w:bottom w:w="30" w:type="dxa"/>
              <w:right w:w="120" w:type="dxa"/>
            </w:tcMar>
            <w:vAlign w:val="top"/>
          </w:tcPr>
          <w:p w14:paraId="113B19FA">
            <w:pPr>
              <w:keepNext w:val="0"/>
              <w:keepLines w:val="0"/>
              <w:numPr>
                <w:ilvl w:val="0"/>
                <w:numId w:val="15"/>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户门内外无高差，玄关预留坐凳空间；</w:t>
            </w:r>
          </w:p>
          <w:p w14:paraId="648C2559">
            <w:pPr>
              <w:keepNext w:val="0"/>
              <w:keepLines w:val="0"/>
              <w:numPr>
                <w:ilvl w:val="0"/>
                <w:numId w:val="15"/>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老年人卫生间紧邻卧室，地面防滑等级≥Aw 级（《建筑地面工程防滑技术规程》JGJ/T331）；</w:t>
            </w:r>
          </w:p>
          <w:p w14:paraId="4DA05ED3">
            <w:pPr>
              <w:keepNext w:val="0"/>
              <w:keepLines w:val="0"/>
              <w:numPr>
                <w:ilvl w:val="0"/>
                <w:numId w:val="15"/>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住区通学路径设监控，儿童活动场地1/2面积大寒日日照≥2 小时。</w:t>
            </w:r>
          </w:p>
        </w:tc>
        <w:tc>
          <w:tcPr>
            <w:tcW w:w="1400" w:type="dxa"/>
            <w:tcBorders>
              <w:tl2br w:val="nil"/>
              <w:tr2bl w:val="nil"/>
            </w:tcBorders>
            <w:noWrap w:val="0"/>
            <w:tcMar>
              <w:top w:w="60" w:type="dxa"/>
              <w:left w:w="120" w:type="dxa"/>
              <w:bottom w:w="30" w:type="dxa"/>
              <w:right w:w="120" w:type="dxa"/>
            </w:tcMar>
            <w:vAlign w:val="top"/>
          </w:tcPr>
          <w:p w14:paraId="4B98777C">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规划、设计</w:t>
            </w:r>
          </w:p>
        </w:tc>
      </w:tr>
    </w:tbl>
    <w:p w14:paraId="2147183F">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p>
    <w:p w14:paraId="02AD2050">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2. 评分项（总分 25 分，按达标程度计分）</w:t>
      </w:r>
    </w:p>
    <w:p w14:paraId="62B18E0F">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p>
    <w:tbl>
      <w:tblPr>
        <w:tblStyle w:val="20"/>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 w:type="dxa"/>
          <w:bottom w:w="0" w:type="dxa"/>
          <w:right w:w="10" w:type="dxa"/>
        </w:tblCellMar>
      </w:tblPr>
      <w:tblGrid>
        <w:gridCol w:w="719"/>
        <w:gridCol w:w="1229"/>
        <w:gridCol w:w="4604"/>
        <w:gridCol w:w="1200"/>
        <w:gridCol w:w="794"/>
      </w:tblGrid>
      <w:tr w14:paraId="2F053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7D8FF4B6">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序号</w:t>
            </w:r>
          </w:p>
        </w:tc>
        <w:tc>
          <w:tcPr>
            <w:tcW w:w="1229" w:type="dxa"/>
            <w:tcBorders>
              <w:tl2br w:val="nil"/>
              <w:tr2bl w:val="nil"/>
            </w:tcBorders>
            <w:noWrap w:val="0"/>
            <w:tcMar>
              <w:top w:w="60" w:type="dxa"/>
              <w:left w:w="120" w:type="dxa"/>
              <w:bottom w:w="30" w:type="dxa"/>
              <w:right w:w="120" w:type="dxa"/>
            </w:tcMar>
            <w:vAlign w:val="top"/>
          </w:tcPr>
          <w:p w14:paraId="2B7B775A">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评价内容</w:t>
            </w:r>
          </w:p>
        </w:tc>
        <w:tc>
          <w:tcPr>
            <w:tcW w:w="4604" w:type="dxa"/>
            <w:tcBorders>
              <w:tl2br w:val="nil"/>
              <w:tr2bl w:val="nil"/>
            </w:tcBorders>
            <w:noWrap w:val="0"/>
            <w:tcMar>
              <w:top w:w="60" w:type="dxa"/>
              <w:left w:w="120" w:type="dxa"/>
              <w:bottom w:w="30" w:type="dxa"/>
              <w:right w:w="120" w:type="dxa"/>
            </w:tcMar>
            <w:vAlign w:val="top"/>
          </w:tcPr>
          <w:p w14:paraId="1911B1C8">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评分标准</w:t>
            </w:r>
          </w:p>
        </w:tc>
        <w:tc>
          <w:tcPr>
            <w:tcW w:w="1200" w:type="dxa"/>
            <w:tcBorders>
              <w:tl2br w:val="nil"/>
              <w:tr2bl w:val="nil"/>
            </w:tcBorders>
            <w:noWrap w:val="0"/>
            <w:tcMar>
              <w:top w:w="60" w:type="dxa"/>
              <w:left w:w="120" w:type="dxa"/>
              <w:bottom w:w="30" w:type="dxa"/>
              <w:right w:w="120" w:type="dxa"/>
            </w:tcMar>
            <w:vAlign w:val="top"/>
          </w:tcPr>
          <w:p w14:paraId="563802F4">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适用环节</w:t>
            </w:r>
          </w:p>
        </w:tc>
        <w:tc>
          <w:tcPr>
            <w:tcW w:w="794" w:type="dxa"/>
            <w:tcBorders>
              <w:tl2br w:val="nil"/>
              <w:tr2bl w:val="nil"/>
            </w:tcBorders>
            <w:noWrap w:val="0"/>
            <w:tcMar>
              <w:top w:w="60" w:type="dxa"/>
              <w:left w:w="120" w:type="dxa"/>
              <w:bottom w:w="30" w:type="dxa"/>
              <w:right w:w="120" w:type="dxa"/>
            </w:tcMar>
            <w:vAlign w:val="top"/>
          </w:tcPr>
          <w:p w14:paraId="6A6CAD20">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分值</w:t>
            </w:r>
          </w:p>
        </w:tc>
      </w:tr>
      <w:tr w14:paraId="5B96C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22048ADE">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2.1</w:t>
            </w:r>
          </w:p>
        </w:tc>
        <w:tc>
          <w:tcPr>
            <w:tcW w:w="1229" w:type="dxa"/>
            <w:tcBorders>
              <w:tl2br w:val="nil"/>
              <w:tr2bl w:val="nil"/>
            </w:tcBorders>
            <w:noWrap w:val="0"/>
            <w:tcMar>
              <w:top w:w="60" w:type="dxa"/>
              <w:left w:w="120" w:type="dxa"/>
              <w:bottom w:w="30" w:type="dxa"/>
              <w:right w:w="120" w:type="dxa"/>
            </w:tcMar>
            <w:vAlign w:val="top"/>
          </w:tcPr>
          <w:p w14:paraId="13C396FA">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室内光环境</w:t>
            </w:r>
          </w:p>
        </w:tc>
        <w:tc>
          <w:tcPr>
            <w:tcW w:w="4604" w:type="dxa"/>
            <w:tcBorders>
              <w:tl2br w:val="nil"/>
              <w:tr2bl w:val="nil"/>
            </w:tcBorders>
            <w:noWrap w:val="0"/>
            <w:tcMar>
              <w:top w:w="60" w:type="dxa"/>
              <w:left w:w="120" w:type="dxa"/>
              <w:bottom w:w="30" w:type="dxa"/>
              <w:right w:w="120" w:type="dxa"/>
            </w:tcMar>
            <w:vAlign w:val="top"/>
          </w:tcPr>
          <w:p w14:paraId="1C0FDDBA">
            <w:pPr>
              <w:keepNext w:val="0"/>
              <w:keepLines w:val="0"/>
              <w:numPr>
                <w:ilvl w:val="0"/>
                <w:numId w:val="16"/>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室内照明统一眩光值：一般空间≤21，阅读空间≤19（+2 分）；</w:t>
            </w:r>
          </w:p>
          <w:p w14:paraId="3CA7B2D7">
            <w:pPr>
              <w:keepNext w:val="0"/>
              <w:keepLines w:val="0"/>
              <w:numPr>
                <w:ilvl w:val="0"/>
                <w:numId w:val="16"/>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卧室至卫生间过道设人体感应夜间照明（+2 分）；</w:t>
            </w:r>
          </w:p>
          <w:p w14:paraId="77C22FB6">
            <w:pPr>
              <w:keepNext w:val="0"/>
              <w:keepLines w:val="0"/>
              <w:numPr>
                <w:ilvl w:val="0"/>
                <w:numId w:val="16"/>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采用可调节色温的照明设备（+1 分）。</w:t>
            </w:r>
          </w:p>
        </w:tc>
        <w:tc>
          <w:tcPr>
            <w:tcW w:w="1200" w:type="dxa"/>
            <w:tcBorders>
              <w:tl2br w:val="nil"/>
              <w:tr2bl w:val="nil"/>
            </w:tcBorders>
            <w:noWrap w:val="0"/>
            <w:tcMar>
              <w:top w:w="60" w:type="dxa"/>
              <w:left w:w="120" w:type="dxa"/>
              <w:bottom w:w="30" w:type="dxa"/>
              <w:right w:w="120" w:type="dxa"/>
            </w:tcMar>
            <w:vAlign w:val="top"/>
          </w:tcPr>
          <w:p w14:paraId="2C84F001">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设计、施工</w:t>
            </w:r>
          </w:p>
        </w:tc>
        <w:tc>
          <w:tcPr>
            <w:tcW w:w="794" w:type="dxa"/>
            <w:tcBorders>
              <w:tl2br w:val="nil"/>
              <w:tr2bl w:val="nil"/>
            </w:tcBorders>
            <w:noWrap w:val="0"/>
            <w:tcMar>
              <w:top w:w="60" w:type="dxa"/>
              <w:left w:w="120" w:type="dxa"/>
              <w:bottom w:w="30" w:type="dxa"/>
              <w:right w:w="120" w:type="dxa"/>
            </w:tcMar>
            <w:vAlign w:val="top"/>
          </w:tcPr>
          <w:p w14:paraId="4E77233D">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5 分</w:t>
            </w:r>
          </w:p>
        </w:tc>
      </w:tr>
      <w:tr w14:paraId="7743D9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22D678C7">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2.2</w:t>
            </w:r>
          </w:p>
        </w:tc>
        <w:tc>
          <w:tcPr>
            <w:tcW w:w="1229" w:type="dxa"/>
            <w:tcBorders>
              <w:tl2br w:val="nil"/>
              <w:tr2bl w:val="nil"/>
            </w:tcBorders>
            <w:noWrap w:val="0"/>
            <w:tcMar>
              <w:top w:w="60" w:type="dxa"/>
              <w:left w:w="120" w:type="dxa"/>
              <w:bottom w:w="30" w:type="dxa"/>
              <w:right w:w="120" w:type="dxa"/>
            </w:tcMar>
            <w:vAlign w:val="top"/>
          </w:tcPr>
          <w:p w14:paraId="622D4863">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新风与空气净化</w:t>
            </w:r>
          </w:p>
        </w:tc>
        <w:tc>
          <w:tcPr>
            <w:tcW w:w="4604" w:type="dxa"/>
            <w:tcBorders>
              <w:tl2br w:val="nil"/>
              <w:tr2bl w:val="nil"/>
            </w:tcBorders>
            <w:noWrap w:val="0"/>
            <w:tcMar>
              <w:top w:w="60" w:type="dxa"/>
              <w:left w:w="120" w:type="dxa"/>
              <w:bottom w:w="30" w:type="dxa"/>
              <w:right w:w="120" w:type="dxa"/>
            </w:tcMar>
            <w:vAlign w:val="top"/>
          </w:tcPr>
          <w:p w14:paraId="2C9F3030">
            <w:pPr>
              <w:keepNext w:val="0"/>
              <w:keepLines w:val="0"/>
              <w:numPr>
                <w:ilvl w:val="0"/>
                <w:numId w:val="17"/>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住宅设新风系统，PM2.5 过滤效率≥90%（+2 分）；</w:t>
            </w:r>
          </w:p>
          <w:p w14:paraId="79EAA535">
            <w:pPr>
              <w:keepNext w:val="0"/>
              <w:keepLines w:val="0"/>
              <w:numPr>
                <w:ilvl w:val="0"/>
                <w:numId w:val="17"/>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新风系统带热回收装置（显热交换效率≥75%，+2 分）；</w:t>
            </w:r>
          </w:p>
          <w:p w14:paraId="320BA36C">
            <w:pPr>
              <w:keepNext w:val="0"/>
              <w:keepLines w:val="0"/>
              <w:numPr>
                <w:ilvl w:val="0"/>
                <w:numId w:val="17"/>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户内设空气质量监测系统（监测PM2.5、</w:t>
            </w:r>
          </w:p>
          <w:p w14:paraId="3408ACE0">
            <w:pPr>
              <w:keepNext w:val="0"/>
              <w:keepLines w:val="0"/>
              <w:numPr>
                <w:numId w:val="0"/>
              </w:numPr>
              <w:suppressLineNumbers w:val="0"/>
              <w:snapToGrid w:val="0"/>
              <w:spacing w:before="0" w:beforeAutospacing="0" w:after="0" w:afterAutospacing="0" w:line="240" w:lineRule="auto"/>
              <w:ind w:leftChars="0" w:right="0" w:right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CO₂，+1 分）。</w:t>
            </w:r>
          </w:p>
        </w:tc>
        <w:tc>
          <w:tcPr>
            <w:tcW w:w="1200" w:type="dxa"/>
            <w:tcBorders>
              <w:tl2br w:val="nil"/>
              <w:tr2bl w:val="nil"/>
            </w:tcBorders>
            <w:noWrap w:val="0"/>
            <w:tcMar>
              <w:top w:w="60" w:type="dxa"/>
              <w:left w:w="120" w:type="dxa"/>
              <w:bottom w:w="30" w:type="dxa"/>
              <w:right w:w="120" w:type="dxa"/>
            </w:tcMar>
            <w:vAlign w:val="top"/>
          </w:tcPr>
          <w:p w14:paraId="0634C511">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设计、施工</w:t>
            </w:r>
          </w:p>
        </w:tc>
        <w:tc>
          <w:tcPr>
            <w:tcW w:w="794" w:type="dxa"/>
            <w:tcBorders>
              <w:tl2br w:val="nil"/>
              <w:tr2bl w:val="nil"/>
            </w:tcBorders>
            <w:noWrap w:val="0"/>
            <w:tcMar>
              <w:top w:w="60" w:type="dxa"/>
              <w:left w:w="120" w:type="dxa"/>
              <w:bottom w:w="30" w:type="dxa"/>
              <w:right w:w="120" w:type="dxa"/>
            </w:tcMar>
            <w:vAlign w:val="top"/>
          </w:tcPr>
          <w:p w14:paraId="7E4B5200">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5 分</w:t>
            </w:r>
          </w:p>
        </w:tc>
      </w:tr>
      <w:tr w14:paraId="0916C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0FDAACD2">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2.3</w:t>
            </w:r>
          </w:p>
        </w:tc>
        <w:tc>
          <w:tcPr>
            <w:tcW w:w="1229" w:type="dxa"/>
            <w:tcBorders>
              <w:tl2br w:val="nil"/>
              <w:tr2bl w:val="nil"/>
            </w:tcBorders>
            <w:noWrap w:val="0"/>
            <w:tcMar>
              <w:top w:w="60" w:type="dxa"/>
              <w:left w:w="120" w:type="dxa"/>
              <w:bottom w:w="30" w:type="dxa"/>
              <w:right w:w="120" w:type="dxa"/>
            </w:tcMar>
            <w:vAlign w:val="top"/>
          </w:tcPr>
          <w:p w14:paraId="4E1A67A9">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空间灵活性</w:t>
            </w:r>
          </w:p>
        </w:tc>
        <w:tc>
          <w:tcPr>
            <w:tcW w:w="4604" w:type="dxa"/>
            <w:tcBorders>
              <w:tl2br w:val="nil"/>
              <w:tr2bl w:val="nil"/>
            </w:tcBorders>
            <w:noWrap w:val="0"/>
            <w:tcMar>
              <w:top w:w="60" w:type="dxa"/>
              <w:left w:w="120" w:type="dxa"/>
              <w:bottom w:w="30" w:type="dxa"/>
              <w:right w:w="120" w:type="dxa"/>
            </w:tcMar>
            <w:vAlign w:val="top"/>
          </w:tcPr>
          <w:p w14:paraId="70595059">
            <w:pPr>
              <w:keepNext w:val="0"/>
              <w:keepLines w:val="0"/>
              <w:numPr>
                <w:ilvl w:val="0"/>
                <w:numId w:val="18"/>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室内非承重隔墙采用轻质材料，便于二次改造（+2 分）；</w:t>
            </w:r>
          </w:p>
          <w:p w14:paraId="4E0B1B56">
            <w:pPr>
              <w:keepNext w:val="0"/>
              <w:keepLines w:val="0"/>
              <w:numPr>
                <w:ilvl w:val="0"/>
                <w:numId w:val="18"/>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套内使用面积＞100㎡时，设≥6㎡收纳空间（+2 分）；</w:t>
            </w:r>
          </w:p>
          <w:p w14:paraId="7037AD90">
            <w:pPr>
              <w:keepNext w:val="0"/>
              <w:keepLines w:val="0"/>
              <w:numPr>
                <w:ilvl w:val="0"/>
                <w:numId w:val="18"/>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起居室与餐厅、书房整体设计，形成灵活大空间（+1 分）。</w:t>
            </w:r>
          </w:p>
        </w:tc>
        <w:tc>
          <w:tcPr>
            <w:tcW w:w="1200" w:type="dxa"/>
            <w:tcBorders>
              <w:tl2br w:val="nil"/>
              <w:tr2bl w:val="nil"/>
            </w:tcBorders>
            <w:noWrap w:val="0"/>
            <w:tcMar>
              <w:top w:w="60" w:type="dxa"/>
              <w:left w:w="120" w:type="dxa"/>
              <w:bottom w:w="30" w:type="dxa"/>
              <w:right w:w="120" w:type="dxa"/>
            </w:tcMar>
            <w:vAlign w:val="top"/>
          </w:tcPr>
          <w:p w14:paraId="442D3CAC">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设计</w:t>
            </w:r>
          </w:p>
        </w:tc>
        <w:tc>
          <w:tcPr>
            <w:tcW w:w="794" w:type="dxa"/>
            <w:tcBorders>
              <w:tl2br w:val="nil"/>
              <w:tr2bl w:val="nil"/>
            </w:tcBorders>
            <w:noWrap w:val="0"/>
            <w:tcMar>
              <w:top w:w="60" w:type="dxa"/>
              <w:left w:w="120" w:type="dxa"/>
              <w:bottom w:w="30" w:type="dxa"/>
              <w:right w:w="120" w:type="dxa"/>
            </w:tcMar>
            <w:vAlign w:val="top"/>
          </w:tcPr>
          <w:p w14:paraId="2F43B747">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5 分</w:t>
            </w:r>
          </w:p>
        </w:tc>
      </w:tr>
      <w:tr w14:paraId="65E0B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2C019CF6">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2.4</w:t>
            </w:r>
          </w:p>
        </w:tc>
        <w:tc>
          <w:tcPr>
            <w:tcW w:w="1229" w:type="dxa"/>
            <w:tcBorders>
              <w:tl2br w:val="nil"/>
              <w:tr2bl w:val="nil"/>
            </w:tcBorders>
            <w:noWrap w:val="0"/>
            <w:tcMar>
              <w:top w:w="60" w:type="dxa"/>
              <w:left w:w="120" w:type="dxa"/>
              <w:bottom w:w="30" w:type="dxa"/>
              <w:right w:w="120" w:type="dxa"/>
            </w:tcMar>
            <w:vAlign w:val="top"/>
          </w:tcPr>
          <w:p w14:paraId="70D00082">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社区活动空间</w:t>
            </w:r>
          </w:p>
        </w:tc>
        <w:tc>
          <w:tcPr>
            <w:tcW w:w="4604" w:type="dxa"/>
            <w:tcBorders>
              <w:tl2br w:val="nil"/>
              <w:tr2bl w:val="nil"/>
            </w:tcBorders>
            <w:noWrap w:val="0"/>
            <w:tcMar>
              <w:top w:w="60" w:type="dxa"/>
              <w:left w:w="120" w:type="dxa"/>
              <w:bottom w:w="30" w:type="dxa"/>
              <w:right w:w="120" w:type="dxa"/>
            </w:tcMar>
            <w:vAlign w:val="top"/>
          </w:tcPr>
          <w:p w14:paraId="706090E9">
            <w:pPr>
              <w:keepNext w:val="0"/>
              <w:keepLines w:val="0"/>
              <w:numPr>
                <w:ilvl w:val="0"/>
                <w:numId w:val="19"/>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住区设老人活动中心、儿童游乐场所（+2 分）；</w:t>
            </w:r>
          </w:p>
          <w:p w14:paraId="1E8F7477">
            <w:pPr>
              <w:keepNext w:val="0"/>
              <w:keepLines w:val="0"/>
              <w:numPr>
                <w:ilvl w:val="0"/>
                <w:numId w:val="19"/>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配置健身房、书吧、业主食堂等会所功能（+2 分）；</w:t>
            </w:r>
          </w:p>
          <w:p w14:paraId="4B3FDA5A">
            <w:pPr>
              <w:keepNext w:val="0"/>
              <w:keepLines w:val="0"/>
              <w:numPr>
                <w:ilvl w:val="0"/>
                <w:numId w:val="19"/>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集中绿地率≥35%，植物配置四季有景（+1 分）。</w:t>
            </w:r>
          </w:p>
        </w:tc>
        <w:tc>
          <w:tcPr>
            <w:tcW w:w="1200" w:type="dxa"/>
            <w:tcBorders>
              <w:tl2br w:val="nil"/>
              <w:tr2bl w:val="nil"/>
            </w:tcBorders>
            <w:noWrap w:val="0"/>
            <w:tcMar>
              <w:top w:w="60" w:type="dxa"/>
              <w:left w:w="120" w:type="dxa"/>
              <w:bottom w:w="30" w:type="dxa"/>
              <w:right w:w="120" w:type="dxa"/>
            </w:tcMar>
            <w:vAlign w:val="top"/>
          </w:tcPr>
          <w:p w14:paraId="522357B9">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规划、设计</w:t>
            </w:r>
          </w:p>
        </w:tc>
        <w:tc>
          <w:tcPr>
            <w:tcW w:w="794" w:type="dxa"/>
            <w:tcBorders>
              <w:tl2br w:val="nil"/>
              <w:tr2bl w:val="nil"/>
            </w:tcBorders>
            <w:noWrap w:val="0"/>
            <w:tcMar>
              <w:top w:w="60" w:type="dxa"/>
              <w:left w:w="120" w:type="dxa"/>
              <w:bottom w:w="30" w:type="dxa"/>
              <w:right w:w="120" w:type="dxa"/>
            </w:tcMar>
            <w:vAlign w:val="top"/>
          </w:tcPr>
          <w:p w14:paraId="412F1B5B">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5 分</w:t>
            </w:r>
          </w:p>
        </w:tc>
      </w:tr>
      <w:tr w14:paraId="0D7EF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38DAA183">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2.5</w:t>
            </w:r>
          </w:p>
        </w:tc>
        <w:tc>
          <w:tcPr>
            <w:tcW w:w="1229" w:type="dxa"/>
            <w:tcBorders>
              <w:tl2br w:val="nil"/>
              <w:tr2bl w:val="nil"/>
            </w:tcBorders>
            <w:noWrap w:val="0"/>
            <w:tcMar>
              <w:top w:w="60" w:type="dxa"/>
              <w:left w:w="120" w:type="dxa"/>
              <w:bottom w:w="30" w:type="dxa"/>
              <w:right w:w="120" w:type="dxa"/>
            </w:tcMar>
            <w:vAlign w:val="top"/>
          </w:tcPr>
          <w:p w14:paraId="77C5B540">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生活便利设施</w:t>
            </w:r>
          </w:p>
        </w:tc>
        <w:tc>
          <w:tcPr>
            <w:tcW w:w="4604" w:type="dxa"/>
            <w:tcBorders>
              <w:tl2br w:val="nil"/>
              <w:tr2bl w:val="nil"/>
            </w:tcBorders>
            <w:noWrap w:val="0"/>
            <w:tcMar>
              <w:top w:w="60" w:type="dxa"/>
              <w:left w:w="120" w:type="dxa"/>
              <w:bottom w:w="30" w:type="dxa"/>
              <w:right w:w="120" w:type="dxa"/>
            </w:tcMar>
            <w:vAlign w:val="top"/>
          </w:tcPr>
          <w:p w14:paraId="5BA8F993">
            <w:pPr>
              <w:keepNext w:val="0"/>
              <w:keepLines w:val="0"/>
              <w:numPr>
                <w:ilvl w:val="0"/>
                <w:numId w:val="20"/>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住区入口设 “无接触” 快递柜、物流配送场地（+2 分）；</w:t>
            </w:r>
          </w:p>
          <w:p w14:paraId="7146225C">
            <w:pPr>
              <w:keepNext w:val="0"/>
              <w:keepLines w:val="0"/>
              <w:numPr>
                <w:ilvl w:val="0"/>
                <w:numId w:val="20"/>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车库设自助洗车点（+2 分）；</w:t>
            </w:r>
          </w:p>
          <w:p w14:paraId="3D6C78EF">
            <w:pPr>
              <w:keepNext w:val="0"/>
              <w:keepLines w:val="0"/>
              <w:numPr>
                <w:ilvl w:val="0"/>
                <w:numId w:val="20"/>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公共宠物游乐区设排水沟及冲洗设施（+1 分）。</w:t>
            </w:r>
          </w:p>
        </w:tc>
        <w:tc>
          <w:tcPr>
            <w:tcW w:w="1200" w:type="dxa"/>
            <w:tcBorders>
              <w:tl2br w:val="nil"/>
              <w:tr2bl w:val="nil"/>
            </w:tcBorders>
            <w:noWrap w:val="0"/>
            <w:tcMar>
              <w:top w:w="60" w:type="dxa"/>
              <w:left w:w="120" w:type="dxa"/>
              <w:bottom w:w="30" w:type="dxa"/>
              <w:right w:w="120" w:type="dxa"/>
            </w:tcMar>
            <w:vAlign w:val="top"/>
          </w:tcPr>
          <w:p w14:paraId="2684F8BB">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规划、施工</w:t>
            </w:r>
          </w:p>
        </w:tc>
        <w:tc>
          <w:tcPr>
            <w:tcW w:w="794" w:type="dxa"/>
            <w:tcBorders>
              <w:tl2br w:val="nil"/>
              <w:tr2bl w:val="nil"/>
            </w:tcBorders>
            <w:noWrap w:val="0"/>
            <w:tcMar>
              <w:top w:w="60" w:type="dxa"/>
              <w:left w:w="120" w:type="dxa"/>
              <w:bottom w:w="30" w:type="dxa"/>
              <w:right w:w="120" w:type="dxa"/>
            </w:tcMar>
            <w:vAlign w:val="top"/>
          </w:tcPr>
          <w:p w14:paraId="51B34BDE">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5 分</w:t>
            </w:r>
          </w:p>
        </w:tc>
      </w:tr>
    </w:tbl>
    <w:p w14:paraId="67CCAFEF">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p>
    <w:p w14:paraId="3ECB463D">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（三）绿色低碳（总分 25 分）</w:t>
      </w:r>
    </w:p>
    <w:p w14:paraId="50B0DA6D">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1. 控制项（须全部满足，不达标则整体评价不合格）</w:t>
      </w:r>
    </w:p>
    <w:p w14:paraId="0B83C18B">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p>
    <w:tbl>
      <w:tblPr>
        <w:tblStyle w:val="20"/>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 w:type="dxa"/>
          <w:bottom w:w="0" w:type="dxa"/>
          <w:right w:w="10" w:type="dxa"/>
        </w:tblCellMar>
      </w:tblPr>
      <w:tblGrid>
        <w:gridCol w:w="719"/>
        <w:gridCol w:w="1229"/>
        <w:gridCol w:w="5366"/>
        <w:gridCol w:w="1232"/>
      </w:tblGrid>
      <w:tr w14:paraId="0F9F2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31BEE445">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序号</w:t>
            </w:r>
          </w:p>
        </w:tc>
        <w:tc>
          <w:tcPr>
            <w:tcW w:w="1229" w:type="dxa"/>
            <w:tcBorders>
              <w:tl2br w:val="nil"/>
              <w:tr2bl w:val="nil"/>
            </w:tcBorders>
            <w:noWrap w:val="0"/>
            <w:tcMar>
              <w:top w:w="60" w:type="dxa"/>
              <w:left w:w="120" w:type="dxa"/>
              <w:bottom w:w="30" w:type="dxa"/>
              <w:right w:w="120" w:type="dxa"/>
            </w:tcMar>
            <w:vAlign w:val="top"/>
          </w:tcPr>
          <w:p w14:paraId="74F08522">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评价内容</w:t>
            </w:r>
          </w:p>
        </w:tc>
        <w:tc>
          <w:tcPr>
            <w:tcW w:w="5366" w:type="dxa"/>
            <w:tcBorders>
              <w:tl2br w:val="nil"/>
              <w:tr2bl w:val="nil"/>
            </w:tcBorders>
            <w:noWrap w:val="0"/>
            <w:tcMar>
              <w:top w:w="60" w:type="dxa"/>
              <w:left w:w="120" w:type="dxa"/>
              <w:bottom w:w="30" w:type="dxa"/>
              <w:right w:w="120" w:type="dxa"/>
            </w:tcMar>
            <w:vAlign w:val="top"/>
          </w:tcPr>
          <w:p w14:paraId="551B9D32">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评价要求</w:t>
            </w:r>
          </w:p>
        </w:tc>
        <w:tc>
          <w:tcPr>
            <w:tcW w:w="1232" w:type="dxa"/>
            <w:tcBorders>
              <w:tl2br w:val="nil"/>
              <w:tr2bl w:val="nil"/>
            </w:tcBorders>
            <w:noWrap w:val="0"/>
            <w:tcMar>
              <w:top w:w="60" w:type="dxa"/>
              <w:left w:w="120" w:type="dxa"/>
              <w:bottom w:w="30" w:type="dxa"/>
              <w:right w:w="120" w:type="dxa"/>
            </w:tcMar>
            <w:vAlign w:val="top"/>
          </w:tcPr>
          <w:p w14:paraId="6A85CBDA">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适用环节</w:t>
            </w:r>
          </w:p>
        </w:tc>
      </w:tr>
      <w:tr w14:paraId="606C8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28BA0595">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1.1</w:t>
            </w:r>
          </w:p>
        </w:tc>
        <w:tc>
          <w:tcPr>
            <w:tcW w:w="1229" w:type="dxa"/>
            <w:tcBorders>
              <w:tl2br w:val="nil"/>
              <w:tr2bl w:val="nil"/>
            </w:tcBorders>
            <w:noWrap w:val="0"/>
            <w:tcMar>
              <w:top w:w="60" w:type="dxa"/>
              <w:left w:w="120" w:type="dxa"/>
              <w:bottom w:w="30" w:type="dxa"/>
              <w:right w:w="120" w:type="dxa"/>
            </w:tcMar>
            <w:vAlign w:val="top"/>
          </w:tcPr>
          <w:p w14:paraId="45C2630A">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节能标准</w:t>
            </w:r>
          </w:p>
        </w:tc>
        <w:tc>
          <w:tcPr>
            <w:tcW w:w="5366" w:type="dxa"/>
            <w:tcBorders>
              <w:tl2br w:val="nil"/>
              <w:tr2bl w:val="nil"/>
            </w:tcBorders>
            <w:noWrap w:val="0"/>
            <w:tcMar>
              <w:top w:w="60" w:type="dxa"/>
              <w:left w:w="120" w:type="dxa"/>
              <w:bottom w:w="30" w:type="dxa"/>
              <w:right w:w="120" w:type="dxa"/>
            </w:tcMar>
            <w:vAlign w:val="top"/>
          </w:tcPr>
          <w:p w14:paraId="2291E035">
            <w:pPr>
              <w:keepNext w:val="0"/>
              <w:keepLines w:val="0"/>
              <w:numPr>
                <w:ilvl w:val="0"/>
                <w:numId w:val="21"/>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 xml:space="preserve">新建住宅满足《绿色建筑评价标准》GB50378 </w:t>
            </w:r>
            <w:r>
              <w:rPr>
                <w:rFonts w:hint="eastAsia" w:ascii="仿宋" w:hAnsi="仿宋" w:cs="仿宋"/>
                <w:color w:val="000000" w:themeColor="text1"/>
                <w:sz w:val="21"/>
                <w:szCs w:val="21"/>
                <w:lang w:val="en-US" w:eastAsia="zh-CN" w:bidi="ar"/>
                <w14:textFill>
                  <w14:solidFill>
                    <w14:schemeClr w14:val="tx1"/>
                  </w14:solidFill>
                </w14:textFill>
              </w:rPr>
              <w:t>二星</w:t>
            </w:r>
            <w:r>
              <w:rPr>
                <w:rFonts w:hint="eastAsia" w:ascii="仿宋" w:hAnsi="仿宋" w:cs="仿宋"/>
                <w:color w:val="000000" w:themeColor="text1"/>
                <w:sz w:val="21"/>
                <w:szCs w:val="21"/>
                <w:lang w:val="en-US" w:eastAsia="zh-CN" w:bidi="ar"/>
                <w14:textFill>
                  <w14:solidFill>
                    <w14:schemeClr w14:val="tx1"/>
                  </w14:solidFill>
                </w14:textFill>
              </w:rPr>
              <w:t>级及以上要求；</w:t>
            </w:r>
          </w:p>
          <w:p w14:paraId="2263314E">
            <w:pPr>
              <w:keepNext w:val="0"/>
              <w:keepLines w:val="0"/>
              <w:numPr>
                <w:ilvl w:val="0"/>
                <w:numId w:val="21"/>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围护结构热工性能符合当地节能标准，屋面、外墙内部无冷凝。</w:t>
            </w:r>
          </w:p>
        </w:tc>
        <w:tc>
          <w:tcPr>
            <w:tcW w:w="1232" w:type="dxa"/>
            <w:tcBorders>
              <w:tl2br w:val="nil"/>
              <w:tr2bl w:val="nil"/>
            </w:tcBorders>
            <w:noWrap w:val="0"/>
            <w:tcMar>
              <w:top w:w="60" w:type="dxa"/>
              <w:left w:w="120" w:type="dxa"/>
              <w:bottom w:w="30" w:type="dxa"/>
              <w:right w:w="120" w:type="dxa"/>
            </w:tcMar>
            <w:vAlign w:val="top"/>
          </w:tcPr>
          <w:p w14:paraId="3171C7B1">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设计、施工</w:t>
            </w:r>
          </w:p>
        </w:tc>
      </w:tr>
      <w:tr w14:paraId="07388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6BD675C7">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1.2</w:t>
            </w:r>
          </w:p>
        </w:tc>
        <w:tc>
          <w:tcPr>
            <w:tcW w:w="1229" w:type="dxa"/>
            <w:tcBorders>
              <w:tl2br w:val="nil"/>
              <w:tr2bl w:val="nil"/>
            </w:tcBorders>
            <w:noWrap w:val="0"/>
            <w:tcMar>
              <w:top w:w="60" w:type="dxa"/>
              <w:left w:w="120" w:type="dxa"/>
              <w:bottom w:w="30" w:type="dxa"/>
              <w:right w:w="120" w:type="dxa"/>
            </w:tcMar>
            <w:vAlign w:val="top"/>
          </w:tcPr>
          <w:p w14:paraId="1BC3244B">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可再生能源利用</w:t>
            </w:r>
          </w:p>
        </w:tc>
        <w:tc>
          <w:tcPr>
            <w:tcW w:w="5366" w:type="dxa"/>
            <w:tcBorders>
              <w:tl2br w:val="nil"/>
              <w:tr2bl w:val="nil"/>
            </w:tcBorders>
            <w:noWrap w:val="0"/>
            <w:tcMar>
              <w:top w:w="60" w:type="dxa"/>
              <w:left w:w="120" w:type="dxa"/>
              <w:bottom w:w="30" w:type="dxa"/>
              <w:right w:w="120" w:type="dxa"/>
            </w:tcMar>
            <w:vAlign w:val="top"/>
          </w:tcPr>
          <w:p w14:paraId="74B5AAD0">
            <w:pPr>
              <w:keepNext w:val="0"/>
              <w:keepLines w:val="0"/>
              <w:numPr>
                <w:ilvl w:val="0"/>
                <w:numId w:val="22"/>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新建住宅安装太阳能系统（供热水、供电或供暖），与建筑一体化设计；</w:t>
            </w:r>
          </w:p>
          <w:p w14:paraId="07CF2859">
            <w:pPr>
              <w:keepNext w:val="0"/>
              <w:keepLines w:val="0"/>
              <w:numPr>
                <w:ilvl w:val="0"/>
                <w:numId w:val="22"/>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太阳能集热板与建筑立面协同设计，满足安全与美观要求。</w:t>
            </w:r>
          </w:p>
        </w:tc>
        <w:tc>
          <w:tcPr>
            <w:tcW w:w="1232" w:type="dxa"/>
            <w:tcBorders>
              <w:tl2br w:val="nil"/>
              <w:tr2bl w:val="nil"/>
            </w:tcBorders>
            <w:noWrap w:val="0"/>
            <w:tcMar>
              <w:top w:w="60" w:type="dxa"/>
              <w:left w:w="120" w:type="dxa"/>
              <w:bottom w:w="30" w:type="dxa"/>
              <w:right w:w="120" w:type="dxa"/>
            </w:tcMar>
            <w:vAlign w:val="top"/>
          </w:tcPr>
          <w:p w14:paraId="45344786">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设计、施工</w:t>
            </w:r>
          </w:p>
        </w:tc>
      </w:tr>
      <w:tr w14:paraId="53589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4EA0C55E">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1.3</w:t>
            </w:r>
          </w:p>
        </w:tc>
        <w:tc>
          <w:tcPr>
            <w:tcW w:w="1229" w:type="dxa"/>
            <w:tcBorders>
              <w:tl2br w:val="nil"/>
              <w:tr2bl w:val="nil"/>
            </w:tcBorders>
            <w:noWrap w:val="0"/>
            <w:tcMar>
              <w:top w:w="60" w:type="dxa"/>
              <w:left w:w="120" w:type="dxa"/>
              <w:bottom w:w="30" w:type="dxa"/>
              <w:right w:w="120" w:type="dxa"/>
            </w:tcMar>
            <w:vAlign w:val="top"/>
          </w:tcPr>
          <w:p w14:paraId="2BCB26E8">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水资源利用</w:t>
            </w:r>
          </w:p>
        </w:tc>
        <w:tc>
          <w:tcPr>
            <w:tcW w:w="5366" w:type="dxa"/>
            <w:tcBorders>
              <w:tl2br w:val="nil"/>
              <w:tr2bl w:val="nil"/>
            </w:tcBorders>
            <w:noWrap w:val="0"/>
            <w:tcMar>
              <w:top w:w="60" w:type="dxa"/>
              <w:left w:w="120" w:type="dxa"/>
              <w:bottom w:w="30" w:type="dxa"/>
              <w:right w:w="120" w:type="dxa"/>
            </w:tcMar>
            <w:vAlign w:val="top"/>
          </w:tcPr>
          <w:p w14:paraId="4B6D131D">
            <w:pPr>
              <w:keepNext w:val="0"/>
              <w:keepLines w:val="0"/>
              <w:numPr>
                <w:ilvl w:val="0"/>
                <w:numId w:val="23"/>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卫生器具节水效率等级≥2 级，户内给水入户管设倒流防止器；</w:t>
            </w:r>
          </w:p>
          <w:p w14:paraId="34BE1906">
            <w:pPr>
              <w:keepNext w:val="0"/>
              <w:keepLines w:val="0"/>
              <w:numPr>
                <w:ilvl w:val="0"/>
                <w:numId w:val="23"/>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住区绿化浇灌、地面冲洗优先采用雨水回用水或市政中水。</w:t>
            </w:r>
          </w:p>
        </w:tc>
        <w:tc>
          <w:tcPr>
            <w:tcW w:w="1232" w:type="dxa"/>
            <w:tcBorders>
              <w:tl2br w:val="nil"/>
              <w:tr2bl w:val="nil"/>
            </w:tcBorders>
            <w:noWrap w:val="0"/>
            <w:tcMar>
              <w:top w:w="60" w:type="dxa"/>
              <w:left w:w="120" w:type="dxa"/>
              <w:bottom w:w="30" w:type="dxa"/>
              <w:right w:w="120" w:type="dxa"/>
            </w:tcMar>
            <w:vAlign w:val="top"/>
          </w:tcPr>
          <w:p w14:paraId="16B875CC">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设计、施工、运维</w:t>
            </w:r>
          </w:p>
        </w:tc>
      </w:tr>
      <w:tr w14:paraId="6D3B0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456CA47A">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1.4</w:t>
            </w:r>
          </w:p>
        </w:tc>
        <w:tc>
          <w:tcPr>
            <w:tcW w:w="1229" w:type="dxa"/>
            <w:tcBorders>
              <w:tl2br w:val="nil"/>
              <w:tr2bl w:val="nil"/>
            </w:tcBorders>
            <w:noWrap w:val="0"/>
            <w:tcMar>
              <w:top w:w="60" w:type="dxa"/>
              <w:left w:w="120" w:type="dxa"/>
              <w:bottom w:w="30" w:type="dxa"/>
              <w:right w:w="120" w:type="dxa"/>
            </w:tcMar>
            <w:vAlign w:val="top"/>
          </w:tcPr>
          <w:p w14:paraId="1786959C">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绿色施工</w:t>
            </w:r>
          </w:p>
        </w:tc>
        <w:tc>
          <w:tcPr>
            <w:tcW w:w="5366" w:type="dxa"/>
            <w:tcBorders>
              <w:tl2br w:val="nil"/>
              <w:tr2bl w:val="nil"/>
            </w:tcBorders>
            <w:noWrap w:val="0"/>
            <w:tcMar>
              <w:top w:w="60" w:type="dxa"/>
              <w:left w:w="120" w:type="dxa"/>
              <w:bottom w:w="30" w:type="dxa"/>
              <w:right w:w="120" w:type="dxa"/>
            </w:tcMar>
            <w:vAlign w:val="top"/>
          </w:tcPr>
          <w:p w14:paraId="5D3D43B7">
            <w:pPr>
              <w:keepNext w:val="0"/>
              <w:keepLines w:val="0"/>
              <w:numPr>
                <w:ilvl w:val="0"/>
                <w:numId w:val="24"/>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施工采用绿色建材（室内材料无石棉、苯，木器漆铅含量≤90mg/kg）；</w:t>
            </w:r>
          </w:p>
          <w:p w14:paraId="64BA19D2">
            <w:pPr>
              <w:keepNext w:val="0"/>
              <w:keepLines w:val="0"/>
              <w:numPr>
                <w:ilvl w:val="0"/>
                <w:numId w:val="24"/>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施工现场设扬尘监测，PM10 小时浓度≤当地同期均值，建筑垃圾回收率≥30%。</w:t>
            </w:r>
          </w:p>
        </w:tc>
        <w:tc>
          <w:tcPr>
            <w:tcW w:w="1232" w:type="dxa"/>
            <w:tcBorders>
              <w:tl2br w:val="nil"/>
              <w:tr2bl w:val="nil"/>
            </w:tcBorders>
            <w:noWrap w:val="0"/>
            <w:tcMar>
              <w:top w:w="60" w:type="dxa"/>
              <w:left w:w="120" w:type="dxa"/>
              <w:bottom w:w="30" w:type="dxa"/>
              <w:right w:w="120" w:type="dxa"/>
            </w:tcMar>
            <w:vAlign w:val="top"/>
          </w:tcPr>
          <w:p w14:paraId="02B696F1">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施工</w:t>
            </w:r>
          </w:p>
        </w:tc>
      </w:tr>
      <w:tr w14:paraId="773A1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5EAC730B">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1.5</w:t>
            </w:r>
          </w:p>
        </w:tc>
        <w:tc>
          <w:tcPr>
            <w:tcW w:w="1229" w:type="dxa"/>
            <w:tcBorders>
              <w:tl2br w:val="nil"/>
              <w:tr2bl w:val="nil"/>
            </w:tcBorders>
            <w:noWrap w:val="0"/>
            <w:tcMar>
              <w:top w:w="60" w:type="dxa"/>
              <w:left w:w="120" w:type="dxa"/>
              <w:bottom w:w="30" w:type="dxa"/>
              <w:right w:w="120" w:type="dxa"/>
            </w:tcMar>
            <w:vAlign w:val="top"/>
          </w:tcPr>
          <w:p w14:paraId="626CB5B4">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海绵城市要求</w:t>
            </w:r>
          </w:p>
        </w:tc>
        <w:tc>
          <w:tcPr>
            <w:tcW w:w="5366" w:type="dxa"/>
            <w:tcBorders>
              <w:tl2br w:val="nil"/>
              <w:tr2bl w:val="nil"/>
            </w:tcBorders>
            <w:noWrap w:val="0"/>
            <w:tcMar>
              <w:top w:w="60" w:type="dxa"/>
              <w:left w:w="120" w:type="dxa"/>
              <w:bottom w:w="30" w:type="dxa"/>
              <w:right w:w="120" w:type="dxa"/>
            </w:tcMar>
            <w:vAlign w:val="top"/>
          </w:tcPr>
          <w:p w14:paraId="3FA3DE53">
            <w:pPr>
              <w:keepNext w:val="0"/>
              <w:keepLines w:val="0"/>
              <w:numPr>
                <w:ilvl w:val="0"/>
                <w:numId w:val="25"/>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住区设雨水花园、下凹式绿地等海绵设施，雨水消纳能力符合规范；</w:t>
            </w:r>
          </w:p>
          <w:p w14:paraId="42C4F5BC">
            <w:pPr>
              <w:keepNext w:val="0"/>
              <w:keepLines w:val="0"/>
              <w:numPr>
                <w:ilvl w:val="0"/>
                <w:numId w:val="25"/>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非亲水性室外景观水体补水优先采用非传统水源。</w:t>
            </w:r>
          </w:p>
        </w:tc>
        <w:tc>
          <w:tcPr>
            <w:tcW w:w="1232" w:type="dxa"/>
            <w:tcBorders>
              <w:tl2br w:val="nil"/>
              <w:tr2bl w:val="nil"/>
            </w:tcBorders>
            <w:noWrap w:val="0"/>
            <w:tcMar>
              <w:top w:w="60" w:type="dxa"/>
              <w:left w:w="120" w:type="dxa"/>
              <w:bottom w:w="30" w:type="dxa"/>
              <w:right w:w="120" w:type="dxa"/>
            </w:tcMar>
            <w:vAlign w:val="top"/>
          </w:tcPr>
          <w:p w14:paraId="5153B3E2">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规划、设计、施工</w:t>
            </w:r>
          </w:p>
        </w:tc>
      </w:tr>
    </w:tbl>
    <w:p w14:paraId="550BDAE6">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p>
    <w:p w14:paraId="0AF341ED">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2. 评分项（总分 25 分，按达标程度计分）</w:t>
      </w:r>
    </w:p>
    <w:p w14:paraId="71D905C8">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p>
    <w:tbl>
      <w:tblPr>
        <w:tblStyle w:val="20"/>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 w:type="dxa"/>
          <w:bottom w:w="0" w:type="dxa"/>
          <w:right w:w="10" w:type="dxa"/>
        </w:tblCellMar>
      </w:tblPr>
      <w:tblGrid>
        <w:gridCol w:w="719"/>
        <w:gridCol w:w="1229"/>
        <w:gridCol w:w="4714"/>
        <w:gridCol w:w="1182"/>
        <w:gridCol w:w="702"/>
      </w:tblGrid>
      <w:tr w14:paraId="64EEC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5F104C0D">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序号</w:t>
            </w:r>
          </w:p>
        </w:tc>
        <w:tc>
          <w:tcPr>
            <w:tcW w:w="1229" w:type="dxa"/>
            <w:tcBorders>
              <w:tl2br w:val="nil"/>
              <w:tr2bl w:val="nil"/>
            </w:tcBorders>
            <w:noWrap w:val="0"/>
            <w:tcMar>
              <w:top w:w="60" w:type="dxa"/>
              <w:left w:w="120" w:type="dxa"/>
              <w:bottom w:w="30" w:type="dxa"/>
              <w:right w:w="120" w:type="dxa"/>
            </w:tcMar>
            <w:vAlign w:val="top"/>
          </w:tcPr>
          <w:p w14:paraId="48CD5CF0">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评价内容</w:t>
            </w:r>
          </w:p>
        </w:tc>
        <w:tc>
          <w:tcPr>
            <w:tcW w:w="4714" w:type="dxa"/>
            <w:tcBorders>
              <w:tl2br w:val="nil"/>
              <w:tr2bl w:val="nil"/>
            </w:tcBorders>
            <w:noWrap w:val="0"/>
            <w:tcMar>
              <w:top w:w="60" w:type="dxa"/>
              <w:left w:w="120" w:type="dxa"/>
              <w:bottom w:w="30" w:type="dxa"/>
              <w:right w:w="120" w:type="dxa"/>
            </w:tcMar>
            <w:vAlign w:val="top"/>
          </w:tcPr>
          <w:p w14:paraId="5937E25B">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评分标准</w:t>
            </w:r>
          </w:p>
        </w:tc>
        <w:tc>
          <w:tcPr>
            <w:tcW w:w="1182" w:type="dxa"/>
            <w:tcBorders>
              <w:tl2br w:val="nil"/>
              <w:tr2bl w:val="nil"/>
            </w:tcBorders>
            <w:noWrap w:val="0"/>
            <w:tcMar>
              <w:top w:w="60" w:type="dxa"/>
              <w:left w:w="120" w:type="dxa"/>
              <w:bottom w:w="30" w:type="dxa"/>
              <w:right w:w="120" w:type="dxa"/>
            </w:tcMar>
            <w:vAlign w:val="top"/>
          </w:tcPr>
          <w:p w14:paraId="31CE4943">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适用环节</w:t>
            </w:r>
          </w:p>
        </w:tc>
        <w:tc>
          <w:tcPr>
            <w:tcW w:w="702" w:type="dxa"/>
            <w:tcBorders>
              <w:tl2br w:val="nil"/>
              <w:tr2bl w:val="nil"/>
            </w:tcBorders>
            <w:noWrap w:val="0"/>
            <w:tcMar>
              <w:top w:w="60" w:type="dxa"/>
              <w:left w:w="120" w:type="dxa"/>
              <w:bottom w:w="30" w:type="dxa"/>
              <w:right w:w="120" w:type="dxa"/>
            </w:tcMar>
            <w:vAlign w:val="top"/>
          </w:tcPr>
          <w:p w14:paraId="0594EDA4">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分值</w:t>
            </w:r>
          </w:p>
        </w:tc>
      </w:tr>
      <w:tr w14:paraId="50081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24CD1CE5">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2.1</w:t>
            </w:r>
          </w:p>
        </w:tc>
        <w:tc>
          <w:tcPr>
            <w:tcW w:w="1229" w:type="dxa"/>
            <w:tcBorders>
              <w:tl2br w:val="nil"/>
              <w:tr2bl w:val="nil"/>
            </w:tcBorders>
            <w:noWrap w:val="0"/>
            <w:tcMar>
              <w:top w:w="60" w:type="dxa"/>
              <w:left w:w="120" w:type="dxa"/>
              <w:bottom w:w="30" w:type="dxa"/>
              <w:right w:w="120" w:type="dxa"/>
            </w:tcMar>
            <w:vAlign w:val="top"/>
          </w:tcPr>
          <w:p w14:paraId="5509EDE5">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节能升级</w:t>
            </w:r>
          </w:p>
        </w:tc>
        <w:tc>
          <w:tcPr>
            <w:tcW w:w="4714" w:type="dxa"/>
            <w:tcBorders>
              <w:tl2br w:val="nil"/>
              <w:tr2bl w:val="nil"/>
            </w:tcBorders>
            <w:noWrap w:val="0"/>
            <w:tcMar>
              <w:top w:w="60" w:type="dxa"/>
              <w:left w:w="120" w:type="dxa"/>
              <w:bottom w:w="30" w:type="dxa"/>
              <w:right w:w="120" w:type="dxa"/>
            </w:tcMar>
            <w:vAlign w:val="top"/>
          </w:tcPr>
          <w:p w14:paraId="237D1965">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1. 新建住宅执行超低能耗建筑标准（+3 分）；2. 采用辐射供冷 / 供暖系统（+2 分）。</w:t>
            </w:r>
          </w:p>
        </w:tc>
        <w:tc>
          <w:tcPr>
            <w:tcW w:w="1182" w:type="dxa"/>
            <w:tcBorders>
              <w:tl2br w:val="nil"/>
              <w:tr2bl w:val="nil"/>
            </w:tcBorders>
            <w:noWrap w:val="0"/>
            <w:tcMar>
              <w:top w:w="60" w:type="dxa"/>
              <w:left w:w="120" w:type="dxa"/>
              <w:bottom w:w="30" w:type="dxa"/>
              <w:right w:w="120" w:type="dxa"/>
            </w:tcMar>
            <w:vAlign w:val="top"/>
          </w:tcPr>
          <w:p w14:paraId="1BB63660">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设计、施工</w:t>
            </w:r>
          </w:p>
        </w:tc>
        <w:tc>
          <w:tcPr>
            <w:tcW w:w="702" w:type="dxa"/>
            <w:tcBorders>
              <w:tl2br w:val="nil"/>
              <w:tr2bl w:val="nil"/>
            </w:tcBorders>
            <w:noWrap w:val="0"/>
            <w:tcMar>
              <w:top w:w="60" w:type="dxa"/>
              <w:left w:w="120" w:type="dxa"/>
              <w:bottom w:w="30" w:type="dxa"/>
              <w:right w:w="120" w:type="dxa"/>
            </w:tcMar>
            <w:vAlign w:val="top"/>
          </w:tcPr>
          <w:p w14:paraId="3DC8855F">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5 分</w:t>
            </w:r>
          </w:p>
        </w:tc>
      </w:tr>
      <w:tr w14:paraId="13615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76AF8478">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2.2</w:t>
            </w:r>
          </w:p>
        </w:tc>
        <w:tc>
          <w:tcPr>
            <w:tcW w:w="1229" w:type="dxa"/>
            <w:tcBorders>
              <w:tl2br w:val="nil"/>
              <w:tr2bl w:val="nil"/>
            </w:tcBorders>
            <w:noWrap w:val="0"/>
            <w:tcMar>
              <w:top w:w="60" w:type="dxa"/>
              <w:left w:w="120" w:type="dxa"/>
              <w:bottom w:w="30" w:type="dxa"/>
              <w:right w:w="120" w:type="dxa"/>
            </w:tcMar>
            <w:vAlign w:val="top"/>
          </w:tcPr>
          <w:p w14:paraId="010CD48E">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可再生能源深度利用</w:t>
            </w:r>
          </w:p>
        </w:tc>
        <w:tc>
          <w:tcPr>
            <w:tcW w:w="4714" w:type="dxa"/>
            <w:tcBorders>
              <w:tl2br w:val="nil"/>
              <w:tr2bl w:val="nil"/>
            </w:tcBorders>
            <w:noWrap w:val="0"/>
            <w:tcMar>
              <w:top w:w="60" w:type="dxa"/>
              <w:left w:w="120" w:type="dxa"/>
              <w:bottom w:w="30" w:type="dxa"/>
              <w:right w:w="120" w:type="dxa"/>
            </w:tcMar>
            <w:vAlign w:val="top"/>
          </w:tcPr>
          <w:p w14:paraId="08C58B01">
            <w:pPr>
              <w:keepNext w:val="0"/>
              <w:keepLines w:val="0"/>
              <w:numPr>
                <w:ilvl w:val="0"/>
                <w:numId w:val="26"/>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采用空气源热泵供暖（COP 符合标准，+2 分）；2. 住区设地热能利用系统（+2 分）；</w:t>
            </w:r>
          </w:p>
          <w:p w14:paraId="7C10637A">
            <w:pPr>
              <w:keepNext w:val="0"/>
              <w:keepLines w:val="0"/>
              <w:numPr>
                <w:ilvl w:val="0"/>
                <w:numId w:val="0"/>
              </w:numPr>
              <w:suppressLineNumbers w:val="0"/>
              <w:snapToGrid w:val="0"/>
              <w:spacing w:before="0" w:beforeAutospacing="0" w:after="0" w:afterAutospacing="0" w:line="240" w:lineRule="auto"/>
              <w:ind w:left="0" w:right="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3. 太阳能光伏发电覆盖公共区域用电需求的 30% 以上（+1 分）。</w:t>
            </w:r>
          </w:p>
        </w:tc>
        <w:tc>
          <w:tcPr>
            <w:tcW w:w="1182" w:type="dxa"/>
            <w:tcBorders>
              <w:tl2br w:val="nil"/>
              <w:tr2bl w:val="nil"/>
            </w:tcBorders>
            <w:noWrap w:val="0"/>
            <w:tcMar>
              <w:top w:w="60" w:type="dxa"/>
              <w:left w:w="120" w:type="dxa"/>
              <w:bottom w:w="30" w:type="dxa"/>
              <w:right w:w="120" w:type="dxa"/>
            </w:tcMar>
            <w:vAlign w:val="top"/>
          </w:tcPr>
          <w:p w14:paraId="2377520E">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设计、施工、运维</w:t>
            </w:r>
          </w:p>
        </w:tc>
        <w:tc>
          <w:tcPr>
            <w:tcW w:w="702" w:type="dxa"/>
            <w:tcBorders>
              <w:tl2br w:val="nil"/>
              <w:tr2bl w:val="nil"/>
            </w:tcBorders>
            <w:noWrap w:val="0"/>
            <w:tcMar>
              <w:top w:w="60" w:type="dxa"/>
              <w:left w:w="120" w:type="dxa"/>
              <w:bottom w:w="30" w:type="dxa"/>
              <w:right w:w="120" w:type="dxa"/>
            </w:tcMar>
            <w:vAlign w:val="top"/>
          </w:tcPr>
          <w:p w14:paraId="35B8ACF1">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5 分</w:t>
            </w:r>
          </w:p>
        </w:tc>
      </w:tr>
      <w:tr w14:paraId="7A52F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5D18A950">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2.3</w:t>
            </w:r>
          </w:p>
        </w:tc>
        <w:tc>
          <w:tcPr>
            <w:tcW w:w="1229" w:type="dxa"/>
            <w:tcBorders>
              <w:tl2br w:val="nil"/>
              <w:tr2bl w:val="nil"/>
            </w:tcBorders>
            <w:noWrap w:val="0"/>
            <w:tcMar>
              <w:top w:w="60" w:type="dxa"/>
              <w:left w:w="120" w:type="dxa"/>
              <w:bottom w:w="30" w:type="dxa"/>
              <w:right w:w="120" w:type="dxa"/>
            </w:tcMar>
            <w:vAlign w:val="top"/>
          </w:tcPr>
          <w:p w14:paraId="19408DAB">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水资源节约</w:t>
            </w:r>
          </w:p>
        </w:tc>
        <w:tc>
          <w:tcPr>
            <w:tcW w:w="4714" w:type="dxa"/>
            <w:tcBorders>
              <w:tl2br w:val="nil"/>
              <w:tr2bl w:val="nil"/>
            </w:tcBorders>
            <w:noWrap w:val="0"/>
            <w:tcMar>
              <w:top w:w="60" w:type="dxa"/>
              <w:left w:w="120" w:type="dxa"/>
              <w:bottom w:w="30" w:type="dxa"/>
              <w:right w:w="120" w:type="dxa"/>
            </w:tcMar>
            <w:vAlign w:val="top"/>
          </w:tcPr>
          <w:p w14:paraId="2B14736B">
            <w:pPr>
              <w:keepNext w:val="0"/>
              <w:keepLines w:val="0"/>
              <w:numPr>
                <w:ilvl w:val="0"/>
                <w:numId w:val="27"/>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住区设中水系统（+2 分）；</w:t>
            </w:r>
          </w:p>
          <w:p w14:paraId="73946411">
            <w:pPr>
              <w:keepNext w:val="0"/>
              <w:keepLines w:val="0"/>
              <w:numPr>
                <w:ilvl w:val="0"/>
                <w:numId w:val="27"/>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户内给水配水管网采用环状供水管网（减少死水区，+2 分）；</w:t>
            </w:r>
          </w:p>
          <w:p w14:paraId="26EF2F3E">
            <w:pPr>
              <w:keepNext w:val="0"/>
              <w:keepLines w:val="0"/>
              <w:numPr>
                <w:ilvl w:val="0"/>
                <w:numId w:val="27"/>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雨水回收利用率≥30%（+1 分）。</w:t>
            </w:r>
          </w:p>
        </w:tc>
        <w:tc>
          <w:tcPr>
            <w:tcW w:w="1182" w:type="dxa"/>
            <w:tcBorders>
              <w:tl2br w:val="nil"/>
              <w:tr2bl w:val="nil"/>
            </w:tcBorders>
            <w:noWrap w:val="0"/>
            <w:tcMar>
              <w:top w:w="60" w:type="dxa"/>
              <w:left w:w="120" w:type="dxa"/>
              <w:bottom w:w="30" w:type="dxa"/>
              <w:right w:w="120" w:type="dxa"/>
            </w:tcMar>
            <w:vAlign w:val="top"/>
          </w:tcPr>
          <w:p w14:paraId="1AB9DA8A">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设计、施工、运维</w:t>
            </w:r>
          </w:p>
        </w:tc>
        <w:tc>
          <w:tcPr>
            <w:tcW w:w="702" w:type="dxa"/>
            <w:tcBorders>
              <w:tl2br w:val="nil"/>
              <w:tr2bl w:val="nil"/>
            </w:tcBorders>
            <w:noWrap w:val="0"/>
            <w:tcMar>
              <w:top w:w="60" w:type="dxa"/>
              <w:left w:w="120" w:type="dxa"/>
              <w:bottom w:w="30" w:type="dxa"/>
              <w:right w:w="120" w:type="dxa"/>
            </w:tcMar>
            <w:vAlign w:val="top"/>
          </w:tcPr>
          <w:p w14:paraId="75BD8F54">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5 分</w:t>
            </w:r>
          </w:p>
        </w:tc>
      </w:tr>
      <w:tr w14:paraId="393BA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0D73CD72">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2.4</w:t>
            </w:r>
          </w:p>
        </w:tc>
        <w:tc>
          <w:tcPr>
            <w:tcW w:w="1229" w:type="dxa"/>
            <w:tcBorders>
              <w:tl2br w:val="nil"/>
              <w:tr2bl w:val="nil"/>
            </w:tcBorders>
            <w:noWrap w:val="0"/>
            <w:tcMar>
              <w:top w:w="60" w:type="dxa"/>
              <w:left w:w="120" w:type="dxa"/>
              <w:bottom w:w="30" w:type="dxa"/>
              <w:right w:w="120" w:type="dxa"/>
            </w:tcMar>
            <w:vAlign w:val="top"/>
          </w:tcPr>
          <w:p w14:paraId="799B8881">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绿色建材与施工</w:t>
            </w:r>
          </w:p>
        </w:tc>
        <w:tc>
          <w:tcPr>
            <w:tcW w:w="4714" w:type="dxa"/>
            <w:tcBorders>
              <w:tl2br w:val="nil"/>
              <w:tr2bl w:val="nil"/>
            </w:tcBorders>
            <w:noWrap w:val="0"/>
            <w:tcMar>
              <w:top w:w="60" w:type="dxa"/>
              <w:left w:w="120" w:type="dxa"/>
              <w:bottom w:w="30" w:type="dxa"/>
              <w:right w:w="120" w:type="dxa"/>
            </w:tcMar>
            <w:vAlign w:val="top"/>
          </w:tcPr>
          <w:p w14:paraId="08999E4B">
            <w:pPr>
              <w:keepNext w:val="0"/>
              <w:keepLines w:val="0"/>
              <w:numPr>
                <w:ilvl w:val="0"/>
                <w:numId w:val="28"/>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绿色建材用量占比≥50%（+2 分）；</w:t>
            </w:r>
          </w:p>
          <w:p w14:paraId="467E0C86">
            <w:pPr>
              <w:keepNext w:val="0"/>
              <w:keepLines w:val="0"/>
              <w:numPr>
                <w:ilvl w:val="0"/>
                <w:numId w:val="28"/>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采用装配式装修（+2 分）；</w:t>
            </w:r>
          </w:p>
          <w:p w14:paraId="24A299E8">
            <w:pPr>
              <w:keepNext w:val="0"/>
              <w:keepLines w:val="0"/>
              <w:numPr>
                <w:ilvl w:val="0"/>
                <w:numId w:val="28"/>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施工中使用清洁能源设备（如太阳能路灯，+1 分）。</w:t>
            </w:r>
          </w:p>
        </w:tc>
        <w:tc>
          <w:tcPr>
            <w:tcW w:w="1182" w:type="dxa"/>
            <w:tcBorders>
              <w:tl2br w:val="nil"/>
              <w:tr2bl w:val="nil"/>
            </w:tcBorders>
            <w:noWrap w:val="0"/>
            <w:tcMar>
              <w:top w:w="60" w:type="dxa"/>
              <w:left w:w="120" w:type="dxa"/>
              <w:bottom w:w="30" w:type="dxa"/>
              <w:right w:w="120" w:type="dxa"/>
            </w:tcMar>
            <w:vAlign w:val="top"/>
          </w:tcPr>
          <w:p w14:paraId="41672CE5">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施工</w:t>
            </w:r>
          </w:p>
        </w:tc>
        <w:tc>
          <w:tcPr>
            <w:tcW w:w="702" w:type="dxa"/>
            <w:tcBorders>
              <w:tl2br w:val="nil"/>
              <w:tr2bl w:val="nil"/>
            </w:tcBorders>
            <w:noWrap w:val="0"/>
            <w:tcMar>
              <w:top w:w="60" w:type="dxa"/>
              <w:left w:w="120" w:type="dxa"/>
              <w:bottom w:w="30" w:type="dxa"/>
              <w:right w:w="120" w:type="dxa"/>
            </w:tcMar>
            <w:vAlign w:val="top"/>
          </w:tcPr>
          <w:p w14:paraId="527C3F9A">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5 分</w:t>
            </w:r>
          </w:p>
        </w:tc>
      </w:tr>
      <w:tr w14:paraId="395DD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07020A47">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2.5</w:t>
            </w:r>
          </w:p>
        </w:tc>
        <w:tc>
          <w:tcPr>
            <w:tcW w:w="1229" w:type="dxa"/>
            <w:tcBorders>
              <w:tl2br w:val="nil"/>
              <w:tr2bl w:val="nil"/>
            </w:tcBorders>
            <w:noWrap w:val="0"/>
            <w:tcMar>
              <w:top w:w="60" w:type="dxa"/>
              <w:left w:w="120" w:type="dxa"/>
              <w:bottom w:w="30" w:type="dxa"/>
              <w:right w:w="120" w:type="dxa"/>
            </w:tcMar>
            <w:vAlign w:val="top"/>
          </w:tcPr>
          <w:p w14:paraId="0B3BF8DE">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碳管理</w:t>
            </w:r>
          </w:p>
        </w:tc>
        <w:tc>
          <w:tcPr>
            <w:tcW w:w="4714" w:type="dxa"/>
            <w:tcBorders>
              <w:tl2br w:val="nil"/>
              <w:tr2bl w:val="nil"/>
            </w:tcBorders>
            <w:noWrap w:val="0"/>
            <w:tcMar>
              <w:top w:w="60" w:type="dxa"/>
              <w:left w:w="120" w:type="dxa"/>
              <w:bottom w:w="30" w:type="dxa"/>
              <w:right w:w="120" w:type="dxa"/>
            </w:tcMar>
            <w:vAlign w:val="top"/>
          </w:tcPr>
          <w:p w14:paraId="1F70B456">
            <w:pPr>
              <w:keepNext w:val="0"/>
              <w:keepLines w:val="0"/>
              <w:numPr>
                <w:ilvl w:val="0"/>
                <w:numId w:val="29"/>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建立施工碳排放管理体系，明确减排目标（+2 分）；</w:t>
            </w:r>
          </w:p>
          <w:p w14:paraId="01C6D53C">
            <w:pPr>
              <w:keepNext w:val="0"/>
              <w:keepLines w:val="0"/>
              <w:numPr>
                <w:ilvl w:val="0"/>
                <w:numId w:val="29"/>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运维阶段设能耗监管系统，实时监测并优化能耗（+2 分）；</w:t>
            </w:r>
          </w:p>
          <w:p w14:paraId="687CCFD5">
            <w:pPr>
              <w:keepNext w:val="0"/>
              <w:keepLines w:val="0"/>
              <w:numPr>
                <w:ilvl w:val="0"/>
                <w:numId w:val="29"/>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每年开展碳排放量核算（+1 分）。</w:t>
            </w:r>
          </w:p>
        </w:tc>
        <w:tc>
          <w:tcPr>
            <w:tcW w:w="1182" w:type="dxa"/>
            <w:tcBorders>
              <w:tl2br w:val="nil"/>
              <w:tr2bl w:val="nil"/>
            </w:tcBorders>
            <w:noWrap w:val="0"/>
            <w:tcMar>
              <w:top w:w="60" w:type="dxa"/>
              <w:left w:w="120" w:type="dxa"/>
              <w:bottom w:w="30" w:type="dxa"/>
              <w:right w:w="120" w:type="dxa"/>
            </w:tcMar>
            <w:vAlign w:val="top"/>
          </w:tcPr>
          <w:p w14:paraId="772E5051">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施工、运维</w:t>
            </w:r>
          </w:p>
        </w:tc>
        <w:tc>
          <w:tcPr>
            <w:tcW w:w="702" w:type="dxa"/>
            <w:tcBorders>
              <w:tl2br w:val="nil"/>
              <w:tr2bl w:val="nil"/>
            </w:tcBorders>
            <w:noWrap w:val="0"/>
            <w:tcMar>
              <w:top w:w="60" w:type="dxa"/>
              <w:left w:w="120" w:type="dxa"/>
              <w:bottom w:w="30" w:type="dxa"/>
              <w:right w:w="120" w:type="dxa"/>
            </w:tcMar>
            <w:vAlign w:val="top"/>
          </w:tcPr>
          <w:p w14:paraId="15187AD0">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5 分</w:t>
            </w:r>
          </w:p>
        </w:tc>
      </w:tr>
    </w:tbl>
    <w:p w14:paraId="12AE09AF">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p>
    <w:p w14:paraId="14765A83">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（四）智慧便利（总分 25 分）</w:t>
      </w:r>
    </w:p>
    <w:p w14:paraId="22CBE24E">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1. 控制项（须全部满足，不达标则整体评价不合格）</w:t>
      </w:r>
    </w:p>
    <w:p w14:paraId="768CC7E7">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p>
    <w:tbl>
      <w:tblPr>
        <w:tblStyle w:val="20"/>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 w:type="dxa"/>
          <w:bottom w:w="0" w:type="dxa"/>
          <w:right w:w="10" w:type="dxa"/>
        </w:tblCellMar>
      </w:tblPr>
      <w:tblGrid>
        <w:gridCol w:w="719"/>
        <w:gridCol w:w="1229"/>
        <w:gridCol w:w="5348"/>
        <w:gridCol w:w="1250"/>
      </w:tblGrid>
      <w:tr w14:paraId="1289A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52233C6A">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序号</w:t>
            </w:r>
          </w:p>
        </w:tc>
        <w:tc>
          <w:tcPr>
            <w:tcW w:w="1229" w:type="dxa"/>
            <w:tcBorders>
              <w:tl2br w:val="nil"/>
              <w:tr2bl w:val="nil"/>
            </w:tcBorders>
            <w:noWrap w:val="0"/>
            <w:tcMar>
              <w:top w:w="60" w:type="dxa"/>
              <w:left w:w="120" w:type="dxa"/>
              <w:bottom w:w="30" w:type="dxa"/>
              <w:right w:w="120" w:type="dxa"/>
            </w:tcMar>
            <w:vAlign w:val="top"/>
          </w:tcPr>
          <w:p w14:paraId="1FC92A5B">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评价内容</w:t>
            </w:r>
          </w:p>
        </w:tc>
        <w:tc>
          <w:tcPr>
            <w:tcW w:w="5348" w:type="dxa"/>
            <w:tcBorders>
              <w:tl2br w:val="nil"/>
              <w:tr2bl w:val="nil"/>
            </w:tcBorders>
            <w:noWrap w:val="0"/>
            <w:tcMar>
              <w:top w:w="60" w:type="dxa"/>
              <w:left w:w="120" w:type="dxa"/>
              <w:bottom w:w="30" w:type="dxa"/>
              <w:right w:w="120" w:type="dxa"/>
            </w:tcMar>
            <w:vAlign w:val="top"/>
          </w:tcPr>
          <w:p w14:paraId="766C2DCB">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评价要求</w:t>
            </w:r>
          </w:p>
        </w:tc>
        <w:tc>
          <w:tcPr>
            <w:tcW w:w="1250" w:type="dxa"/>
            <w:tcBorders>
              <w:tl2br w:val="nil"/>
              <w:tr2bl w:val="nil"/>
            </w:tcBorders>
            <w:noWrap w:val="0"/>
            <w:tcMar>
              <w:top w:w="60" w:type="dxa"/>
              <w:left w:w="120" w:type="dxa"/>
              <w:bottom w:w="30" w:type="dxa"/>
              <w:right w:w="120" w:type="dxa"/>
            </w:tcMar>
            <w:vAlign w:val="top"/>
          </w:tcPr>
          <w:p w14:paraId="2CA85754">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适用环节</w:t>
            </w:r>
          </w:p>
        </w:tc>
      </w:tr>
      <w:tr w14:paraId="47B4A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1EEE3D14">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1.1</w:t>
            </w:r>
          </w:p>
        </w:tc>
        <w:tc>
          <w:tcPr>
            <w:tcW w:w="1229" w:type="dxa"/>
            <w:tcBorders>
              <w:tl2br w:val="nil"/>
              <w:tr2bl w:val="nil"/>
            </w:tcBorders>
            <w:noWrap w:val="0"/>
            <w:tcMar>
              <w:top w:w="60" w:type="dxa"/>
              <w:left w:w="120" w:type="dxa"/>
              <w:bottom w:w="30" w:type="dxa"/>
              <w:right w:w="120" w:type="dxa"/>
            </w:tcMar>
            <w:vAlign w:val="top"/>
          </w:tcPr>
          <w:p w14:paraId="6D087001">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智慧安防</w:t>
            </w:r>
          </w:p>
        </w:tc>
        <w:tc>
          <w:tcPr>
            <w:tcW w:w="5348" w:type="dxa"/>
            <w:tcBorders>
              <w:tl2br w:val="nil"/>
              <w:tr2bl w:val="nil"/>
            </w:tcBorders>
            <w:noWrap w:val="0"/>
            <w:tcMar>
              <w:top w:w="60" w:type="dxa"/>
              <w:left w:w="120" w:type="dxa"/>
              <w:bottom w:w="30" w:type="dxa"/>
              <w:right w:w="120" w:type="dxa"/>
            </w:tcMar>
            <w:vAlign w:val="top"/>
          </w:tcPr>
          <w:p w14:paraId="5A27082C">
            <w:pPr>
              <w:keepNext w:val="0"/>
              <w:keepLines w:val="0"/>
              <w:numPr>
                <w:ilvl w:val="0"/>
                <w:numId w:val="30"/>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住区周界、出入口、电梯轿厢设视频监控，单元门设可视对讲系统；</w:t>
            </w:r>
          </w:p>
          <w:p w14:paraId="0A69B244">
            <w:pPr>
              <w:keepNext w:val="0"/>
              <w:keepLines w:val="0"/>
              <w:numPr>
                <w:ilvl w:val="0"/>
                <w:numId w:val="30"/>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生活饮用水泵房、变配电室设入侵报警系统。</w:t>
            </w:r>
          </w:p>
        </w:tc>
        <w:tc>
          <w:tcPr>
            <w:tcW w:w="1250" w:type="dxa"/>
            <w:tcBorders>
              <w:tl2br w:val="nil"/>
              <w:tr2bl w:val="nil"/>
            </w:tcBorders>
            <w:noWrap w:val="0"/>
            <w:tcMar>
              <w:top w:w="60" w:type="dxa"/>
              <w:left w:w="120" w:type="dxa"/>
              <w:bottom w:w="30" w:type="dxa"/>
              <w:right w:w="120" w:type="dxa"/>
            </w:tcMar>
            <w:vAlign w:val="top"/>
          </w:tcPr>
          <w:p w14:paraId="56E53DC4">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设计、施工、运维</w:t>
            </w:r>
          </w:p>
        </w:tc>
      </w:tr>
      <w:tr w14:paraId="352BD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2D9DC50B">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1.2</w:t>
            </w:r>
          </w:p>
        </w:tc>
        <w:tc>
          <w:tcPr>
            <w:tcW w:w="1229" w:type="dxa"/>
            <w:tcBorders>
              <w:tl2br w:val="nil"/>
              <w:tr2bl w:val="nil"/>
            </w:tcBorders>
            <w:noWrap w:val="0"/>
            <w:tcMar>
              <w:top w:w="60" w:type="dxa"/>
              <w:left w:w="120" w:type="dxa"/>
              <w:bottom w:w="30" w:type="dxa"/>
              <w:right w:w="120" w:type="dxa"/>
            </w:tcMar>
            <w:vAlign w:val="top"/>
          </w:tcPr>
          <w:p w14:paraId="00FDF75F">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智慧物业基础</w:t>
            </w:r>
          </w:p>
        </w:tc>
        <w:tc>
          <w:tcPr>
            <w:tcW w:w="5348" w:type="dxa"/>
            <w:tcBorders>
              <w:tl2br w:val="nil"/>
              <w:tr2bl w:val="nil"/>
            </w:tcBorders>
            <w:noWrap w:val="0"/>
            <w:tcMar>
              <w:top w:w="60" w:type="dxa"/>
              <w:left w:w="120" w:type="dxa"/>
              <w:bottom w:w="30" w:type="dxa"/>
              <w:right w:w="120" w:type="dxa"/>
            </w:tcMar>
            <w:vAlign w:val="top"/>
          </w:tcPr>
          <w:p w14:paraId="126F1467">
            <w:pPr>
              <w:keepNext w:val="0"/>
              <w:keepLines w:val="0"/>
              <w:numPr>
                <w:ilvl w:val="0"/>
                <w:numId w:val="31"/>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建立物业管理系统，支持业主线上报修、缴费、访客预约；</w:t>
            </w:r>
          </w:p>
          <w:p w14:paraId="7BBC8F4B">
            <w:pPr>
              <w:keepNext w:val="0"/>
              <w:keepLines w:val="0"/>
              <w:numPr>
                <w:ilvl w:val="0"/>
                <w:numId w:val="31"/>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建筑设备管理系统监测生活水泵、电梯运行状态，故障实时报警。</w:t>
            </w:r>
          </w:p>
        </w:tc>
        <w:tc>
          <w:tcPr>
            <w:tcW w:w="1250" w:type="dxa"/>
            <w:tcBorders>
              <w:tl2br w:val="nil"/>
              <w:tr2bl w:val="nil"/>
            </w:tcBorders>
            <w:noWrap w:val="0"/>
            <w:tcMar>
              <w:top w:w="60" w:type="dxa"/>
              <w:left w:w="120" w:type="dxa"/>
              <w:bottom w:w="30" w:type="dxa"/>
              <w:right w:w="120" w:type="dxa"/>
            </w:tcMar>
            <w:vAlign w:val="top"/>
          </w:tcPr>
          <w:p w14:paraId="07D3A03D">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设计、运维</w:t>
            </w:r>
          </w:p>
        </w:tc>
      </w:tr>
      <w:tr w14:paraId="74531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10F71ACD">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1.3</w:t>
            </w:r>
          </w:p>
        </w:tc>
        <w:tc>
          <w:tcPr>
            <w:tcW w:w="1229" w:type="dxa"/>
            <w:tcBorders>
              <w:tl2br w:val="nil"/>
              <w:tr2bl w:val="nil"/>
            </w:tcBorders>
            <w:noWrap w:val="0"/>
            <w:tcMar>
              <w:top w:w="60" w:type="dxa"/>
              <w:left w:w="120" w:type="dxa"/>
              <w:bottom w:w="30" w:type="dxa"/>
              <w:right w:w="120" w:type="dxa"/>
            </w:tcMar>
            <w:vAlign w:val="top"/>
          </w:tcPr>
          <w:p w14:paraId="2EC84D94">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智能设施配置</w:t>
            </w:r>
          </w:p>
        </w:tc>
        <w:tc>
          <w:tcPr>
            <w:tcW w:w="5348" w:type="dxa"/>
            <w:tcBorders>
              <w:tl2br w:val="nil"/>
              <w:tr2bl w:val="nil"/>
            </w:tcBorders>
            <w:noWrap w:val="0"/>
            <w:tcMar>
              <w:top w:w="60" w:type="dxa"/>
              <w:left w:w="120" w:type="dxa"/>
              <w:bottom w:w="30" w:type="dxa"/>
              <w:right w:w="120" w:type="dxa"/>
            </w:tcMar>
            <w:vAlign w:val="top"/>
          </w:tcPr>
          <w:p w14:paraId="0F5063BC">
            <w:pPr>
              <w:keepNext w:val="0"/>
              <w:keepLines w:val="0"/>
              <w:numPr>
                <w:ilvl w:val="0"/>
                <w:numId w:val="32"/>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机动车停车位 100% 预留充电设施接口；</w:t>
            </w:r>
          </w:p>
          <w:p w14:paraId="6EA10E63">
            <w:pPr>
              <w:keepNext w:val="0"/>
              <w:keepLines w:val="0"/>
              <w:numPr>
                <w:ilvl w:val="0"/>
                <w:numId w:val="32"/>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单元大堂设信息发布系统，支持通知推送。</w:t>
            </w:r>
          </w:p>
        </w:tc>
        <w:tc>
          <w:tcPr>
            <w:tcW w:w="1250" w:type="dxa"/>
            <w:tcBorders>
              <w:tl2br w:val="nil"/>
              <w:tr2bl w:val="nil"/>
            </w:tcBorders>
            <w:noWrap w:val="0"/>
            <w:tcMar>
              <w:top w:w="60" w:type="dxa"/>
              <w:left w:w="120" w:type="dxa"/>
              <w:bottom w:w="30" w:type="dxa"/>
              <w:right w:w="120" w:type="dxa"/>
            </w:tcMar>
            <w:vAlign w:val="top"/>
          </w:tcPr>
          <w:p w14:paraId="2CB16135">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设计、施工</w:t>
            </w:r>
          </w:p>
        </w:tc>
      </w:tr>
      <w:tr w14:paraId="0B712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6EE3612B">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1.4</w:t>
            </w:r>
          </w:p>
        </w:tc>
        <w:tc>
          <w:tcPr>
            <w:tcW w:w="1229" w:type="dxa"/>
            <w:tcBorders>
              <w:tl2br w:val="nil"/>
              <w:tr2bl w:val="nil"/>
            </w:tcBorders>
            <w:noWrap w:val="0"/>
            <w:tcMar>
              <w:top w:w="60" w:type="dxa"/>
              <w:left w:w="120" w:type="dxa"/>
              <w:bottom w:w="30" w:type="dxa"/>
              <w:right w:w="120" w:type="dxa"/>
            </w:tcMar>
            <w:vAlign w:val="top"/>
          </w:tcPr>
          <w:p w14:paraId="2C09DED8">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数字家庭基础</w:t>
            </w:r>
          </w:p>
        </w:tc>
        <w:tc>
          <w:tcPr>
            <w:tcW w:w="5348" w:type="dxa"/>
            <w:tcBorders>
              <w:tl2br w:val="nil"/>
              <w:tr2bl w:val="nil"/>
            </w:tcBorders>
            <w:noWrap w:val="0"/>
            <w:tcMar>
              <w:top w:w="60" w:type="dxa"/>
              <w:left w:w="120" w:type="dxa"/>
              <w:bottom w:w="30" w:type="dxa"/>
              <w:right w:w="120" w:type="dxa"/>
            </w:tcMar>
            <w:vAlign w:val="top"/>
          </w:tcPr>
          <w:p w14:paraId="3273A529">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1. 户内预留智能接口（如智能清理机器人上下水接口）；2. 配电箱设独立回路（冰箱、监控摄像头）。</w:t>
            </w:r>
          </w:p>
        </w:tc>
        <w:tc>
          <w:tcPr>
            <w:tcW w:w="1250" w:type="dxa"/>
            <w:tcBorders>
              <w:tl2br w:val="nil"/>
              <w:tr2bl w:val="nil"/>
            </w:tcBorders>
            <w:noWrap w:val="0"/>
            <w:tcMar>
              <w:top w:w="60" w:type="dxa"/>
              <w:left w:w="120" w:type="dxa"/>
              <w:bottom w:w="30" w:type="dxa"/>
              <w:right w:w="120" w:type="dxa"/>
            </w:tcMar>
            <w:vAlign w:val="top"/>
          </w:tcPr>
          <w:p w14:paraId="2CFCB3B5">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设计、施工</w:t>
            </w:r>
          </w:p>
        </w:tc>
      </w:tr>
      <w:tr w14:paraId="3EB24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2F8ABABC">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1.5</w:t>
            </w:r>
          </w:p>
        </w:tc>
        <w:tc>
          <w:tcPr>
            <w:tcW w:w="1229" w:type="dxa"/>
            <w:tcBorders>
              <w:tl2br w:val="nil"/>
              <w:tr2bl w:val="nil"/>
            </w:tcBorders>
            <w:noWrap w:val="0"/>
            <w:tcMar>
              <w:top w:w="60" w:type="dxa"/>
              <w:left w:w="120" w:type="dxa"/>
              <w:bottom w:w="30" w:type="dxa"/>
              <w:right w:w="120" w:type="dxa"/>
            </w:tcMar>
            <w:vAlign w:val="top"/>
          </w:tcPr>
          <w:p w14:paraId="2CA776F4">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信息安全</w:t>
            </w:r>
          </w:p>
        </w:tc>
        <w:tc>
          <w:tcPr>
            <w:tcW w:w="5348" w:type="dxa"/>
            <w:tcBorders>
              <w:tl2br w:val="nil"/>
              <w:tr2bl w:val="nil"/>
            </w:tcBorders>
            <w:noWrap w:val="0"/>
            <w:tcMar>
              <w:top w:w="60" w:type="dxa"/>
              <w:left w:w="120" w:type="dxa"/>
              <w:bottom w:w="30" w:type="dxa"/>
              <w:right w:w="120" w:type="dxa"/>
            </w:tcMar>
            <w:vAlign w:val="top"/>
          </w:tcPr>
          <w:p w14:paraId="0844FC1A">
            <w:pPr>
              <w:keepNext w:val="0"/>
              <w:keepLines w:val="0"/>
              <w:numPr>
                <w:ilvl w:val="0"/>
                <w:numId w:val="33"/>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智慧系统 API 接口独立组网，不直接开放基本数据库；</w:t>
            </w:r>
          </w:p>
          <w:p w14:paraId="4465408B">
            <w:pPr>
              <w:keepNext w:val="0"/>
              <w:keepLines w:val="0"/>
              <w:numPr>
                <w:ilvl w:val="0"/>
                <w:numId w:val="33"/>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人脸信息独立存储，不开放给第三方。</w:t>
            </w:r>
          </w:p>
        </w:tc>
        <w:tc>
          <w:tcPr>
            <w:tcW w:w="1250" w:type="dxa"/>
            <w:tcBorders>
              <w:tl2br w:val="nil"/>
              <w:tr2bl w:val="nil"/>
            </w:tcBorders>
            <w:noWrap w:val="0"/>
            <w:tcMar>
              <w:top w:w="60" w:type="dxa"/>
              <w:left w:w="120" w:type="dxa"/>
              <w:bottom w:w="30" w:type="dxa"/>
              <w:right w:w="120" w:type="dxa"/>
            </w:tcMar>
            <w:vAlign w:val="top"/>
          </w:tcPr>
          <w:p w14:paraId="2B5EAC14">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设计、运维</w:t>
            </w:r>
          </w:p>
        </w:tc>
      </w:tr>
    </w:tbl>
    <w:p w14:paraId="1923528C">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p>
    <w:p w14:paraId="3F865246">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2. 评分项（总分 25 分，按达标程度计分）</w:t>
      </w:r>
    </w:p>
    <w:p w14:paraId="3201FD7B">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p>
    <w:tbl>
      <w:tblPr>
        <w:tblStyle w:val="20"/>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 w:type="dxa"/>
          <w:bottom w:w="0" w:type="dxa"/>
          <w:right w:w="10" w:type="dxa"/>
        </w:tblCellMar>
      </w:tblPr>
      <w:tblGrid>
        <w:gridCol w:w="719"/>
        <w:gridCol w:w="1224"/>
        <w:gridCol w:w="4782"/>
        <w:gridCol w:w="1143"/>
        <w:gridCol w:w="678"/>
      </w:tblGrid>
      <w:tr w14:paraId="27931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4A108EC1">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序号</w:t>
            </w:r>
          </w:p>
        </w:tc>
        <w:tc>
          <w:tcPr>
            <w:tcW w:w="1224" w:type="dxa"/>
            <w:tcBorders>
              <w:tl2br w:val="nil"/>
              <w:tr2bl w:val="nil"/>
            </w:tcBorders>
            <w:noWrap w:val="0"/>
            <w:tcMar>
              <w:top w:w="60" w:type="dxa"/>
              <w:left w:w="120" w:type="dxa"/>
              <w:bottom w:w="30" w:type="dxa"/>
              <w:right w:w="120" w:type="dxa"/>
            </w:tcMar>
            <w:vAlign w:val="top"/>
          </w:tcPr>
          <w:p w14:paraId="1B0E0523">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评价内容</w:t>
            </w:r>
          </w:p>
        </w:tc>
        <w:tc>
          <w:tcPr>
            <w:tcW w:w="4782" w:type="dxa"/>
            <w:tcBorders>
              <w:tl2br w:val="nil"/>
              <w:tr2bl w:val="nil"/>
            </w:tcBorders>
            <w:noWrap w:val="0"/>
            <w:tcMar>
              <w:top w:w="60" w:type="dxa"/>
              <w:left w:w="120" w:type="dxa"/>
              <w:bottom w:w="30" w:type="dxa"/>
              <w:right w:w="120" w:type="dxa"/>
            </w:tcMar>
            <w:vAlign w:val="top"/>
          </w:tcPr>
          <w:p w14:paraId="14C5D9A5">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评分标准</w:t>
            </w:r>
          </w:p>
        </w:tc>
        <w:tc>
          <w:tcPr>
            <w:tcW w:w="1143" w:type="dxa"/>
            <w:tcBorders>
              <w:tl2br w:val="nil"/>
              <w:tr2bl w:val="nil"/>
            </w:tcBorders>
            <w:noWrap w:val="0"/>
            <w:tcMar>
              <w:top w:w="60" w:type="dxa"/>
              <w:left w:w="120" w:type="dxa"/>
              <w:bottom w:w="30" w:type="dxa"/>
              <w:right w:w="120" w:type="dxa"/>
            </w:tcMar>
            <w:vAlign w:val="top"/>
          </w:tcPr>
          <w:p w14:paraId="687AF68D">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适用环节</w:t>
            </w:r>
          </w:p>
        </w:tc>
        <w:tc>
          <w:tcPr>
            <w:tcW w:w="678" w:type="dxa"/>
            <w:tcBorders>
              <w:tl2br w:val="nil"/>
              <w:tr2bl w:val="nil"/>
            </w:tcBorders>
            <w:noWrap w:val="0"/>
            <w:tcMar>
              <w:top w:w="60" w:type="dxa"/>
              <w:left w:w="120" w:type="dxa"/>
              <w:bottom w:w="30" w:type="dxa"/>
              <w:right w:w="120" w:type="dxa"/>
            </w:tcMar>
            <w:vAlign w:val="top"/>
          </w:tcPr>
          <w:p w14:paraId="4EBD72DC">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分值</w:t>
            </w:r>
          </w:p>
        </w:tc>
      </w:tr>
      <w:tr w14:paraId="4A7ED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208461ED">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2.1</w:t>
            </w:r>
          </w:p>
        </w:tc>
        <w:tc>
          <w:tcPr>
            <w:tcW w:w="1224" w:type="dxa"/>
            <w:tcBorders>
              <w:tl2br w:val="nil"/>
              <w:tr2bl w:val="nil"/>
            </w:tcBorders>
            <w:noWrap w:val="0"/>
            <w:tcMar>
              <w:top w:w="60" w:type="dxa"/>
              <w:left w:w="120" w:type="dxa"/>
              <w:bottom w:w="30" w:type="dxa"/>
              <w:right w:w="120" w:type="dxa"/>
            </w:tcMar>
            <w:vAlign w:val="top"/>
          </w:tcPr>
          <w:p w14:paraId="796A090F">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智慧安防升级</w:t>
            </w:r>
          </w:p>
        </w:tc>
        <w:tc>
          <w:tcPr>
            <w:tcW w:w="4782" w:type="dxa"/>
            <w:tcBorders>
              <w:tl2br w:val="nil"/>
              <w:tr2bl w:val="nil"/>
            </w:tcBorders>
            <w:noWrap w:val="0"/>
            <w:tcMar>
              <w:top w:w="60" w:type="dxa"/>
              <w:left w:w="120" w:type="dxa"/>
              <w:bottom w:w="30" w:type="dxa"/>
              <w:right w:w="120" w:type="dxa"/>
            </w:tcMar>
            <w:vAlign w:val="top"/>
          </w:tcPr>
          <w:p w14:paraId="5546ED2E">
            <w:pPr>
              <w:keepNext w:val="0"/>
              <w:keepLines w:val="0"/>
              <w:numPr>
                <w:ilvl w:val="0"/>
                <w:numId w:val="34"/>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电动自行车进入电梯时，摄像机识别并语音报警（+2 分）；</w:t>
            </w:r>
          </w:p>
          <w:p w14:paraId="70C98122">
            <w:pPr>
              <w:keepNext w:val="0"/>
              <w:keepLines w:val="0"/>
              <w:numPr>
                <w:ilvl w:val="0"/>
                <w:numId w:val="34"/>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出入口控制系统支持人脸、IC 卡等多种识别方式（+2 分）；</w:t>
            </w:r>
          </w:p>
          <w:p w14:paraId="6B6ECA7D">
            <w:pPr>
              <w:keepNext w:val="0"/>
              <w:keepLines w:val="0"/>
              <w:numPr>
                <w:ilvl w:val="0"/>
                <w:numId w:val="34"/>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住区设电子巡查系统，巡查轨迹可追溯（+1 分）。</w:t>
            </w:r>
          </w:p>
        </w:tc>
        <w:tc>
          <w:tcPr>
            <w:tcW w:w="1143" w:type="dxa"/>
            <w:tcBorders>
              <w:tl2br w:val="nil"/>
              <w:tr2bl w:val="nil"/>
            </w:tcBorders>
            <w:noWrap w:val="0"/>
            <w:tcMar>
              <w:top w:w="60" w:type="dxa"/>
              <w:left w:w="120" w:type="dxa"/>
              <w:bottom w:w="30" w:type="dxa"/>
              <w:right w:w="120" w:type="dxa"/>
            </w:tcMar>
            <w:vAlign w:val="top"/>
          </w:tcPr>
          <w:p w14:paraId="566B3DFF">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设计、运维</w:t>
            </w:r>
          </w:p>
        </w:tc>
        <w:tc>
          <w:tcPr>
            <w:tcW w:w="678" w:type="dxa"/>
            <w:tcBorders>
              <w:tl2br w:val="nil"/>
              <w:tr2bl w:val="nil"/>
            </w:tcBorders>
            <w:noWrap w:val="0"/>
            <w:tcMar>
              <w:top w:w="60" w:type="dxa"/>
              <w:left w:w="120" w:type="dxa"/>
              <w:bottom w:w="30" w:type="dxa"/>
              <w:right w:w="120" w:type="dxa"/>
            </w:tcMar>
            <w:vAlign w:val="top"/>
          </w:tcPr>
          <w:p w14:paraId="44A2F74F">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5 分</w:t>
            </w:r>
          </w:p>
        </w:tc>
      </w:tr>
      <w:tr w14:paraId="106D3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4A5DD39C">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2.2</w:t>
            </w:r>
          </w:p>
        </w:tc>
        <w:tc>
          <w:tcPr>
            <w:tcW w:w="1224" w:type="dxa"/>
            <w:tcBorders>
              <w:tl2br w:val="nil"/>
              <w:tr2bl w:val="nil"/>
            </w:tcBorders>
            <w:noWrap w:val="0"/>
            <w:tcMar>
              <w:top w:w="60" w:type="dxa"/>
              <w:left w:w="120" w:type="dxa"/>
              <w:bottom w:w="30" w:type="dxa"/>
              <w:right w:w="120" w:type="dxa"/>
            </w:tcMar>
            <w:vAlign w:val="top"/>
          </w:tcPr>
          <w:p w14:paraId="100B1FAB">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智慧物业深度服务</w:t>
            </w:r>
          </w:p>
        </w:tc>
        <w:tc>
          <w:tcPr>
            <w:tcW w:w="4782" w:type="dxa"/>
            <w:tcBorders>
              <w:tl2br w:val="nil"/>
              <w:tr2bl w:val="nil"/>
            </w:tcBorders>
            <w:noWrap w:val="0"/>
            <w:tcMar>
              <w:top w:w="60" w:type="dxa"/>
              <w:left w:w="120" w:type="dxa"/>
              <w:bottom w:w="30" w:type="dxa"/>
              <w:right w:w="120" w:type="dxa"/>
            </w:tcMar>
            <w:vAlign w:val="top"/>
          </w:tcPr>
          <w:p w14:paraId="4E1854E0">
            <w:pPr>
              <w:keepNext w:val="0"/>
              <w:keepLines w:val="0"/>
              <w:numPr>
                <w:ilvl w:val="0"/>
                <w:numId w:val="35"/>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物业 APP 支持生活服务（家政、维修）预约（+2 分）；</w:t>
            </w:r>
          </w:p>
          <w:p w14:paraId="3FCE7FB9">
            <w:pPr>
              <w:keepNext w:val="0"/>
              <w:keepLines w:val="0"/>
              <w:numPr>
                <w:ilvl w:val="0"/>
                <w:numId w:val="35"/>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建立社区社交模块，业主可发起活动（+2 分）；</w:t>
            </w:r>
          </w:p>
          <w:p w14:paraId="1218B2C8">
            <w:pPr>
              <w:keepNext w:val="0"/>
              <w:keepLines w:val="0"/>
              <w:numPr>
                <w:ilvl w:val="0"/>
                <w:numId w:val="35"/>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公共区域设 24 小时自助服务终端（政务、缴费，+1 分）。</w:t>
            </w:r>
          </w:p>
        </w:tc>
        <w:tc>
          <w:tcPr>
            <w:tcW w:w="1143" w:type="dxa"/>
            <w:tcBorders>
              <w:tl2br w:val="nil"/>
              <w:tr2bl w:val="nil"/>
            </w:tcBorders>
            <w:noWrap w:val="0"/>
            <w:tcMar>
              <w:top w:w="60" w:type="dxa"/>
              <w:left w:w="120" w:type="dxa"/>
              <w:bottom w:w="30" w:type="dxa"/>
              <w:right w:w="120" w:type="dxa"/>
            </w:tcMar>
            <w:vAlign w:val="top"/>
          </w:tcPr>
          <w:p w14:paraId="65ECE13F">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运维</w:t>
            </w:r>
          </w:p>
        </w:tc>
        <w:tc>
          <w:tcPr>
            <w:tcW w:w="678" w:type="dxa"/>
            <w:tcBorders>
              <w:tl2br w:val="nil"/>
              <w:tr2bl w:val="nil"/>
            </w:tcBorders>
            <w:noWrap w:val="0"/>
            <w:tcMar>
              <w:top w:w="60" w:type="dxa"/>
              <w:left w:w="120" w:type="dxa"/>
              <w:bottom w:w="30" w:type="dxa"/>
              <w:right w:w="120" w:type="dxa"/>
            </w:tcMar>
            <w:vAlign w:val="top"/>
          </w:tcPr>
          <w:p w14:paraId="14963654">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5 分</w:t>
            </w:r>
          </w:p>
        </w:tc>
      </w:tr>
      <w:tr w14:paraId="2E272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2B3CBF16">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2.3</w:t>
            </w:r>
          </w:p>
        </w:tc>
        <w:tc>
          <w:tcPr>
            <w:tcW w:w="1224" w:type="dxa"/>
            <w:tcBorders>
              <w:tl2br w:val="nil"/>
              <w:tr2bl w:val="nil"/>
            </w:tcBorders>
            <w:noWrap w:val="0"/>
            <w:tcMar>
              <w:top w:w="60" w:type="dxa"/>
              <w:left w:w="120" w:type="dxa"/>
              <w:bottom w:w="30" w:type="dxa"/>
              <w:right w:w="120" w:type="dxa"/>
            </w:tcMar>
            <w:vAlign w:val="top"/>
          </w:tcPr>
          <w:p w14:paraId="493C9281">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数字家庭升级</w:t>
            </w:r>
          </w:p>
        </w:tc>
        <w:tc>
          <w:tcPr>
            <w:tcW w:w="4782" w:type="dxa"/>
            <w:tcBorders>
              <w:tl2br w:val="nil"/>
              <w:tr2bl w:val="nil"/>
            </w:tcBorders>
            <w:noWrap w:val="0"/>
            <w:tcMar>
              <w:top w:w="60" w:type="dxa"/>
              <w:left w:w="120" w:type="dxa"/>
              <w:bottom w:w="30" w:type="dxa"/>
              <w:right w:w="120" w:type="dxa"/>
            </w:tcMar>
            <w:vAlign w:val="top"/>
          </w:tcPr>
          <w:p w14:paraId="2942D1A4">
            <w:pPr>
              <w:keepNext w:val="0"/>
              <w:keepLines w:val="0"/>
              <w:numPr>
                <w:ilvl w:val="0"/>
                <w:numId w:val="36"/>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户内设管道直饮水系统（+2 分）；</w:t>
            </w:r>
          </w:p>
          <w:p w14:paraId="6B3F2EC3">
            <w:pPr>
              <w:keepNext w:val="0"/>
              <w:keepLines w:val="0"/>
              <w:numPr>
                <w:ilvl w:val="0"/>
                <w:numId w:val="36"/>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采用智能断路器（支持手机遥控、电量计算，+2 分）；</w:t>
            </w:r>
          </w:p>
          <w:p w14:paraId="7452052D">
            <w:pPr>
              <w:keepNext w:val="0"/>
              <w:keepLines w:val="0"/>
              <w:numPr>
                <w:ilvl w:val="0"/>
                <w:numId w:val="36"/>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照明开关盒预留中性线，支持智能控制（+1 分）。</w:t>
            </w:r>
          </w:p>
        </w:tc>
        <w:tc>
          <w:tcPr>
            <w:tcW w:w="1143" w:type="dxa"/>
            <w:tcBorders>
              <w:tl2br w:val="nil"/>
              <w:tr2bl w:val="nil"/>
            </w:tcBorders>
            <w:noWrap w:val="0"/>
            <w:tcMar>
              <w:top w:w="60" w:type="dxa"/>
              <w:left w:w="120" w:type="dxa"/>
              <w:bottom w:w="30" w:type="dxa"/>
              <w:right w:w="120" w:type="dxa"/>
            </w:tcMar>
            <w:vAlign w:val="top"/>
          </w:tcPr>
          <w:p w14:paraId="609BFAFD">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设计、施工</w:t>
            </w:r>
          </w:p>
        </w:tc>
        <w:tc>
          <w:tcPr>
            <w:tcW w:w="678" w:type="dxa"/>
            <w:tcBorders>
              <w:tl2br w:val="nil"/>
              <w:tr2bl w:val="nil"/>
            </w:tcBorders>
            <w:noWrap w:val="0"/>
            <w:tcMar>
              <w:top w:w="60" w:type="dxa"/>
              <w:left w:w="120" w:type="dxa"/>
              <w:bottom w:w="30" w:type="dxa"/>
              <w:right w:w="120" w:type="dxa"/>
            </w:tcMar>
            <w:vAlign w:val="top"/>
          </w:tcPr>
          <w:p w14:paraId="6C70627B">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5 分</w:t>
            </w:r>
          </w:p>
        </w:tc>
      </w:tr>
      <w:tr w14:paraId="24346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6C3F2273">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2.4</w:t>
            </w:r>
          </w:p>
        </w:tc>
        <w:tc>
          <w:tcPr>
            <w:tcW w:w="1224" w:type="dxa"/>
            <w:tcBorders>
              <w:tl2br w:val="nil"/>
              <w:tr2bl w:val="nil"/>
            </w:tcBorders>
            <w:noWrap w:val="0"/>
            <w:tcMar>
              <w:top w:w="60" w:type="dxa"/>
              <w:left w:w="120" w:type="dxa"/>
              <w:bottom w:w="30" w:type="dxa"/>
              <w:right w:w="120" w:type="dxa"/>
            </w:tcMar>
            <w:vAlign w:val="top"/>
          </w:tcPr>
          <w:p w14:paraId="25E8A7B5">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环境与能耗智慧监测</w:t>
            </w:r>
          </w:p>
        </w:tc>
        <w:tc>
          <w:tcPr>
            <w:tcW w:w="4782" w:type="dxa"/>
            <w:tcBorders>
              <w:tl2br w:val="nil"/>
              <w:tr2bl w:val="nil"/>
            </w:tcBorders>
            <w:noWrap w:val="0"/>
            <w:tcMar>
              <w:top w:w="60" w:type="dxa"/>
              <w:left w:w="120" w:type="dxa"/>
              <w:bottom w:w="30" w:type="dxa"/>
              <w:right w:w="120" w:type="dxa"/>
            </w:tcMar>
            <w:vAlign w:val="top"/>
          </w:tcPr>
          <w:p w14:paraId="7731ED92">
            <w:pPr>
              <w:keepNext w:val="0"/>
              <w:keepLines w:val="0"/>
              <w:numPr>
                <w:ilvl w:val="0"/>
                <w:numId w:val="37"/>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住区设室外环境监测系统（监测 PM2.5、温湿度，+2 分）；</w:t>
            </w:r>
          </w:p>
          <w:p w14:paraId="759D1958">
            <w:pPr>
              <w:keepNext w:val="0"/>
              <w:keepLines w:val="0"/>
              <w:numPr>
                <w:ilvl w:val="0"/>
                <w:numId w:val="37"/>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室内设智能照明控制系统（自动调节亮度，+2 分）；</w:t>
            </w:r>
          </w:p>
          <w:p w14:paraId="792B0CF3">
            <w:pPr>
              <w:keepNext w:val="0"/>
              <w:keepLines w:val="0"/>
              <w:numPr>
                <w:ilvl w:val="0"/>
                <w:numId w:val="37"/>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生活饮用水泵房设水质在线监测系统（+1 分）。</w:t>
            </w:r>
          </w:p>
        </w:tc>
        <w:tc>
          <w:tcPr>
            <w:tcW w:w="1143" w:type="dxa"/>
            <w:tcBorders>
              <w:tl2br w:val="nil"/>
              <w:tr2bl w:val="nil"/>
            </w:tcBorders>
            <w:noWrap w:val="0"/>
            <w:tcMar>
              <w:top w:w="60" w:type="dxa"/>
              <w:left w:w="120" w:type="dxa"/>
              <w:bottom w:w="30" w:type="dxa"/>
              <w:right w:w="120" w:type="dxa"/>
            </w:tcMar>
            <w:vAlign w:val="top"/>
          </w:tcPr>
          <w:p w14:paraId="1076FC58">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设计、运维</w:t>
            </w:r>
          </w:p>
        </w:tc>
        <w:tc>
          <w:tcPr>
            <w:tcW w:w="678" w:type="dxa"/>
            <w:tcBorders>
              <w:tl2br w:val="nil"/>
              <w:tr2bl w:val="nil"/>
            </w:tcBorders>
            <w:noWrap w:val="0"/>
            <w:tcMar>
              <w:top w:w="60" w:type="dxa"/>
              <w:left w:w="120" w:type="dxa"/>
              <w:bottom w:w="30" w:type="dxa"/>
              <w:right w:w="120" w:type="dxa"/>
            </w:tcMar>
            <w:vAlign w:val="top"/>
          </w:tcPr>
          <w:p w14:paraId="340A6230">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5 分</w:t>
            </w:r>
          </w:p>
        </w:tc>
      </w:tr>
      <w:tr w14:paraId="6C32B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128FF17A">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2.5</w:t>
            </w:r>
          </w:p>
        </w:tc>
        <w:tc>
          <w:tcPr>
            <w:tcW w:w="1224" w:type="dxa"/>
            <w:tcBorders>
              <w:tl2br w:val="nil"/>
              <w:tr2bl w:val="nil"/>
            </w:tcBorders>
            <w:noWrap w:val="0"/>
            <w:tcMar>
              <w:top w:w="60" w:type="dxa"/>
              <w:left w:w="120" w:type="dxa"/>
              <w:bottom w:w="30" w:type="dxa"/>
              <w:right w:w="120" w:type="dxa"/>
            </w:tcMar>
            <w:vAlign w:val="top"/>
          </w:tcPr>
          <w:p w14:paraId="61A43693">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智慧应急</w:t>
            </w:r>
          </w:p>
        </w:tc>
        <w:tc>
          <w:tcPr>
            <w:tcW w:w="4782" w:type="dxa"/>
            <w:tcBorders>
              <w:tl2br w:val="nil"/>
              <w:tr2bl w:val="nil"/>
            </w:tcBorders>
            <w:noWrap w:val="0"/>
            <w:tcMar>
              <w:top w:w="60" w:type="dxa"/>
              <w:left w:w="120" w:type="dxa"/>
              <w:bottom w:w="30" w:type="dxa"/>
              <w:right w:w="120" w:type="dxa"/>
            </w:tcMar>
            <w:vAlign w:val="top"/>
          </w:tcPr>
          <w:p w14:paraId="57E4C655">
            <w:pPr>
              <w:keepNext w:val="0"/>
              <w:keepLines w:val="0"/>
              <w:numPr>
                <w:ilvl w:val="0"/>
                <w:numId w:val="38"/>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建立突发事件应急预案，支持感知设备上传信息（+2 分）；</w:t>
            </w:r>
          </w:p>
          <w:p w14:paraId="227D119B">
            <w:pPr>
              <w:keepNext w:val="0"/>
              <w:keepLines w:val="0"/>
              <w:numPr>
                <w:ilvl w:val="0"/>
                <w:numId w:val="38"/>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电梯设玻璃破碎按钮，触发后解除楼层控制并报警（+2 分）；</w:t>
            </w:r>
          </w:p>
          <w:p w14:paraId="59D8052C">
            <w:pPr>
              <w:keepNext w:val="0"/>
              <w:keepLines w:val="0"/>
              <w:numPr>
                <w:ilvl w:val="0"/>
                <w:numId w:val="38"/>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公共广播系统与消防应急广播分开设置（+1 分）。</w:t>
            </w:r>
          </w:p>
        </w:tc>
        <w:tc>
          <w:tcPr>
            <w:tcW w:w="1143" w:type="dxa"/>
            <w:tcBorders>
              <w:tl2br w:val="nil"/>
              <w:tr2bl w:val="nil"/>
            </w:tcBorders>
            <w:noWrap w:val="0"/>
            <w:tcMar>
              <w:top w:w="60" w:type="dxa"/>
              <w:left w:w="120" w:type="dxa"/>
              <w:bottom w:w="30" w:type="dxa"/>
              <w:right w:w="120" w:type="dxa"/>
            </w:tcMar>
            <w:vAlign w:val="top"/>
          </w:tcPr>
          <w:p w14:paraId="41A84793">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设计、运维</w:t>
            </w:r>
          </w:p>
        </w:tc>
        <w:tc>
          <w:tcPr>
            <w:tcW w:w="678" w:type="dxa"/>
            <w:tcBorders>
              <w:tl2br w:val="nil"/>
              <w:tr2bl w:val="nil"/>
            </w:tcBorders>
            <w:noWrap w:val="0"/>
            <w:tcMar>
              <w:top w:w="60" w:type="dxa"/>
              <w:left w:w="120" w:type="dxa"/>
              <w:bottom w:w="30" w:type="dxa"/>
              <w:right w:w="120" w:type="dxa"/>
            </w:tcMar>
            <w:vAlign w:val="top"/>
          </w:tcPr>
          <w:p w14:paraId="61C5563A">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5 分</w:t>
            </w:r>
          </w:p>
        </w:tc>
      </w:tr>
    </w:tbl>
    <w:p w14:paraId="30E10219">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p>
    <w:p w14:paraId="50883B2B">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（五）创新升级加分项（最高 10 分）</w:t>
      </w:r>
    </w:p>
    <w:p w14:paraId="4D98DFC4">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p>
    <w:tbl>
      <w:tblPr>
        <w:tblStyle w:val="20"/>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 w:type="dxa"/>
          <w:bottom w:w="0" w:type="dxa"/>
          <w:right w:w="10" w:type="dxa"/>
        </w:tblCellMar>
      </w:tblPr>
      <w:tblGrid>
        <w:gridCol w:w="719"/>
        <w:gridCol w:w="1114"/>
        <w:gridCol w:w="4927"/>
        <w:gridCol w:w="1119"/>
        <w:gridCol w:w="667"/>
      </w:tblGrid>
      <w:tr w14:paraId="4DF5BC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341BC5E9">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序号</w:t>
            </w:r>
          </w:p>
        </w:tc>
        <w:tc>
          <w:tcPr>
            <w:tcW w:w="1114" w:type="dxa"/>
            <w:tcBorders>
              <w:tl2br w:val="nil"/>
              <w:tr2bl w:val="nil"/>
            </w:tcBorders>
            <w:noWrap w:val="0"/>
            <w:tcMar>
              <w:top w:w="60" w:type="dxa"/>
              <w:left w:w="120" w:type="dxa"/>
              <w:bottom w:w="30" w:type="dxa"/>
              <w:right w:w="120" w:type="dxa"/>
            </w:tcMar>
            <w:vAlign w:val="top"/>
          </w:tcPr>
          <w:p w14:paraId="359AF22A">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评价内容</w:t>
            </w:r>
          </w:p>
        </w:tc>
        <w:tc>
          <w:tcPr>
            <w:tcW w:w="4927" w:type="dxa"/>
            <w:tcBorders>
              <w:tl2br w:val="nil"/>
              <w:tr2bl w:val="nil"/>
            </w:tcBorders>
            <w:noWrap w:val="0"/>
            <w:tcMar>
              <w:top w:w="60" w:type="dxa"/>
              <w:left w:w="120" w:type="dxa"/>
              <w:bottom w:w="30" w:type="dxa"/>
              <w:right w:w="120" w:type="dxa"/>
            </w:tcMar>
            <w:vAlign w:val="top"/>
          </w:tcPr>
          <w:p w14:paraId="1E297617">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加分标准</w:t>
            </w:r>
          </w:p>
        </w:tc>
        <w:tc>
          <w:tcPr>
            <w:tcW w:w="1119" w:type="dxa"/>
            <w:tcBorders>
              <w:tl2br w:val="nil"/>
              <w:tr2bl w:val="nil"/>
            </w:tcBorders>
            <w:noWrap w:val="0"/>
            <w:tcMar>
              <w:top w:w="60" w:type="dxa"/>
              <w:left w:w="120" w:type="dxa"/>
              <w:bottom w:w="30" w:type="dxa"/>
              <w:right w:w="120" w:type="dxa"/>
            </w:tcMar>
            <w:vAlign w:val="top"/>
          </w:tcPr>
          <w:p w14:paraId="7795B195">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适用环节</w:t>
            </w:r>
          </w:p>
        </w:tc>
        <w:tc>
          <w:tcPr>
            <w:tcW w:w="667" w:type="dxa"/>
            <w:tcBorders>
              <w:tl2br w:val="nil"/>
              <w:tr2bl w:val="nil"/>
            </w:tcBorders>
            <w:noWrap w:val="0"/>
            <w:tcMar>
              <w:top w:w="60" w:type="dxa"/>
              <w:left w:w="120" w:type="dxa"/>
              <w:bottom w:w="30" w:type="dxa"/>
              <w:right w:w="120" w:type="dxa"/>
            </w:tcMar>
            <w:vAlign w:val="top"/>
          </w:tcPr>
          <w:p w14:paraId="1EEF1570">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分值</w:t>
            </w:r>
          </w:p>
        </w:tc>
      </w:tr>
      <w:tr w14:paraId="2F83D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0B3BB889">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1</w:t>
            </w:r>
          </w:p>
        </w:tc>
        <w:tc>
          <w:tcPr>
            <w:tcW w:w="1114" w:type="dxa"/>
            <w:tcBorders>
              <w:tl2br w:val="nil"/>
              <w:tr2bl w:val="nil"/>
            </w:tcBorders>
            <w:noWrap w:val="0"/>
            <w:tcMar>
              <w:top w:w="60" w:type="dxa"/>
              <w:left w:w="120" w:type="dxa"/>
              <w:bottom w:w="30" w:type="dxa"/>
              <w:right w:w="120" w:type="dxa"/>
            </w:tcMar>
            <w:vAlign w:val="top"/>
          </w:tcPr>
          <w:p w14:paraId="6C112044">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技术创新</w:t>
            </w:r>
          </w:p>
        </w:tc>
        <w:tc>
          <w:tcPr>
            <w:tcW w:w="4927" w:type="dxa"/>
            <w:tcBorders>
              <w:tl2br w:val="nil"/>
              <w:tr2bl w:val="nil"/>
            </w:tcBorders>
            <w:noWrap w:val="0"/>
            <w:tcMar>
              <w:top w:w="60" w:type="dxa"/>
              <w:left w:w="120" w:type="dxa"/>
              <w:bottom w:w="30" w:type="dxa"/>
              <w:right w:w="120" w:type="dxa"/>
            </w:tcMar>
            <w:vAlign w:val="top"/>
          </w:tcPr>
          <w:p w14:paraId="7C0AD21A">
            <w:pPr>
              <w:keepNext w:val="0"/>
              <w:keepLines w:val="0"/>
              <w:numPr>
                <w:ilvl w:val="0"/>
                <w:numId w:val="39"/>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全过程采用 BIM 技术（设计、施工、运维一体化应用，+2 分）；</w:t>
            </w:r>
          </w:p>
          <w:p w14:paraId="0632426A">
            <w:pPr>
              <w:keepNext w:val="0"/>
              <w:keepLines w:val="0"/>
              <w:numPr>
                <w:ilvl w:val="0"/>
                <w:numId w:val="39"/>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应用智能建造技术（如混凝土施工机器人、实测实量机器人，+1 分）；</w:t>
            </w:r>
          </w:p>
          <w:p w14:paraId="05ACD36B">
            <w:pPr>
              <w:keepNext w:val="0"/>
              <w:keepLines w:val="0"/>
              <w:numPr>
                <w:ilvl w:val="0"/>
                <w:numId w:val="39"/>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达到绿建三星级标准（+3 分）。</w:t>
            </w:r>
          </w:p>
        </w:tc>
        <w:tc>
          <w:tcPr>
            <w:tcW w:w="1119" w:type="dxa"/>
            <w:tcBorders>
              <w:tl2br w:val="nil"/>
              <w:tr2bl w:val="nil"/>
            </w:tcBorders>
            <w:noWrap w:val="0"/>
            <w:tcMar>
              <w:top w:w="60" w:type="dxa"/>
              <w:left w:w="120" w:type="dxa"/>
              <w:bottom w:w="30" w:type="dxa"/>
              <w:right w:w="120" w:type="dxa"/>
            </w:tcMar>
            <w:vAlign w:val="top"/>
          </w:tcPr>
          <w:p w14:paraId="7DC528B3">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全流程</w:t>
            </w:r>
          </w:p>
        </w:tc>
        <w:tc>
          <w:tcPr>
            <w:tcW w:w="667" w:type="dxa"/>
            <w:tcBorders>
              <w:tl2br w:val="nil"/>
              <w:tr2bl w:val="nil"/>
            </w:tcBorders>
            <w:noWrap w:val="0"/>
            <w:tcMar>
              <w:top w:w="60" w:type="dxa"/>
              <w:left w:w="120" w:type="dxa"/>
              <w:bottom w:w="30" w:type="dxa"/>
              <w:right w:w="120" w:type="dxa"/>
            </w:tcMar>
            <w:vAlign w:val="top"/>
          </w:tcPr>
          <w:p w14:paraId="6CC622D1">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6 分</w:t>
            </w:r>
          </w:p>
        </w:tc>
      </w:tr>
      <w:tr w14:paraId="30719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c>
          <w:tcPr>
            <w:tcW w:w="719" w:type="dxa"/>
            <w:tcBorders>
              <w:tl2br w:val="nil"/>
              <w:tr2bl w:val="nil"/>
            </w:tcBorders>
            <w:noWrap w:val="0"/>
            <w:tcMar>
              <w:top w:w="60" w:type="dxa"/>
              <w:left w:w="120" w:type="dxa"/>
              <w:bottom w:w="30" w:type="dxa"/>
              <w:right w:w="120" w:type="dxa"/>
            </w:tcMar>
            <w:vAlign w:val="top"/>
          </w:tcPr>
          <w:p w14:paraId="744802A3">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2</w:t>
            </w:r>
          </w:p>
        </w:tc>
        <w:tc>
          <w:tcPr>
            <w:tcW w:w="1114" w:type="dxa"/>
            <w:tcBorders>
              <w:tl2br w:val="nil"/>
              <w:tr2bl w:val="nil"/>
            </w:tcBorders>
            <w:noWrap w:val="0"/>
            <w:tcMar>
              <w:top w:w="60" w:type="dxa"/>
              <w:left w:w="120" w:type="dxa"/>
              <w:bottom w:w="30" w:type="dxa"/>
              <w:right w:w="120" w:type="dxa"/>
            </w:tcMar>
            <w:vAlign w:val="top"/>
          </w:tcPr>
          <w:p w14:paraId="0B73E568">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模式创新</w:t>
            </w:r>
          </w:p>
        </w:tc>
        <w:tc>
          <w:tcPr>
            <w:tcW w:w="4927" w:type="dxa"/>
            <w:tcBorders>
              <w:tl2br w:val="nil"/>
              <w:tr2bl w:val="nil"/>
            </w:tcBorders>
            <w:noWrap w:val="0"/>
            <w:tcMar>
              <w:top w:w="60" w:type="dxa"/>
              <w:left w:w="120" w:type="dxa"/>
              <w:bottom w:w="30" w:type="dxa"/>
              <w:right w:w="120" w:type="dxa"/>
            </w:tcMar>
            <w:vAlign w:val="top"/>
          </w:tcPr>
          <w:p w14:paraId="316446A0">
            <w:pPr>
              <w:keepNext w:val="0"/>
              <w:keepLines w:val="0"/>
              <w:numPr>
                <w:ilvl w:val="0"/>
                <w:numId w:val="40"/>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建立 “物业 + 社区服务” 融合模式（如托幼、社区医疗合作，+2 分）；</w:t>
            </w:r>
          </w:p>
          <w:p w14:paraId="76AF9051">
            <w:pPr>
              <w:keepNext w:val="0"/>
              <w:keepLines w:val="0"/>
              <w:numPr>
                <w:ilvl w:val="0"/>
                <w:numId w:val="40"/>
              </w:numPr>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推行 “绿色物业” 运营（如碳积分激励业主节能，+2 分）；</w:t>
            </w:r>
          </w:p>
        </w:tc>
        <w:tc>
          <w:tcPr>
            <w:tcW w:w="1119" w:type="dxa"/>
            <w:tcBorders>
              <w:tl2br w:val="nil"/>
              <w:tr2bl w:val="nil"/>
            </w:tcBorders>
            <w:noWrap w:val="0"/>
            <w:tcMar>
              <w:top w:w="60" w:type="dxa"/>
              <w:left w:w="120" w:type="dxa"/>
              <w:bottom w:w="30" w:type="dxa"/>
              <w:right w:w="120" w:type="dxa"/>
            </w:tcMar>
            <w:vAlign w:val="top"/>
          </w:tcPr>
          <w:p w14:paraId="74C3FF46">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运维</w:t>
            </w:r>
          </w:p>
        </w:tc>
        <w:tc>
          <w:tcPr>
            <w:tcW w:w="667" w:type="dxa"/>
            <w:tcBorders>
              <w:tl2br w:val="nil"/>
              <w:tr2bl w:val="nil"/>
            </w:tcBorders>
            <w:noWrap w:val="0"/>
            <w:tcMar>
              <w:top w:w="60" w:type="dxa"/>
              <w:left w:w="120" w:type="dxa"/>
              <w:bottom w:w="30" w:type="dxa"/>
              <w:right w:w="120" w:type="dxa"/>
            </w:tcMar>
            <w:vAlign w:val="top"/>
          </w:tcPr>
          <w:p w14:paraId="0EBA3194">
            <w:pPr>
              <w:keepNext w:val="0"/>
              <w:keepLines w:val="0"/>
              <w:suppressLineNumbers w:val="0"/>
              <w:snapToGrid w:val="0"/>
              <w:spacing w:before="0" w:beforeAutospacing="0" w:after="0" w:afterAutospacing="0" w:line="240" w:lineRule="auto"/>
              <w:ind w:left="0" w:right="0" w:firstLine="0" w:firstLineChars="0"/>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t>4 分</w:t>
            </w:r>
          </w:p>
        </w:tc>
      </w:tr>
    </w:tbl>
    <w:p w14:paraId="394CBF0A">
      <w:pPr>
        <w:rPr>
          <w:rFonts w:hint="eastAsia" w:ascii="仿宋" w:hAnsi="仿宋" w:cs="仿宋"/>
          <w:color w:val="000000" w:themeColor="text1"/>
          <w:sz w:val="21"/>
          <w:szCs w:val="21"/>
          <w:lang w:val="en-US" w:eastAsia="zh-CN" w:bidi="ar"/>
          <w14:textFill>
            <w14:solidFill>
              <w14:schemeClr w14:val="tx1"/>
            </w14:solidFill>
          </w14:textFill>
        </w:rPr>
      </w:pPr>
      <w:r>
        <w:rPr>
          <w:rFonts w:hint="eastAsia" w:ascii="仿宋" w:hAnsi="仿宋" w:cs="仿宋"/>
          <w:color w:val="000000" w:themeColor="text1"/>
          <w:sz w:val="21"/>
          <w:szCs w:val="21"/>
          <w:lang w:val="en-US" w:eastAsia="zh-CN" w:bidi="ar"/>
          <w14:textFill>
            <w14:solidFill>
              <w14:schemeClr w14:val="tx1"/>
            </w14:solidFill>
          </w14:textFill>
        </w:rPr>
        <w:br w:type="page"/>
      </w:r>
    </w:p>
    <w:p w14:paraId="60229C74">
      <w:pPr>
        <w:snapToGrid w:val="0"/>
        <w:spacing w:line="240" w:lineRule="auto"/>
        <w:ind w:firstLine="0" w:firstLineChars="0"/>
        <w:rPr>
          <w:rFonts w:hint="eastAsia" w:ascii="仿宋" w:hAnsi="仿宋" w:cs="仿宋"/>
          <w:color w:val="000000" w:themeColor="text1"/>
          <w:sz w:val="21"/>
          <w:szCs w:val="21"/>
          <w:lang w:val="en-US" w:eastAsia="zh-CN" w:bidi="ar"/>
          <w14:textFill>
            <w14:solidFill>
              <w14:schemeClr w14:val="tx1"/>
            </w14:solidFill>
          </w14:textFill>
        </w:rPr>
      </w:pPr>
    </w:p>
    <w:p w14:paraId="4E7947B9">
      <w:pPr>
        <w:pStyle w:val="2"/>
        <w:jc w:val="center"/>
        <w:rPr>
          <w:rStyle w:val="41"/>
          <w:rFonts w:hint="eastAsia" w:ascii="黑体" w:hAnsi="黑体" w:eastAsia="黑体" w:cs="黑体"/>
          <w:bCs/>
          <w:color w:val="000000" w:themeColor="text1"/>
          <w14:textFill>
            <w14:solidFill>
              <w14:schemeClr w14:val="tx1"/>
            </w14:solidFill>
          </w14:textFill>
        </w:rPr>
      </w:pPr>
      <w:bookmarkStart w:id="115" w:name="_Toc4752"/>
      <w:bookmarkStart w:id="116" w:name="_Toc13795"/>
      <w:r>
        <w:rPr>
          <w:rStyle w:val="41"/>
          <w:rFonts w:hint="eastAsia" w:ascii="黑体" w:hAnsi="黑体" w:eastAsia="黑体" w:cs="黑体"/>
          <w:bCs/>
          <w:color w:val="000000" w:themeColor="text1"/>
          <w14:textFill>
            <w14:solidFill>
              <w14:schemeClr w14:val="tx1"/>
            </w14:solidFill>
          </w14:textFill>
        </w:rPr>
        <w:t>本标准用词说明</w:t>
      </w:r>
      <w:bookmarkEnd w:id="115"/>
      <w:bookmarkEnd w:id="116"/>
    </w:p>
    <w:p w14:paraId="28B521DA">
      <w:pPr>
        <w:pStyle w:val="17"/>
        <w:spacing w:line="360" w:lineRule="auto"/>
        <w:rPr>
          <w:rFonts w:ascii="&amp;quot" w:hAnsi="&amp;quot"/>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ascii="&amp;quot" w:hAnsi="&amp;quot"/>
          <w:color w:val="000000" w:themeColor="text1"/>
          <w14:textFill>
            <w14:solidFill>
              <w14:schemeClr w14:val="tx1"/>
            </w14:solidFill>
          </w14:textFill>
        </w:rPr>
        <w:t xml:space="preserve"> 为了便于在执行本标准条文时区别对待，对要求严格程度不同的用词说明如下：</w:t>
      </w:r>
      <w:r>
        <w:rPr>
          <w:rFonts w:ascii="&amp;quot" w:hAnsi="&amp;quot"/>
          <w:color w:val="000000" w:themeColor="text1"/>
          <w14:textFill>
            <w14:solidFill>
              <w14:schemeClr w14:val="tx1"/>
            </w14:solidFill>
          </w14:textFill>
        </w:rPr>
        <w:br w:type="textWrapping"/>
      </w:r>
      <w:r>
        <w:rPr>
          <w:rFonts w:ascii="&amp;quot" w:hAnsi="&amp;quot"/>
          <w:color w:val="000000" w:themeColor="text1"/>
          <w14:textFill>
            <w14:solidFill>
              <w14:schemeClr w14:val="tx1"/>
            </w14:solidFill>
          </w14:textFill>
        </w:rPr>
        <w:t>    </w:t>
      </w:r>
      <w:r>
        <w:rPr>
          <w:rFonts w:hint="eastAsia"/>
          <w:b/>
          <w:bCs/>
          <w:color w:val="000000" w:themeColor="text1"/>
          <w14:textFill>
            <w14:solidFill>
              <w14:schemeClr w14:val="tx1"/>
            </w14:solidFill>
          </w14:textFill>
        </w:rPr>
        <w:t>1)</w:t>
      </w:r>
      <w:r>
        <w:rPr>
          <w:rFonts w:ascii="&amp;quot" w:hAnsi="&amp;quot"/>
          <w:color w:val="000000" w:themeColor="text1"/>
          <w14:textFill>
            <w14:solidFill>
              <w14:schemeClr w14:val="tx1"/>
            </w14:solidFill>
          </w14:textFill>
        </w:rPr>
        <w:t xml:space="preserve"> 表示很严格，非这样做不可的用词：</w:t>
      </w:r>
      <w:r>
        <w:rPr>
          <w:rFonts w:ascii="&amp;quot" w:hAnsi="&amp;quot"/>
          <w:color w:val="000000" w:themeColor="text1"/>
          <w14:textFill>
            <w14:solidFill>
              <w14:schemeClr w14:val="tx1"/>
            </w14:solidFill>
          </w14:textFill>
        </w:rPr>
        <w:br w:type="textWrapping"/>
      </w:r>
      <w:r>
        <w:rPr>
          <w:rFonts w:ascii="&amp;quot" w:hAnsi="&amp;quot"/>
          <w:color w:val="000000" w:themeColor="text1"/>
          <w14:textFill>
            <w14:solidFill>
              <w14:schemeClr w14:val="tx1"/>
            </w14:solidFill>
          </w14:textFill>
        </w:rPr>
        <w:t>       正面词采用“必须”，反面词采用“严禁”；</w:t>
      </w:r>
      <w:r>
        <w:rPr>
          <w:rFonts w:ascii="&amp;quot" w:hAnsi="&amp;quot"/>
          <w:color w:val="000000" w:themeColor="text1"/>
          <w14:textFill>
            <w14:solidFill>
              <w14:schemeClr w14:val="tx1"/>
            </w14:solidFill>
          </w14:textFill>
        </w:rPr>
        <w:br w:type="textWrapping"/>
      </w:r>
      <w:r>
        <w:rPr>
          <w:rFonts w:ascii="&amp;quot" w:hAnsi="&amp;quot"/>
          <w:color w:val="000000" w:themeColor="text1"/>
          <w14:textFill>
            <w14:solidFill>
              <w14:schemeClr w14:val="tx1"/>
            </w14:solidFill>
          </w14:textFill>
        </w:rPr>
        <w:t>    </w:t>
      </w:r>
      <w:r>
        <w:rPr>
          <w:rFonts w:hint="eastAsia"/>
          <w:b/>
          <w:bCs/>
          <w:color w:val="000000" w:themeColor="text1"/>
          <w14:textFill>
            <w14:solidFill>
              <w14:schemeClr w14:val="tx1"/>
            </w14:solidFill>
          </w14:textFill>
        </w:rPr>
        <w:t>2)</w:t>
      </w:r>
      <w:r>
        <w:rPr>
          <w:rFonts w:ascii="&amp;quot" w:hAnsi="&amp;quot"/>
          <w:color w:val="000000" w:themeColor="text1"/>
          <w14:textFill>
            <w14:solidFill>
              <w14:schemeClr w14:val="tx1"/>
            </w14:solidFill>
          </w14:textFill>
        </w:rPr>
        <w:t> 表示严格，在正常情况下均应这样做的用词：</w:t>
      </w:r>
      <w:r>
        <w:rPr>
          <w:rFonts w:ascii="&amp;quot" w:hAnsi="&amp;quot"/>
          <w:color w:val="000000" w:themeColor="text1"/>
          <w14:textFill>
            <w14:solidFill>
              <w14:schemeClr w14:val="tx1"/>
            </w14:solidFill>
          </w14:textFill>
        </w:rPr>
        <w:br w:type="textWrapping"/>
      </w:r>
      <w:r>
        <w:rPr>
          <w:rFonts w:ascii="&amp;quot" w:hAnsi="&amp;quot"/>
          <w:color w:val="000000" w:themeColor="text1"/>
          <w14:textFill>
            <w14:solidFill>
              <w14:schemeClr w14:val="tx1"/>
            </w14:solidFill>
          </w14:textFill>
        </w:rPr>
        <w:t>       正面词采用“应”，反面词采用“不应”或“不得”；</w:t>
      </w:r>
      <w:r>
        <w:rPr>
          <w:rFonts w:ascii="&amp;quot" w:hAnsi="&amp;quot"/>
          <w:color w:val="000000" w:themeColor="text1"/>
          <w14:textFill>
            <w14:solidFill>
              <w14:schemeClr w14:val="tx1"/>
            </w14:solidFill>
          </w14:textFill>
        </w:rPr>
        <w:br w:type="textWrapping"/>
      </w:r>
      <w:r>
        <w:rPr>
          <w:rFonts w:ascii="&amp;quot" w:hAnsi="&amp;quot"/>
          <w:color w:val="000000" w:themeColor="text1"/>
          <w14:textFill>
            <w14:solidFill>
              <w14:schemeClr w14:val="tx1"/>
            </w14:solidFill>
          </w14:textFill>
        </w:rPr>
        <w:t>    </w:t>
      </w:r>
      <w:r>
        <w:rPr>
          <w:rFonts w:hint="eastAsia"/>
          <w:b/>
          <w:bCs/>
          <w:color w:val="000000" w:themeColor="text1"/>
          <w14:textFill>
            <w14:solidFill>
              <w14:schemeClr w14:val="tx1"/>
            </w14:solidFill>
          </w14:textFill>
        </w:rPr>
        <w:t>3)</w:t>
      </w:r>
      <w:r>
        <w:rPr>
          <w:rFonts w:ascii="&amp;quot" w:hAnsi="&amp;quot"/>
          <w:color w:val="000000" w:themeColor="text1"/>
          <w14:textFill>
            <w14:solidFill>
              <w14:schemeClr w14:val="tx1"/>
            </w14:solidFill>
          </w14:textFill>
        </w:rPr>
        <w:t> 表示允许稍有选择，在条件许可时首先应这样做的用词：</w:t>
      </w:r>
      <w:r>
        <w:rPr>
          <w:rFonts w:ascii="&amp;quot" w:hAnsi="&amp;quot"/>
          <w:color w:val="000000" w:themeColor="text1"/>
          <w14:textFill>
            <w14:solidFill>
              <w14:schemeClr w14:val="tx1"/>
            </w14:solidFill>
          </w14:textFill>
        </w:rPr>
        <w:br w:type="textWrapping"/>
      </w:r>
      <w:r>
        <w:rPr>
          <w:rFonts w:ascii="&amp;quot" w:hAnsi="&amp;quot"/>
          <w:color w:val="000000" w:themeColor="text1"/>
          <w14:textFill>
            <w14:solidFill>
              <w14:schemeClr w14:val="tx1"/>
            </w14:solidFill>
          </w14:textFill>
        </w:rPr>
        <w:t>       正面词采用“宜”，反面词采用“不宜”；</w:t>
      </w:r>
      <w:r>
        <w:rPr>
          <w:rFonts w:ascii="&amp;quot" w:hAnsi="&amp;quot"/>
          <w:color w:val="000000" w:themeColor="text1"/>
          <w14:textFill>
            <w14:solidFill>
              <w14:schemeClr w14:val="tx1"/>
            </w14:solidFill>
          </w14:textFill>
        </w:rPr>
        <w:br w:type="textWrapping"/>
      </w:r>
      <w:r>
        <w:rPr>
          <w:rFonts w:ascii="&amp;quot" w:hAnsi="&amp;quot"/>
          <w:color w:val="000000" w:themeColor="text1"/>
          <w14:textFill>
            <w14:solidFill>
              <w14:schemeClr w14:val="tx1"/>
            </w14:solidFill>
          </w14:textFill>
        </w:rPr>
        <w:t>    </w:t>
      </w:r>
      <w:r>
        <w:rPr>
          <w:rFonts w:hint="eastAsia"/>
          <w:b/>
          <w:bCs/>
          <w:color w:val="000000" w:themeColor="text1"/>
          <w14:textFill>
            <w14:solidFill>
              <w14:schemeClr w14:val="tx1"/>
            </w14:solidFill>
          </w14:textFill>
        </w:rPr>
        <w:t>4)</w:t>
      </w:r>
      <w:r>
        <w:rPr>
          <w:rFonts w:ascii="&amp;quot" w:hAnsi="&amp;quot"/>
          <w:color w:val="000000" w:themeColor="text1"/>
          <w14:textFill>
            <w14:solidFill>
              <w14:schemeClr w14:val="tx1"/>
            </w14:solidFill>
          </w14:textFill>
        </w:rPr>
        <w:t xml:space="preserve"> 表示有选择，在一定条件下可以这样做的，采用“可”。</w:t>
      </w:r>
    </w:p>
    <w:p w14:paraId="15BA1ABC">
      <w:pPr>
        <w:pStyle w:val="17"/>
        <w:spacing w:line="360" w:lineRule="auto"/>
        <w:rPr>
          <w:rFonts w:ascii="&amp;quot" w:hAnsi="&amp;quot"/>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rFonts w:ascii="&amp;quot" w:hAnsi="&amp;quot"/>
          <w:color w:val="000000" w:themeColor="text1"/>
          <w14:textFill>
            <w14:solidFill>
              <w14:schemeClr w14:val="tx1"/>
            </w14:solidFill>
          </w14:textFill>
        </w:rPr>
        <w:t xml:space="preserve"> 条文中指明应按其他有关标准执行的写法为：“应符合……的规定”或“应按……执行”。</w:t>
      </w:r>
    </w:p>
    <w:p w14:paraId="7C94B598">
      <w:pPr>
        <w:pStyle w:val="2"/>
        <w:jc w:val="center"/>
        <w:rPr>
          <w:rStyle w:val="41"/>
          <w:rFonts w:hint="eastAsia"/>
          <w:bCs/>
          <w:color w:val="000000" w:themeColor="text1"/>
          <w14:textFill>
            <w14:solidFill>
              <w14:schemeClr w14:val="tx1"/>
            </w14:solidFill>
          </w14:textFill>
        </w:rPr>
      </w:pPr>
      <w:bookmarkStart w:id="117" w:name="_Toc116665086"/>
      <w:r>
        <w:rPr>
          <w:color w:val="000000" w:themeColor="text1"/>
          <w:sz w:val="32"/>
          <w:szCs w:val="32"/>
          <w14:textFill>
            <w14:solidFill>
              <w14:schemeClr w14:val="tx1"/>
            </w14:solidFill>
          </w14:textFill>
        </w:rPr>
        <w:br w:type="page"/>
      </w:r>
      <w:bookmarkStart w:id="118" w:name="_Toc28273"/>
      <w:bookmarkStart w:id="119" w:name="_Toc8347"/>
      <w:bookmarkStart w:id="120" w:name="_Toc12240"/>
      <w:bookmarkStart w:id="121" w:name="_Toc12529"/>
      <w:bookmarkStart w:id="122" w:name="_Toc13760"/>
      <w:bookmarkStart w:id="123" w:name="_Toc127123347"/>
      <w:bookmarkStart w:id="124" w:name="_Toc25025"/>
      <w:r>
        <w:rPr>
          <w:rStyle w:val="41"/>
          <w:rFonts w:hint="eastAsia" w:ascii="黑体" w:hAnsi="黑体" w:eastAsia="黑体" w:cs="黑体"/>
          <w:bCs/>
          <w:color w:val="000000" w:themeColor="text1"/>
          <w14:textFill>
            <w14:solidFill>
              <w14:schemeClr w14:val="tx1"/>
            </w14:solidFill>
          </w14:textFill>
        </w:rPr>
        <w:t>引用标准名录</w:t>
      </w:r>
      <w:bookmarkEnd w:id="117"/>
      <w:bookmarkEnd w:id="118"/>
      <w:bookmarkEnd w:id="119"/>
      <w:bookmarkEnd w:id="120"/>
      <w:bookmarkEnd w:id="121"/>
      <w:bookmarkEnd w:id="122"/>
      <w:bookmarkEnd w:id="123"/>
      <w:bookmarkEnd w:id="124"/>
    </w:p>
    <w:p w14:paraId="6935C708">
      <w:pPr>
        <w:spacing w:before="78" w:line="220" w:lineRule="auto"/>
        <w:ind w:left="42"/>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 《建筑给水排水设计标准》GB 50015</w:t>
      </w:r>
    </w:p>
    <w:p w14:paraId="28706D6C">
      <w:pPr>
        <w:spacing w:before="78" w:line="220" w:lineRule="auto"/>
        <w:ind w:left="42"/>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 《</w:t>
      </w:r>
      <w:r>
        <w:rPr>
          <w:rFonts w:hint="eastAsia" w:ascii="宋体" w:hAnsi="宋体" w:eastAsia="宋体" w:cs="宋体"/>
          <w:color w:val="000000" w:themeColor="text1"/>
          <w:sz w:val="24"/>
          <w:lang w:val="en-US" w:eastAsia="zh-CN"/>
          <w14:textFill>
            <w14:solidFill>
              <w14:schemeClr w14:val="tx1"/>
            </w14:solidFill>
          </w14:textFill>
        </w:rPr>
        <w:t>住宅设计规范</w:t>
      </w:r>
      <w:r>
        <w:rPr>
          <w:rFonts w:hint="eastAsia" w:ascii="宋体" w:hAnsi="宋体" w:eastAsia="宋体" w:cs="宋体"/>
          <w:color w:val="000000" w:themeColor="text1"/>
          <w:sz w:val="24"/>
          <w14:textFill>
            <w14:solidFill>
              <w14:schemeClr w14:val="tx1"/>
            </w14:solidFill>
          </w14:textFill>
        </w:rPr>
        <w:t>》GB 5</w:t>
      </w:r>
      <w:r>
        <w:rPr>
          <w:rFonts w:hint="eastAsia" w:ascii="宋体" w:hAnsi="宋体" w:eastAsia="宋体" w:cs="宋体"/>
          <w:color w:val="000000" w:themeColor="text1"/>
          <w:sz w:val="24"/>
          <w:lang w:val="en-US" w:eastAsia="zh-CN"/>
          <w14:textFill>
            <w14:solidFill>
              <w14:schemeClr w14:val="tx1"/>
            </w14:solidFill>
          </w14:textFill>
        </w:rPr>
        <w:t>0096</w:t>
      </w:r>
    </w:p>
    <w:p w14:paraId="409E5722">
      <w:pPr>
        <w:spacing w:before="78" w:line="220" w:lineRule="auto"/>
        <w:ind w:left="42"/>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 《城市居住区规划设计标准》GB50180</w:t>
      </w:r>
    </w:p>
    <w:p w14:paraId="44CDD060">
      <w:pPr>
        <w:spacing w:before="78" w:line="220" w:lineRule="auto"/>
        <w:ind w:left="42"/>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 《</w:t>
      </w:r>
      <w:r>
        <w:rPr>
          <w:rFonts w:hint="eastAsia" w:ascii="宋体" w:hAnsi="宋体" w:eastAsia="宋体" w:cs="宋体"/>
          <w:color w:val="000000" w:themeColor="text1"/>
          <w:sz w:val="24"/>
          <w:lang w:val="en-US" w:eastAsia="zh-CN"/>
          <w14:textFill>
            <w14:solidFill>
              <w14:schemeClr w14:val="tx1"/>
            </w14:solidFill>
          </w14:textFill>
        </w:rPr>
        <w:t>智能建筑</w:t>
      </w:r>
      <w:r>
        <w:rPr>
          <w:rFonts w:hint="eastAsia" w:ascii="宋体" w:hAnsi="宋体" w:eastAsia="宋体" w:cs="宋体"/>
          <w:color w:val="000000" w:themeColor="text1"/>
          <w:sz w:val="24"/>
          <w14:textFill>
            <w14:solidFill>
              <w14:schemeClr w14:val="tx1"/>
            </w14:solidFill>
          </w14:textFill>
        </w:rPr>
        <w:t>设计标准》GB50</w:t>
      </w:r>
      <w:r>
        <w:rPr>
          <w:rFonts w:hint="eastAsia" w:ascii="宋体" w:hAnsi="宋体" w:eastAsia="宋体" w:cs="宋体"/>
          <w:color w:val="000000" w:themeColor="text1"/>
          <w:sz w:val="24"/>
          <w:lang w:val="en-US" w:eastAsia="zh-CN"/>
          <w14:textFill>
            <w14:solidFill>
              <w14:schemeClr w14:val="tx1"/>
            </w14:solidFill>
          </w14:textFill>
        </w:rPr>
        <w:t>314</w:t>
      </w:r>
    </w:p>
    <w:p w14:paraId="7A731CA4">
      <w:pPr>
        <w:spacing w:before="78" w:line="220" w:lineRule="auto"/>
        <w:ind w:left="42"/>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w:t>
      </w:r>
      <w:r>
        <w:rPr>
          <w:rFonts w:hint="eastAsia" w:ascii="宋体" w:hAnsi="宋体" w:eastAsia="宋体" w:cs="宋体"/>
          <w:color w:val="000000" w:themeColor="text1"/>
          <w:sz w:val="24"/>
          <w:lang w:val="en-US" w:eastAsia="zh-CN"/>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《民用建筑工程室内环境污染控制规范》GB50325</w:t>
      </w:r>
    </w:p>
    <w:p w14:paraId="4B7923BC">
      <w:pPr>
        <w:spacing w:before="78" w:line="220" w:lineRule="auto"/>
        <w:ind w:left="42"/>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6</w:t>
      </w:r>
      <w:r>
        <w:rPr>
          <w:rFonts w:hint="eastAsia" w:ascii="宋体" w:hAnsi="宋体" w:eastAsia="宋体" w:cs="宋体"/>
          <w:color w:val="000000" w:themeColor="text1"/>
          <w:sz w:val="24"/>
          <w14:textFill>
            <w14:solidFill>
              <w14:schemeClr w14:val="tx1"/>
            </w14:solidFill>
          </w14:textFill>
        </w:rPr>
        <w:t>. 《民用建筑节水设计标准》GB 50555</w:t>
      </w:r>
    </w:p>
    <w:p w14:paraId="67005F07">
      <w:pPr>
        <w:spacing w:before="78" w:line="220" w:lineRule="auto"/>
        <w:ind w:left="42"/>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7</w:t>
      </w:r>
      <w:r>
        <w:rPr>
          <w:rFonts w:hint="eastAsia" w:ascii="宋体" w:hAnsi="宋体" w:eastAsia="宋体" w:cs="宋体"/>
          <w:color w:val="000000" w:themeColor="text1"/>
          <w:sz w:val="24"/>
          <w14:textFill>
            <w14:solidFill>
              <w14:schemeClr w14:val="tx1"/>
            </w14:solidFill>
          </w14:textFill>
        </w:rPr>
        <w:t>. 《民用建筑供暖通风与空气调节设计规范》GB50736</w:t>
      </w:r>
    </w:p>
    <w:p w14:paraId="0029940B">
      <w:pPr>
        <w:spacing w:before="78" w:line="220" w:lineRule="auto"/>
        <w:ind w:left="42"/>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 xml:space="preserve">8. </w:t>
      </w:r>
      <w:r>
        <w:rPr>
          <w:rFonts w:hint="eastAsia" w:ascii="宋体" w:hAnsi="宋体" w:eastAsia="宋体" w:cs="宋体"/>
          <w:color w:val="000000" w:themeColor="text1"/>
          <w:sz w:val="24"/>
          <w14:textFill>
            <w14:solidFill>
              <w14:schemeClr w14:val="tx1"/>
            </w14:solidFill>
          </w14:textFill>
        </w:rPr>
        <w:t>《建筑节能与可再生能源利用通用规范》GB 55015</w:t>
      </w:r>
    </w:p>
    <w:p w14:paraId="670833D5">
      <w:pPr>
        <w:spacing w:before="78" w:line="220" w:lineRule="auto"/>
        <w:ind w:left="42"/>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9. 《既有建筑维护与改造通用规范》GB 55022</w:t>
      </w:r>
    </w:p>
    <w:p w14:paraId="0A1EB18F">
      <w:pPr>
        <w:spacing w:before="78" w:line="220" w:lineRule="auto"/>
        <w:ind w:left="42"/>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10. 《建筑与市政工程施工质量控制通用规范》GB 55032</w:t>
      </w:r>
    </w:p>
    <w:p w14:paraId="205B1F0B">
      <w:pPr>
        <w:spacing w:before="78" w:line="220" w:lineRule="auto"/>
        <w:ind w:left="42"/>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 xml:space="preserve">11. </w:t>
      </w:r>
      <w:r>
        <w:rPr>
          <w:rFonts w:hint="eastAsia" w:ascii="宋体" w:hAnsi="宋体" w:eastAsia="宋体" w:cs="宋体"/>
          <w:color w:val="000000" w:themeColor="text1"/>
          <w:sz w:val="24"/>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住宅项目规范</w:t>
      </w:r>
      <w:r>
        <w:rPr>
          <w:rFonts w:hint="eastAsia" w:ascii="宋体" w:hAnsi="宋体" w:eastAsia="宋体" w:cs="宋体"/>
          <w:color w:val="000000" w:themeColor="text1"/>
          <w:sz w:val="24"/>
          <w14:textFill>
            <w14:solidFill>
              <w14:schemeClr w14:val="tx1"/>
            </w14:solidFill>
          </w14:textFill>
        </w:rPr>
        <w:t>》GB</w:t>
      </w:r>
      <w:r>
        <w:rPr>
          <w:rFonts w:hint="eastAsia" w:ascii="宋体" w:hAnsi="宋体" w:eastAsia="宋体" w:cs="宋体"/>
          <w:color w:val="000000" w:themeColor="text1"/>
          <w:sz w:val="24"/>
          <w:lang w:val="en-US" w:eastAsia="zh-CN"/>
          <w14:textFill>
            <w14:solidFill>
              <w14:schemeClr w14:val="tx1"/>
            </w14:solidFill>
          </w14:textFill>
        </w:rPr>
        <w:t xml:space="preserve"> 55038</w:t>
      </w:r>
    </w:p>
    <w:p w14:paraId="1F943658">
      <w:pPr>
        <w:spacing w:before="78" w:line="220" w:lineRule="auto"/>
        <w:ind w:left="42"/>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12</w:t>
      </w:r>
      <w:r>
        <w:rPr>
          <w:rFonts w:hint="eastAsia" w:ascii="宋体" w:hAnsi="宋体" w:eastAsia="宋体" w:cs="宋体"/>
          <w:color w:val="000000" w:themeColor="text1"/>
          <w:sz w:val="24"/>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《住宅小区安全防范系统通用技术要求》GB/T</w:t>
      </w:r>
      <w:r>
        <w:rPr>
          <w:rFonts w:hint="eastAsia" w:ascii="宋体" w:hAnsi="宋体" w:eastAsia="宋体" w:cs="宋体"/>
          <w:color w:val="000000" w:themeColor="text1"/>
          <w:sz w:val="24"/>
          <w:lang w:val="en-US" w:eastAsia="zh-CN"/>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21741</w:t>
      </w:r>
    </w:p>
    <w:p w14:paraId="0F4A455D">
      <w:pPr>
        <w:spacing w:before="78" w:line="220" w:lineRule="auto"/>
        <w:ind w:left="42"/>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13</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color w:val="000000" w:themeColor="text1"/>
          <w:sz w:val="24"/>
          <w:lang w:val="en-US" w:eastAsia="zh-CN"/>
          <w14:textFill>
            <w14:solidFill>
              <w14:schemeClr w14:val="tx1"/>
            </w14:solidFill>
          </w14:textFill>
        </w:rPr>
        <w:t>住宅性能评定标准</w:t>
      </w:r>
      <w:r>
        <w:rPr>
          <w:rFonts w:hint="eastAsia" w:ascii="宋体" w:hAnsi="宋体" w:eastAsia="宋体" w:cs="宋体"/>
          <w:color w:val="000000" w:themeColor="text1"/>
          <w:sz w:val="24"/>
          <w14:textFill>
            <w14:solidFill>
              <w14:schemeClr w14:val="tx1"/>
            </w14:solidFill>
          </w14:textFill>
        </w:rPr>
        <w:t>》GB/T 503</w:t>
      </w:r>
      <w:r>
        <w:rPr>
          <w:rFonts w:hint="eastAsia" w:ascii="宋体" w:hAnsi="宋体" w:eastAsia="宋体" w:cs="宋体"/>
          <w:color w:val="000000" w:themeColor="text1"/>
          <w:sz w:val="24"/>
          <w:lang w:val="en-US" w:eastAsia="zh-CN"/>
          <w14:textFill>
            <w14:solidFill>
              <w14:schemeClr w14:val="tx1"/>
            </w14:solidFill>
          </w14:textFill>
        </w:rPr>
        <w:t>62</w:t>
      </w:r>
    </w:p>
    <w:p w14:paraId="221B3BD1">
      <w:pPr>
        <w:spacing w:before="78" w:line="220" w:lineRule="auto"/>
        <w:ind w:left="42"/>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w:t>
      </w:r>
      <w:r>
        <w:rPr>
          <w:rFonts w:hint="eastAsia" w:ascii="宋体" w:hAnsi="宋体" w:eastAsia="宋体" w:cs="宋体"/>
          <w:color w:val="000000" w:themeColor="text1"/>
          <w:sz w:val="24"/>
          <w:lang w:val="en-US" w:eastAsia="zh-CN"/>
          <w14:textFill>
            <w14:solidFill>
              <w14:schemeClr w14:val="tx1"/>
            </w14:solidFill>
          </w14:textFill>
        </w:rPr>
        <w:t>4</w:t>
      </w:r>
      <w:r>
        <w:rPr>
          <w:rFonts w:hint="eastAsia" w:ascii="宋体" w:hAnsi="宋体" w:eastAsia="宋体" w:cs="宋体"/>
          <w:color w:val="000000" w:themeColor="text1"/>
          <w:sz w:val="24"/>
          <w14:textFill>
            <w14:solidFill>
              <w14:schemeClr w14:val="tx1"/>
            </w14:solidFill>
          </w14:textFill>
        </w:rPr>
        <w:t>. 《绿色建筑评价标准》GB/T 50378</w:t>
      </w:r>
    </w:p>
    <w:p w14:paraId="2EAB97BE">
      <w:pPr>
        <w:spacing w:before="78" w:line="220" w:lineRule="auto"/>
        <w:ind w:left="42"/>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w:t>
      </w:r>
      <w:r>
        <w:rPr>
          <w:rFonts w:hint="eastAsia" w:ascii="宋体" w:hAnsi="宋体" w:eastAsia="宋体" w:cs="宋体"/>
          <w:color w:val="000000" w:themeColor="text1"/>
          <w:sz w:val="24"/>
          <w:lang w:val="en-US" w:eastAsia="zh-CN"/>
          <w14:textFill>
            <w14:solidFill>
              <w14:schemeClr w14:val="tx1"/>
            </w14:solidFill>
          </w14:textFill>
        </w:rPr>
        <w:t>5</w:t>
      </w:r>
      <w:r>
        <w:rPr>
          <w:rFonts w:hint="eastAsia" w:ascii="宋体" w:hAnsi="宋体" w:eastAsia="宋体" w:cs="宋体"/>
          <w:color w:val="000000" w:themeColor="text1"/>
          <w:sz w:val="24"/>
          <w14:textFill>
            <w14:solidFill>
              <w14:schemeClr w14:val="tx1"/>
            </w14:solidFill>
          </w14:textFill>
        </w:rPr>
        <w:t>. 《住宅建筑电气设计规范》JGJ 242</w:t>
      </w:r>
    </w:p>
    <w:p w14:paraId="7C2A163B">
      <w:pPr>
        <w:spacing w:before="78" w:line="220" w:lineRule="auto"/>
        <w:ind w:left="42"/>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w:t>
      </w:r>
      <w:r>
        <w:rPr>
          <w:rFonts w:hint="eastAsia" w:ascii="宋体" w:hAnsi="宋体" w:eastAsia="宋体" w:cs="宋体"/>
          <w:color w:val="000000" w:themeColor="text1"/>
          <w:sz w:val="24"/>
          <w:lang w:val="en-US" w:eastAsia="zh-CN"/>
          <w14:textFill>
            <w14:solidFill>
              <w14:schemeClr w14:val="tx1"/>
            </w14:solidFill>
          </w14:textFill>
        </w:rPr>
        <w:t>6</w:t>
      </w:r>
      <w:r>
        <w:rPr>
          <w:rFonts w:hint="eastAsia" w:ascii="宋体" w:hAnsi="宋体" w:eastAsia="宋体" w:cs="宋体"/>
          <w:color w:val="000000" w:themeColor="text1"/>
          <w:sz w:val="24"/>
          <w14:textFill>
            <w14:solidFill>
              <w14:schemeClr w14:val="tx1"/>
            </w14:solidFill>
          </w14:textFill>
        </w:rPr>
        <w:t xml:space="preserve">. </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好住房技术导则（试行）</w:t>
      </w:r>
      <w:r>
        <w:rPr>
          <w:rFonts w:hint="eastAsia" w:ascii="宋体" w:hAnsi="宋体" w:eastAsia="宋体" w:cs="宋体"/>
          <w:color w:val="000000" w:themeColor="text1"/>
          <w:sz w:val="24"/>
          <w:lang w:eastAsia="zh-CN"/>
          <w14:textFill>
            <w14:solidFill>
              <w14:schemeClr w14:val="tx1"/>
            </w14:solidFill>
          </w14:textFill>
        </w:rPr>
        <w:t>》T/CECS 1800</w:t>
      </w:r>
    </w:p>
    <w:p w14:paraId="1A026239">
      <w:pPr>
        <w:spacing w:before="78" w:line="220" w:lineRule="auto"/>
        <w:ind w:left="42"/>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w:t>
      </w:r>
      <w:r>
        <w:rPr>
          <w:rFonts w:hint="eastAsia" w:ascii="宋体" w:hAnsi="宋体" w:eastAsia="宋体" w:cs="宋体"/>
          <w:color w:val="000000" w:themeColor="text1"/>
          <w:sz w:val="24"/>
          <w:lang w:val="en-US" w:eastAsia="zh-CN"/>
          <w14:textFill>
            <w14:solidFill>
              <w14:schemeClr w14:val="tx1"/>
            </w14:solidFill>
          </w14:textFill>
        </w:rPr>
        <w:t>7</w:t>
      </w:r>
      <w:r>
        <w:rPr>
          <w:rFonts w:hint="eastAsia" w:ascii="宋体" w:hAnsi="宋体" w:eastAsia="宋体" w:cs="宋体"/>
          <w:color w:val="000000" w:themeColor="text1"/>
          <w:sz w:val="24"/>
          <w14:textFill>
            <w14:solidFill>
              <w14:schemeClr w14:val="tx1"/>
            </w14:solidFill>
          </w14:textFill>
        </w:rPr>
        <w:t>. 《居住建筑节能设计标准》DBJ04/242</w:t>
      </w:r>
    </w:p>
    <w:p w14:paraId="09A10121">
      <w:pPr>
        <w:spacing w:before="78" w:line="220" w:lineRule="auto"/>
        <w:ind w:left="42"/>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w:t>
      </w:r>
      <w:r>
        <w:rPr>
          <w:rFonts w:hint="eastAsia" w:ascii="宋体" w:hAnsi="宋体" w:eastAsia="宋体" w:cs="宋体"/>
          <w:color w:val="000000" w:themeColor="text1"/>
          <w:sz w:val="24"/>
          <w:lang w:val="en-US" w:eastAsia="zh-CN"/>
          <w14:textFill>
            <w14:solidFill>
              <w14:schemeClr w14:val="tx1"/>
            </w14:solidFill>
          </w14:textFill>
        </w:rPr>
        <w:t>8</w:t>
      </w:r>
      <w:r>
        <w:rPr>
          <w:rFonts w:hint="eastAsia" w:ascii="宋体" w:hAnsi="宋体" w:eastAsia="宋体" w:cs="宋体"/>
          <w:color w:val="000000" w:themeColor="text1"/>
          <w:sz w:val="24"/>
          <w14:textFill>
            <w14:solidFill>
              <w14:schemeClr w14:val="tx1"/>
            </w14:solidFill>
          </w14:textFill>
        </w:rPr>
        <w:t>. 《绿色建筑设计标准》DBJ04/415</w:t>
      </w:r>
    </w:p>
    <w:p w14:paraId="43AED181">
      <w:pPr>
        <w:spacing w:before="78" w:line="220" w:lineRule="auto"/>
        <w:ind w:left="42"/>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w:t>
      </w:r>
      <w:r>
        <w:rPr>
          <w:rFonts w:hint="eastAsia" w:ascii="宋体" w:hAnsi="宋体" w:eastAsia="宋体" w:cs="宋体"/>
          <w:color w:val="000000" w:themeColor="text1"/>
          <w:sz w:val="24"/>
          <w:lang w:val="en-US" w:eastAsia="zh-CN"/>
          <w14:textFill>
            <w14:solidFill>
              <w14:schemeClr w14:val="tx1"/>
            </w14:solidFill>
          </w14:textFill>
        </w:rPr>
        <w:t>9</w:t>
      </w:r>
      <w:r>
        <w:rPr>
          <w:rFonts w:hint="eastAsia" w:ascii="宋体" w:hAnsi="宋体" w:eastAsia="宋体" w:cs="宋体"/>
          <w:color w:val="000000" w:themeColor="text1"/>
          <w:sz w:val="24"/>
          <w14:textFill>
            <w14:solidFill>
              <w14:schemeClr w14:val="tx1"/>
            </w14:solidFill>
          </w14:textFill>
        </w:rPr>
        <w:t>. 《完整居住社区建设标准</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试行</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》DBJO4/T424</w:t>
      </w:r>
    </w:p>
    <w:p w14:paraId="1DC269FA">
      <w:pPr>
        <w:spacing w:before="78" w:line="220" w:lineRule="auto"/>
        <w:ind w:left="42"/>
        <w:rPr>
          <w:rFonts w:hint="eastAsia" w:ascii="宋体" w:hAnsi="宋体" w:eastAsia="宋体" w:cs="宋体"/>
          <w:color w:val="000000" w:themeColor="text1"/>
          <w:sz w:val="24"/>
          <w14:textFill>
            <w14:solidFill>
              <w14:schemeClr w14:val="tx1"/>
            </w14:solidFill>
          </w14:textFill>
        </w:rPr>
      </w:pPr>
    </w:p>
    <w:p w14:paraId="14D30DDE">
      <w:pPr>
        <w:spacing w:before="78"/>
        <w:ind w:left="42"/>
        <w:rPr>
          <w:rFonts w:ascii="Times New Roman" w:hAnsi="Times New Roman" w:eastAsia="Times New Roman" w:cs="Times New Roman"/>
          <w:color w:val="000000" w:themeColor="text1"/>
          <w:sz w:val="24"/>
          <w14:textFill>
            <w14:solidFill>
              <w14:schemeClr w14:val="tx1"/>
            </w14:solidFill>
          </w14:textFill>
        </w:rPr>
      </w:pPr>
    </w:p>
    <w:p w14:paraId="1CC23DC6">
      <w:pPr>
        <w:spacing w:before="78"/>
        <w:ind w:left="42"/>
        <w:rPr>
          <w:rFonts w:ascii="Times New Roman" w:hAnsi="Times New Roman" w:eastAsia="Times New Roman" w:cs="Times New Roman"/>
          <w:color w:val="000000" w:themeColor="text1"/>
          <w:sz w:val="24"/>
          <w14:textFill>
            <w14:solidFill>
              <w14:schemeClr w14:val="tx1"/>
            </w14:solidFill>
          </w14:textFill>
        </w:rPr>
      </w:pPr>
    </w:p>
    <w:p w14:paraId="4CA7C013">
      <w:pPr>
        <w:spacing w:before="78"/>
        <w:ind w:left="42"/>
        <w:rPr>
          <w:rFonts w:ascii="Times New Roman" w:hAnsi="Times New Roman" w:eastAsia="Times New Roman" w:cs="Times New Roman"/>
          <w:color w:val="000000" w:themeColor="text1"/>
          <w:sz w:val="24"/>
          <w14:textFill>
            <w14:solidFill>
              <w14:schemeClr w14:val="tx1"/>
            </w14:solidFill>
          </w14:textFill>
        </w:rPr>
      </w:pPr>
    </w:p>
    <w:p w14:paraId="0A991660">
      <w:pPr>
        <w:spacing w:before="78"/>
        <w:ind w:left="42"/>
        <w:rPr>
          <w:rFonts w:ascii="Times New Roman" w:hAnsi="Times New Roman" w:eastAsia="Times New Roman" w:cs="Times New Roman"/>
          <w:color w:val="000000" w:themeColor="text1"/>
          <w:sz w:val="24"/>
          <w14:textFill>
            <w14:solidFill>
              <w14:schemeClr w14:val="tx1"/>
            </w14:solidFill>
          </w14:textFill>
        </w:rPr>
      </w:pPr>
    </w:p>
    <w:p w14:paraId="48CA9C40">
      <w:pPr>
        <w:spacing w:before="78"/>
        <w:ind w:left="42"/>
        <w:rPr>
          <w:rFonts w:ascii="Times New Roman" w:hAnsi="Times New Roman" w:eastAsia="Times New Roman" w:cs="Times New Roman"/>
          <w:color w:val="000000" w:themeColor="text1"/>
          <w:sz w:val="24"/>
          <w14:textFill>
            <w14:solidFill>
              <w14:schemeClr w14:val="tx1"/>
            </w14:solidFill>
          </w14:textFill>
        </w:rPr>
      </w:pPr>
    </w:p>
    <w:p w14:paraId="54A8F2CA">
      <w:pPr>
        <w:spacing w:before="78"/>
        <w:ind w:left="42"/>
        <w:rPr>
          <w:rFonts w:ascii="Times New Roman" w:hAnsi="Times New Roman" w:eastAsia="Times New Roman" w:cs="Times New Roman"/>
          <w:color w:val="000000" w:themeColor="text1"/>
          <w:sz w:val="24"/>
          <w14:textFill>
            <w14:solidFill>
              <w14:schemeClr w14:val="tx1"/>
            </w14:solidFill>
          </w14:textFill>
        </w:rPr>
      </w:pPr>
    </w:p>
    <w:p w14:paraId="01A27C5A">
      <w:pPr>
        <w:spacing w:before="78"/>
        <w:ind w:left="42"/>
        <w:rPr>
          <w:rFonts w:ascii="Times New Roman" w:hAnsi="Times New Roman" w:eastAsia="Times New Roman" w:cs="Times New Roman"/>
          <w:color w:val="000000" w:themeColor="text1"/>
          <w:sz w:val="24"/>
          <w14:textFill>
            <w14:solidFill>
              <w14:schemeClr w14:val="tx1"/>
            </w14:solidFill>
          </w14:textFill>
        </w:rPr>
      </w:pPr>
      <w:r>
        <w:rPr>
          <w:rFonts w:ascii="Times New Roman" w:hAnsi="Times New Roman" w:eastAsia="Times New Roman" w:cs="Times New Roman"/>
          <w:color w:val="000000" w:themeColor="text1"/>
          <w:sz w:val="24"/>
          <w14:textFill>
            <w14:solidFill>
              <w14:schemeClr w14:val="tx1"/>
            </w14:solidFill>
          </w14:textFill>
        </w:rPr>
        <w:br w:type="page"/>
      </w:r>
    </w:p>
    <w:p w14:paraId="4B722ADE">
      <w:pPr>
        <w:tabs>
          <w:tab w:val="left" w:pos="10440"/>
        </w:tabs>
        <w:snapToGrid w:val="0"/>
        <w:spacing w:line="360" w:lineRule="auto"/>
        <w:jc w:val="center"/>
        <w:rPr>
          <w:rFonts w:hint="eastAsia"/>
          <w:b/>
          <w:color w:val="000000" w:themeColor="text1"/>
          <w:sz w:val="32"/>
          <w:szCs w:val="32"/>
          <w14:textFill>
            <w14:solidFill>
              <w14:schemeClr w14:val="tx1"/>
            </w14:solidFill>
          </w14:textFill>
        </w:rPr>
      </w:pPr>
    </w:p>
    <w:p w14:paraId="72046353">
      <w:pPr>
        <w:tabs>
          <w:tab w:val="left" w:pos="10440"/>
        </w:tabs>
        <w:snapToGrid w:val="0"/>
        <w:spacing w:line="360" w:lineRule="auto"/>
        <w:jc w:val="center"/>
        <w:rPr>
          <w:rFonts w:hint="eastAsia"/>
          <w:b/>
          <w:color w:val="000000" w:themeColor="text1"/>
          <w:sz w:val="32"/>
          <w:szCs w:val="32"/>
          <w14:textFill>
            <w14:solidFill>
              <w14:schemeClr w14:val="tx1"/>
            </w14:solidFill>
          </w14:textFill>
        </w:rPr>
      </w:pPr>
    </w:p>
    <w:p w14:paraId="02FD03E0">
      <w:pPr>
        <w:tabs>
          <w:tab w:val="left" w:pos="10440"/>
        </w:tabs>
        <w:snapToGrid w:val="0"/>
        <w:spacing w:line="360" w:lineRule="auto"/>
        <w:jc w:val="center"/>
        <w:rPr>
          <w:rFonts w:hint="eastAsia"/>
          <w:b/>
          <w:color w:val="000000" w:themeColor="text1"/>
          <w:sz w:val="32"/>
          <w:szCs w:val="32"/>
          <w14:textFill>
            <w14:solidFill>
              <w14:schemeClr w14:val="tx1"/>
            </w14:solidFill>
          </w14:textFill>
        </w:rPr>
      </w:pPr>
      <w:r>
        <w:rPr>
          <w:rFonts w:hint="eastAsia" w:ascii="宋体" w:hAnsi="宋体" w:eastAsia="宋体" w:cs="宋体"/>
          <w:b/>
          <w:color w:val="000000" w:themeColor="text1"/>
          <w:sz w:val="32"/>
          <w:szCs w:val="32"/>
          <w14:textFill>
            <w14:solidFill>
              <w14:schemeClr w14:val="tx1"/>
            </w14:solidFill>
          </w14:textFill>
        </w:rPr>
        <w:t>山西省工程建设地方标准</w:t>
      </w:r>
    </w:p>
    <w:p w14:paraId="7328F0BD">
      <w:pPr>
        <w:widowControl/>
        <w:adjustRightInd w:val="0"/>
        <w:snapToGrid w:val="0"/>
        <w:spacing w:line="312" w:lineRule="auto"/>
        <w:jc w:val="center"/>
        <w:rPr>
          <w:rFonts w:hint="eastAsia" w:ascii="黑体" w:hAnsi="黑体" w:eastAsia="黑体"/>
          <w:color w:val="000000" w:themeColor="text1"/>
          <w:sz w:val="52"/>
          <w:szCs w:val="52"/>
          <w14:textFill>
            <w14:solidFill>
              <w14:schemeClr w14:val="tx1"/>
            </w14:solidFill>
          </w14:textFill>
        </w:rPr>
      </w:pPr>
    </w:p>
    <w:p w14:paraId="1844A28C">
      <w:pPr>
        <w:widowControl/>
        <w:adjustRightInd w:val="0"/>
        <w:snapToGrid w:val="0"/>
        <w:spacing w:line="312" w:lineRule="auto"/>
        <w:ind w:left="0" w:leftChars="0" w:firstLine="0" w:firstLineChars="0"/>
        <w:jc w:val="center"/>
        <w:rPr>
          <w:rFonts w:hint="eastAsia" w:ascii="方正公文小标宋" w:hAnsi="方正公文小标宋" w:eastAsia="方正公文小标宋" w:cs="方正公文小标宋"/>
          <w:color w:val="000000" w:themeColor="text1"/>
          <w:sz w:val="44"/>
          <w:szCs w:val="44"/>
          <w14:textFill>
            <w14:solidFill>
              <w14:schemeClr w14:val="tx1"/>
            </w14:solidFill>
          </w14:textFill>
        </w:rPr>
      </w:pPr>
      <w:r>
        <w:rPr>
          <w:rFonts w:hint="eastAsia" w:ascii="黑体" w:hAnsi="黑体" w:eastAsia="黑体"/>
          <w:color w:val="000000" w:themeColor="text1"/>
          <w:sz w:val="52"/>
          <w:szCs w:val="52"/>
          <w:lang w:val="en-US" w:eastAsia="zh-CN"/>
          <w14:textFill>
            <w14:solidFill>
              <w14:schemeClr w14:val="tx1"/>
            </w14:solidFill>
          </w14:textFill>
        </w:rPr>
        <w:t>好房子</w:t>
      </w:r>
      <w:r>
        <w:rPr>
          <w:rFonts w:hint="eastAsia" w:ascii="黑体" w:hAnsi="黑体" w:eastAsia="黑体"/>
          <w:color w:val="000000" w:themeColor="text1"/>
          <w:sz w:val="52"/>
          <w:szCs w:val="52"/>
          <w14:textFill>
            <w14:solidFill>
              <w14:schemeClr w14:val="tx1"/>
            </w14:solidFill>
          </w14:textFill>
        </w:rPr>
        <w:t>技术标准</w:t>
      </w:r>
    </w:p>
    <w:p w14:paraId="07191EEE">
      <w:pPr>
        <w:widowControl/>
        <w:adjustRightInd w:val="0"/>
        <w:snapToGrid w:val="0"/>
        <w:spacing w:line="312" w:lineRule="auto"/>
        <w:ind w:left="0" w:leftChars="0" w:firstLine="0" w:firstLineChars="0"/>
        <w:jc w:val="center"/>
        <w:rPr>
          <w:rFonts w:hint="eastAsia"/>
          <w:color w:val="000000" w:themeColor="text1"/>
          <w:sz w:val="36"/>
          <w:szCs w:val="36"/>
          <w14:textFill>
            <w14:solidFill>
              <w14:schemeClr w14:val="tx1"/>
            </w14:solidFill>
          </w14:textFill>
        </w:rPr>
      </w:pPr>
      <w:r>
        <w:rPr>
          <w:rFonts w:hint="eastAsia"/>
          <w:color w:val="000000" w:themeColor="text1"/>
          <w:sz w:val="36"/>
          <w:szCs w:val="36"/>
          <w14:textFill>
            <w14:solidFill>
              <w14:schemeClr w14:val="tx1"/>
            </w14:solidFill>
          </w14:textFill>
        </w:rPr>
        <w:t>Technical</w:t>
      </w:r>
      <w:r>
        <w:rPr>
          <w:color w:val="000000" w:themeColor="text1"/>
          <w:sz w:val="36"/>
          <w:szCs w:val="36"/>
          <w14:textFill>
            <w14:solidFill>
              <w14:schemeClr w14:val="tx1"/>
            </w14:solidFill>
          </w14:textFill>
        </w:rPr>
        <w:t xml:space="preserve"> standard </w:t>
      </w:r>
      <w:r>
        <w:rPr>
          <w:rFonts w:hint="eastAsia"/>
          <w:color w:val="000000" w:themeColor="text1"/>
          <w:sz w:val="36"/>
          <w:szCs w:val="36"/>
          <w14:textFill>
            <w14:solidFill>
              <w14:schemeClr w14:val="tx1"/>
            </w14:solidFill>
          </w14:textFill>
        </w:rPr>
        <w:t xml:space="preserve">for </w:t>
      </w:r>
      <w:r>
        <w:rPr>
          <w:rFonts w:hint="eastAsia"/>
          <w:color w:val="000000" w:themeColor="text1"/>
          <w:sz w:val="36"/>
          <w:szCs w:val="36"/>
          <w:lang w:val="en-US" w:eastAsia="zh-CN"/>
          <w14:textFill>
            <w14:solidFill>
              <w14:schemeClr w14:val="tx1"/>
            </w14:solidFill>
          </w14:textFill>
        </w:rPr>
        <w:t>better</w:t>
      </w:r>
      <w:r>
        <w:rPr>
          <w:rFonts w:hint="eastAsia"/>
          <w:color w:val="000000" w:themeColor="text1"/>
          <w:sz w:val="36"/>
          <w:szCs w:val="36"/>
          <w14:textFill>
            <w14:solidFill>
              <w14:schemeClr w14:val="tx1"/>
            </w14:solidFill>
          </w14:textFill>
        </w:rPr>
        <w:t xml:space="preserve"> </w:t>
      </w:r>
      <w:r>
        <w:rPr>
          <w:rFonts w:hint="eastAsia"/>
          <w:color w:val="000000" w:themeColor="text1"/>
          <w:sz w:val="36"/>
          <w:szCs w:val="36"/>
          <w:lang w:val="en-US" w:eastAsia="zh-CN"/>
          <w14:textFill>
            <w14:solidFill>
              <w14:schemeClr w14:val="tx1"/>
            </w14:solidFill>
          </w14:textFill>
        </w:rPr>
        <w:t>hous</w:t>
      </w:r>
      <w:r>
        <w:rPr>
          <w:rFonts w:hint="eastAsia"/>
          <w:color w:val="000000" w:themeColor="text1"/>
          <w:sz w:val="36"/>
          <w:szCs w:val="36"/>
          <w14:textFill>
            <w14:solidFill>
              <w14:schemeClr w14:val="tx1"/>
            </w14:solidFill>
          </w14:textFill>
        </w:rPr>
        <w:t>ing</w:t>
      </w:r>
    </w:p>
    <w:p w14:paraId="036E23A0">
      <w:pPr>
        <w:widowControl/>
        <w:adjustRightInd w:val="0"/>
        <w:snapToGrid w:val="0"/>
        <w:spacing w:line="312" w:lineRule="auto"/>
        <w:jc w:val="center"/>
        <w:rPr>
          <w:rFonts w:hint="eastAsia" w:ascii="方正公文小标宋" w:hAnsi="方正公文小标宋" w:eastAsia="方正公文小标宋" w:cs="方正公文小标宋"/>
          <w:color w:val="000000" w:themeColor="text1"/>
          <w:sz w:val="44"/>
          <w:szCs w:val="44"/>
          <w14:textFill>
            <w14:solidFill>
              <w14:schemeClr w14:val="tx1"/>
            </w14:solidFill>
          </w14:textFill>
        </w:rPr>
      </w:pPr>
    </w:p>
    <w:p w14:paraId="0BD503BD">
      <w:pPr>
        <w:pStyle w:val="2"/>
        <w:bidi w:val="0"/>
        <w:ind w:left="0" w:leftChars="0" w:firstLine="0" w:firstLineChars="0"/>
        <w:jc w:val="center"/>
        <w:rPr>
          <w:rFonts w:hint="eastAsia" w:ascii="黑体" w:hAnsi="黑体" w:eastAsia="黑体" w:cs="黑体"/>
          <w:color w:val="000000" w:themeColor="text1"/>
          <w:sz w:val="44"/>
          <w:szCs w:val="44"/>
          <w14:textFill>
            <w14:solidFill>
              <w14:schemeClr w14:val="tx1"/>
            </w14:solidFill>
          </w14:textFill>
        </w:rPr>
      </w:pPr>
      <w:bookmarkStart w:id="125" w:name="_Toc22389"/>
      <w:bookmarkStart w:id="126" w:name="_Toc31615"/>
      <w:r>
        <w:rPr>
          <w:rFonts w:hint="eastAsia" w:ascii="黑体" w:hAnsi="黑体" w:eastAsia="黑体" w:cs="黑体"/>
          <w:color w:val="000000" w:themeColor="text1"/>
          <w:sz w:val="44"/>
          <w:szCs w:val="44"/>
          <w14:textFill>
            <w14:solidFill>
              <w14:schemeClr w14:val="tx1"/>
            </w14:solidFill>
          </w14:textFill>
        </w:rPr>
        <w:t>条  文  说  明</w:t>
      </w:r>
      <w:bookmarkEnd w:id="125"/>
      <w:bookmarkEnd w:id="126"/>
    </w:p>
    <w:p w14:paraId="496C99AB">
      <w:pPr>
        <w:pStyle w:val="7"/>
        <w:rPr>
          <w:rFonts w:hint="eastAsia" w:ascii="方正小标宋简体" w:eastAsia="方正小标宋简体"/>
          <w:color w:val="000000" w:themeColor="text1"/>
          <w:sz w:val="44"/>
          <w:szCs w:val="44"/>
          <w14:textFill>
            <w14:solidFill>
              <w14:schemeClr w14:val="tx1"/>
            </w14:solidFill>
          </w14:textFill>
        </w:rPr>
      </w:pPr>
    </w:p>
    <w:p w14:paraId="39A1D183">
      <w:pPr>
        <w:pStyle w:val="7"/>
        <w:rPr>
          <w:rFonts w:ascii="方正小标宋简体" w:eastAsia="方正小标宋简体"/>
          <w:color w:val="000000" w:themeColor="text1"/>
          <w:sz w:val="44"/>
          <w:szCs w:val="44"/>
          <w14:textFill>
            <w14:solidFill>
              <w14:schemeClr w14:val="tx1"/>
            </w14:solidFill>
          </w14:textFill>
        </w:rPr>
      </w:pPr>
    </w:p>
    <w:p w14:paraId="17452F3E">
      <w:pPr>
        <w:rPr>
          <w:color w:val="000000" w:themeColor="text1"/>
          <w14:textFill>
            <w14:solidFill>
              <w14:schemeClr w14:val="tx1"/>
            </w14:solidFill>
          </w14:textFill>
        </w:rPr>
      </w:pPr>
    </w:p>
    <w:p w14:paraId="59DECCF6">
      <w:pPr>
        <w:pStyle w:val="7"/>
        <w:rPr>
          <w:color w:val="000000" w:themeColor="text1"/>
          <w14:textFill>
            <w14:solidFill>
              <w14:schemeClr w14:val="tx1"/>
            </w14:solidFill>
          </w14:textFill>
        </w:rPr>
      </w:pPr>
    </w:p>
    <w:p w14:paraId="6AAD7091">
      <w:pPr>
        <w:pStyle w:val="7"/>
        <w:rPr>
          <w:color w:val="000000" w:themeColor="text1"/>
          <w14:textFill>
            <w14:solidFill>
              <w14:schemeClr w14:val="tx1"/>
            </w14:solidFill>
          </w14:textFill>
        </w:rPr>
      </w:pPr>
    </w:p>
    <w:p w14:paraId="4F5AC519">
      <w:pPr>
        <w:pStyle w:val="7"/>
        <w:rPr>
          <w:color w:val="000000" w:themeColor="text1"/>
          <w14:textFill>
            <w14:solidFill>
              <w14:schemeClr w14:val="tx1"/>
            </w14:solidFill>
          </w14:textFill>
        </w:rPr>
      </w:pPr>
    </w:p>
    <w:p w14:paraId="16C40CF8">
      <w:pPr>
        <w:pStyle w:val="7"/>
        <w:rPr>
          <w:color w:val="000000" w:themeColor="text1"/>
          <w14:textFill>
            <w14:solidFill>
              <w14:schemeClr w14:val="tx1"/>
            </w14:solidFill>
          </w14:textFill>
        </w:rPr>
      </w:pPr>
    </w:p>
    <w:p w14:paraId="3F365975">
      <w:pPr>
        <w:pStyle w:val="7"/>
        <w:rPr>
          <w:color w:val="000000" w:themeColor="text1"/>
          <w14:textFill>
            <w14:solidFill>
              <w14:schemeClr w14:val="tx1"/>
            </w14:solidFill>
          </w14:textFill>
        </w:rPr>
      </w:pPr>
    </w:p>
    <w:p w14:paraId="57B0D4D2">
      <w:pPr>
        <w:spacing w:before="78"/>
        <w:rPr>
          <w:rFonts w:ascii="Times New Roman" w:hAnsi="Times New Roman" w:eastAsia="Times New Roman" w:cs="Times New Roman"/>
          <w:color w:val="000000" w:themeColor="text1"/>
          <w:sz w:val="24"/>
          <w14:textFill>
            <w14:solidFill>
              <w14:schemeClr w14:val="tx1"/>
            </w14:solidFill>
          </w14:textFill>
        </w:rPr>
      </w:pPr>
    </w:p>
    <w:p w14:paraId="1B0549C1">
      <w:pPr>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br w:type="page"/>
      </w:r>
    </w:p>
    <w:p w14:paraId="6A150386">
      <w:pPr>
        <w:pStyle w:val="2"/>
        <w:jc w:val="center"/>
        <w:rPr>
          <w:color w:val="000000" w:themeColor="text1"/>
          <w:sz w:val="24"/>
          <w:szCs w:val="24"/>
          <w:highlight w:val="none"/>
          <w14:textFill>
            <w14:solidFill>
              <w14:schemeClr w14:val="tx1"/>
            </w14:solidFill>
          </w14:textFill>
        </w:rPr>
      </w:pPr>
      <w:bookmarkStart w:id="127" w:name="_Toc25513"/>
      <w:bookmarkStart w:id="128" w:name="_Toc16649"/>
      <w:bookmarkStart w:id="129" w:name="_Toc16856"/>
      <w:r>
        <w:rPr>
          <w:rFonts w:hint="eastAsia" w:ascii="黑体" w:hAnsi="黑体" w:eastAsia="黑体" w:cs="黑体"/>
          <w:color w:val="000000" w:themeColor="text1"/>
          <w:sz w:val="28"/>
          <w:szCs w:val="28"/>
          <w:highlight w:val="none"/>
          <w:lang w:val="en-US" w:eastAsia="zh-CN"/>
          <w14:textFill>
            <w14:solidFill>
              <w14:schemeClr w14:val="tx1"/>
            </w14:solidFill>
          </w14:textFill>
        </w:rPr>
        <w:t>制订</w:t>
      </w:r>
      <w:r>
        <w:rPr>
          <w:rFonts w:hint="eastAsia" w:ascii="黑体" w:hAnsi="黑体" w:eastAsia="黑体" w:cs="黑体"/>
          <w:color w:val="000000" w:themeColor="text1"/>
          <w:sz w:val="28"/>
          <w:szCs w:val="28"/>
          <w:highlight w:val="none"/>
          <w14:textFill>
            <w14:solidFill>
              <w14:schemeClr w14:val="tx1"/>
            </w14:solidFill>
          </w14:textFill>
        </w:rPr>
        <w:t>说明</w:t>
      </w:r>
      <w:bookmarkEnd w:id="127"/>
      <w:bookmarkEnd w:id="128"/>
      <w:bookmarkEnd w:id="129"/>
    </w:p>
    <w:p w14:paraId="2EE5F508">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amp;quot" w:hAnsi="&amp;quot"/>
          <w:color w:val="000000" w:themeColor="text1"/>
          <w:sz w:val="24"/>
          <w:szCs w:val="24"/>
          <w:highlight w:val="none"/>
          <w14:textFill>
            <w14:solidFill>
              <w14:schemeClr w14:val="tx1"/>
            </w14:solidFill>
          </w14:textFill>
        </w:rPr>
      </w:pPr>
      <w:r>
        <w:rPr>
          <w:rFonts w:hint="eastAsia" w:ascii="&amp;quot" w:hAnsi="&amp;quot"/>
          <w:color w:val="000000" w:themeColor="text1"/>
          <w:sz w:val="24"/>
          <w:szCs w:val="24"/>
          <w:highlight w:val="none"/>
          <w14:textFill>
            <w14:solidFill>
              <w14:schemeClr w14:val="tx1"/>
            </w14:solidFill>
          </w14:textFill>
        </w:rPr>
        <w:t>《</w:t>
      </w:r>
      <w:r>
        <w:rPr>
          <w:rFonts w:hint="eastAsia" w:ascii="&amp;quot" w:hAnsi="&amp;quot"/>
          <w:color w:val="000000" w:themeColor="text1"/>
          <w:sz w:val="24"/>
          <w:szCs w:val="24"/>
          <w:highlight w:val="none"/>
          <w:lang w:val="en-US" w:eastAsia="zh-CN"/>
          <w14:textFill>
            <w14:solidFill>
              <w14:schemeClr w14:val="tx1"/>
            </w14:solidFill>
          </w14:textFill>
        </w:rPr>
        <w:t>好房子技术</w:t>
      </w:r>
      <w:r>
        <w:rPr>
          <w:rFonts w:hint="eastAsia" w:ascii="&amp;quot" w:hAnsi="&amp;quot"/>
          <w:color w:val="000000" w:themeColor="text1"/>
          <w:sz w:val="24"/>
          <w:szCs w:val="24"/>
          <w:highlight w:val="none"/>
          <w14:textFill>
            <w14:solidFill>
              <w14:schemeClr w14:val="tx1"/>
            </w14:solidFill>
          </w14:textFill>
        </w:rPr>
        <w:t>标准》（DBJ</w:t>
      </w:r>
      <w:r>
        <w:rPr>
          <w:rFonts w:hint="eastAsia" w:ascii="&amp;quot" w:hAnsi="&amp;quot"/>
          <w:color w:val="000000" w:themeColor="text1"/>
          <w:sz w:val="24"/>
          <w:szCs w:val="24"/>
          <w:highlight w:val="none"/>
          <w:lang w:val="en-US" w:eastAsia="zh-CN"/>
          <w14:textFill>
            <w14:solidFill>
              <w14:schemeClr w14:val="tx1"/>
            </w14:solidFill>
          </w14:textFill>
        </w:rPr>
        <w:t>04</w:t>
      </w:r>
      <w:r>
        <w:rPr>
          <w:rFonts w:hint="eastAsia" w:ascii="&amp;quot" w:hAnsi="&amp;quot"/>
          <w:color w:val="000000" w:themeColor="text1"/>
          <w:sz w:val="24"/>
          <w:szCs w:val="24"/>
          <w:highlight w:val="none"/>
          <w14:textFill>
            <w14:solidFill>
              <w14:schemeClr w14:val="tx1"/>
            </w14:solidFill>
          </w14:textFill>
        </w:rPr>
        <w:t>/T XX-XX-XX），经山西省住房和城乡建设厅公告批准、发布。</w:t>
      </w:r>
    </w:p>
    <w:p w14:paraId="518080FE">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amp;quot" w:hAnsi="&amp;quot"/>
          <w:color w:val="000000" w:themeColor="text1"/>
          <w:sz w:val="24"/>
          <w:szCs w:val="24"/>
          <w:highlight w:val="none"/>
          <w14:textFill>
            <w14:solidFill>
              <w14:schemeClr w14:val="tx1"/>
            </w14:solidFill>
          </w14:textFill>
        </w:rPr>
      </w:pPr>
      <w:r>
        <w:rPr>
          <w:rFonts w:hint="eastAsia" w:ascii="&amp;quot" w:hAnsi="&amp;quot"/>
          <w:color w:val="000000" w:themeColor="text1"/>
          <w:sz w:val="24"/>
          <w:szCs w:val="24"/>
          <w:highlight w:val="none"/>
          <w14:textFill>
            <w14:solidFill>
              <w14:schemeClr w14:val="tx1"/>
            </w14:solidFill>
          </w14:textFill>
        </w:rPr>
        <w:t>本标准制定过程中，编制组进行了广泛的调查研究，总结了</w:t>
      </w:r>
      <w:r>
        <w:rPr>
          <w:rFonts w:hint="eastAsia" w:ascii="&amp;quot" w:hAnsi="&amp;quot"/>
          <w:color w:val="000000" w:themeColor="text1"/>
          <w:sz w:val="24"/>
          <w:szCs w:val="24"/>
          <w:highlight w:val="none"/>
          <w:lang w:val="en-US" w:eastAsia="zh-CN"/>
          <w14:textFill>
            <w14:solidFill>
              <w14:schemeClr w14:val="tx1"/>
            </w14:solidFill>
          </w14:textFill>
        </w:rPr>
        <w:t>住宅建造技术</w:t>
      </w:r>
      <w:r>
        <w:rPr>
          <w:rFonts w:hint="eastAsia" w:ascii="&amp;quot" w:hAnsi="&amp;quot"/>
          <w:color w:val="000000" w:themeColor="text1"/>
          <w:sz w:val="24"/>
          <w:szCs w:val="24"/>
          <w:highlight w:val="none"/>
          <w14:textFill>
            <w14:solidFill>
              <w14:schemeClr w14:val="tx1"/>
            </w14:solidFill>
          </w14:textFill>
        </w:rPr>
        <w:t>的实践经验，同时参考了省内外先进技术法规、技术标准。</w:t>
      </w:r>
    </w:p>
    <w:p w14:paraId="796C0C6B">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amp;quot" w:hAnsi="&amp;quot"/>
          <w:color w:val="000000" w:themeColor="text1"/>
          <w:sz w:val="24"/>
          <w:szCs w:val="24"/>
          <w:highlight w:val="none"/>
          <w14:textFill>
            <w14:solidFill>
              <w14:schemeClr w14:val="tx1"/>
            </w14:solidFill>
          </w14:textFill>
        </w:rPr>
      </w:pPr>
      <w:r>
        <w:rPr>
          <w:rFonts w:hint="eastAsia" w:ascii="&amp;quot" w:hAnsi="&amp;quot"/>
          <w:color w:val="000000" w:themeColor="text1"/>
          <w:sz w:val="24"/>
          <w:szCs w:val="24"/>
          <w:highlight w:val="none"/>
          <w14:textFill>
            <w14:solidFill>
              <w14:schemeClr w14:val="tx1"/>
            </w14:solidFill>
          </w14:textFill>
        </w:rPr>
        <w:t>为便于广大建设、设计、施工、科研等单位有关人员在使用本标准时能正确理解和执行条文规定，《</w:t>
      </w:r>
      <w:r>
        <w:rPr>
          <w:rFonts w:hint="eastAsia" w:ascii="&amp;quot" w:hAnsi="&amp;quot"/>
          <w:color w:val="000000" w:themeColor="text1"/>
          <w:sz w:val="24"/>
          <w:szCs w:val="24"/>
          <w:highlight w:val="none"/>
          <w:lang w:val="en-US" w:eastAsia="zh-CN"/>
          <w14:textFill>
            <w14:solidFill>
              <w14:schemeClr w14:val="tx1"/>
            </w14:solidFill>
          </w14:textFill>
        </w:rPr>
        <w:t>好房子技术</w:t>
      </w:r>
      <w:r>
        <w:rPr>
          <w:rFonts w:hint="eastAsia" w:ascii="&amp;quot" w:hAnsi="&amp;quot"/>
          <w:color w:val="000000" w:themeColor="text1"/>
          <w:sz w:val="24"/>
          <w:szCs w:val="24"/>
          <w:highlight w:val="none"/>
          <w14:textFill>
            <w14:solidFill>
              <w14:schemeClr w14:val="tx1"/>
            </w14:solidFill>
          </w14:textFill>
        </w:rPr>
        <w:t>标准》编制组按章、节、条顺序编制了本标准的条文说明，对条文规定的目的、依据以及执行过程中需注意的有关事项进行了说明。但是，本条文说明不具备与标准正文同等的法律效力，仅供使用者作为理解和把握标准规定的参考。</w:t>
      </w:r>
    </w:p>
    <w:p w14:paraId="4D5E91AF">
      <w:pPr>
        <w:pStyle w:val="15"/>
        <w:ind w:left="720" w:hanging="720"/>
        <w:jc w:val="center"/>
        <w:rPr>
          <w:rFonts w:hint="eastAsia" w:eastAsia="方正公文小标宋"/>
          <w:color w:val="000000" w:themeColor="text1"/>
          <w:sz w:val="28"/>
          <w:szCs w:val="28"/>
          <w:lang w:val="en-US" w:eastAsia="zh-CN"/>
          <w14:textFill>
            <w14:solidFill>
              <w14:schemeClr w14:val="tx1"/>
            </w14:solidFill>
          </w14:textFill>
        </w:rPr>
      </w:pPr>
      <w:r>
        <w:rPr>
          <w:rFonts w:hint="eastAsia" w:eastAsia="等线"/>
          <w:color w:val="000000" w:themeColor="text1"/>
          <w:sz w:val="24"/>
          <w:szCs w:val="24"/>
          <w:highlight w:val="none"/>
          <w:lang w:val="en-US" w:eastAsia="zh-CN"/>
          <w14:textFill>
            <w14:solidFill>
              <w14:schemeClr w14:val="tx1"/>
            </w14:solidFill>
          </w14:textFill>
        </w:rPr>
        <w:br w:type="page"/>
      </w:r>
      <w:r>
        <w:rPr>
          <w:rFonts w:hint="eastAsia"/>
          <w:color w:val="000000" w:themeColor="text1"/>
          <w:sz w:val="28"/>
          <w:szCs w:val="28"/>
          <w14:textFill>
            <w14:solidFill>
              <w14:schemeClr w14:val="tx1"/>
            </w14:solidFill>
          </w14:textFill>
        </w:rPr>
        <w:t xml:space="preserve">目     </w:t>
      </w:r>
      <w:r>
        <w:rPr>
          <w:rFonts w:hint="eastAsia"/>
          <w:color w:val="000000" w:themeColor="text1"/>
          <w:sz w:val="28"/>
          <w:szCs w:val="28"/>
          <w:lang w:val="en-US" w:eastAsia="zh-CN"/>
          <w14:textFill>
            <w14:solidFill>
              <w14:schemeClr w14:val="tx1"/>
            </w14:solidFill>
          </w14:textFill>
        </w:rPr>
        <w:t>次</w:t>
      </w:r>
    </w:p>
    <w:p w14:paraId="216CB1E5">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color w:val="000000" w:themeColor="text1"/>
          <w:sz w:val="28"/>
          <w:szCs w:val="28"/>
          <w14:textFill>
            <w14:solidFill>
              <w14:schemeClr w14:val="tx1"/>
            </w14:solidFill>
          </w14:textFill>
        </w:rPr>
        <w:fldChar w:fldCharType="begin"/>
      </w:r>
      <w:r>
        <w:rPr>
          <w:rFonts w:hint="eastAsia" w:ascii="方正公文小标宋" w:hAnsi="方正公文小标宋"/>
          <w:color w:val="000000" w:themeColor="text1"/>
          <w:sz w:val="28"/>
          <w:szCs w:val="28"/>
          <w14:textFill>
            <w14:solidFill>
              <w14:schemeClr w14:val="tx1"/>
            </w14:solidFill>
          </w14:textFill>
        </w:rPr>
        <w:instrText xml:space="preserve">TOC \o "1-2" \h \u </w:instrText>
      </w:r>
      <w:r>
        <w:rPr>
          <w:rFonts w:hint="eastAsia" w:ascii="方正公文小标宋" w:hAnsi="方正公文小标宋"/>
          <w:color w:val="000000" w:themeColor="text1"/>
          <w:sz w:val="28"/>
          <w:szCs w:val="28"/>
          <w14:textFill>
            <w14:solidFill>
              <w14:schemeClr w14:val="tx1"/>
            </w14:solidFill>
          </w14:textFill>
        </w:rPr>
        <w:fldChar w:fldCharType="separate"/>
      </w:r>
      <w:r>
        <w:rPr>
          <w:rFonts w:hint="eastAsia" w:ascii="方正公文小标宋" w:hAnsi="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b w:val="0"/>
          <w:bCs w:val="0"/>
          <w:color w:val="000000" w:themeColor="text1"/>
          <w:szCs w:val="28"/>
          <w14:textFill>
            <w14:solidFill>
              <w14:schemeClr w14:val="tx1"/>
            </w14:solidFill>
          </w14:textFill>
        </w:rPr>
        <w:instrText xml:space="preserve"> HYPERLINK \l _Toc18112 </w:instrText>
      </w:r>
      <w:r>
        <w:rPr>
          <w:rFonts w:hint="eastAsia" w:ascii="方正公文小标宋" w:hAnsi="方正公文小标宋"/>
          <w:b w:val="0"/>
          <w:bCs w:val="0"/>
          <w:color w:val="000000" w:themeColor="text1"/>
          <w:szCs w:val="28"/>
          <w14:textFill>
            <w14:solidFill>
              <w14:schemeClr w14:val="tx1"/>
            </w14:solidFill>
          </w14:textFill>
        </w:rPr>
        <w:fldChar w:fldCharType="separate"/>
      </w:r>
      <w:r>
        <w:rPr>
          <w:rFonts w:hint="eastAsia" w:ascii="黑体" w:hAnsi="黑体" w:eastAsia="黑体" w:cs="黑体"/>
          <w:b w:val="0"/>
          <w:bCs w:val="0"/>
          <w:color w:val="000000" w:themeColor="text1"/>
          <w:szCs w:val="24"/>
          <w14:textFill>
            <w14:solidFill>
              <w14:schemeClr w14:val="tx1"/>
            </w14:solidFill>
          </w14:textFill>
        </w:rPr>
        <w:t>1 总  则</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_Toc18112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49</w:t>
      </w:r>
      <w:r>
        <w:rPr>
          <w:b w:val="0"/>
          <w:bCs w:val="0"/>
          <w:color w:val="000000" w:themeColor="text1"/>
          <w14:textFill>
            <w14:solidFill>
              <w14:schemeClr w14:val="tx1"/>
            </w14:solidFill>
          </w14:textFill>
        </w:rPr>
        <w:fldChar w:fldCharType="end"/>
      </w:r>
      <w:r>
        <w:rPr>
          <w:rFonts w:hint="eastAsia" w:ascii="方正公文小标宋" w:hAnsi="方正公文小标宋"/>
          <w:b w:val="0"/>
          <w:bCs w:val="0"/>
          <w:color w:val="000000" w:themeColor="text1"/>
          <w:szCs w:val="28"/>
          <w14:textFill>
            <w14:solidFill>
              <w14:schemeClr w14:val="tx1"/>
            </w14:solidFill>
          </w14:textFill>
        </w:rPr>
        <w:fldChar w:fldCharType="end"/>
      </w:r>
    </w:p>
    <w:p w14:paraId="5CEA6EF1">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_Toc1335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黑体" w:hAnsi="黑体" w:eastAsia="黑体" w:cs="黑体"/>
          <w:b w:val="0"/>
          <w:bCs w:val="0"/>
          <w:color w:val="000000" w:themeColor="text1"/>
          <w:szCs w:val="24"/>
          <w14:textFill>
            <w14:solidFill>
              <w14:schemeClr w14:val="tx1"/>
            </w14:solidFill>
          </w14:textFill>
        </w:rPr>
        <w:t>3 基本规定</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_Toc1335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50</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22F64742">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_Toc23858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黑体" w:hAnsi="黑体" w:eastAsia="黑体" w:cs="黑体"/>
          <w:b w:val="0"/>
          <w:bCs w:val="0"/>
          <w:color w:val="000000" w:themeColor="text1"/>
          <w:szCs w:val="24"/>
          <w14:textFill>
            <w14:solidFill>
              <w14:schemeClr w14:val="tx1"/>
            </w14:solidFill>
          </w14:textFill>
        </w:rPr>
        <w:t>4 规划选址</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_Toc23858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52</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741CF2DF">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_Toc28380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4.1 一般规定</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_Toc28380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52</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68833695">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_Toc24448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4.2 选址要求</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_Toc24448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52</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3350B963">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_Toc1374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4.3 规划</w:t>
      </w:r>
      <w:r>
        <w:rPr>
          <w:rFonts w:hint="eastAsia" w:ascii="宋体" w:hAnsi="宋体" w:eastAsia="宋体" w:cs="宋体"/>
          <w:b w:val="0"/>
          <w:bCs w:val="0"/>
          <w:color w:val="000000" w:themeColor="text1"/>
          <w:szCs w:val="24"/>
          <w:lang w:val="en-US" w:eastAsia="zh-CN"/>
          <w14:textFill>
            <w14:solidFill>
              <w14:schemeClr w14:val="tx1"/>
            </w14:solidFill>
          </w14:textFill>
        </w:rPr>
        <w:t>布局</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_Toc1374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52</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1BFDE280">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_Toc12889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4.4 场地设计</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_Toc12889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54</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453FD38F">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_Toc32214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黑体" w:hAnsi="黑体" w:eastAsia="黑体" w:cs="黑体"/>
          <w:b w:val="0"/>
          <w:bCs w:val="0"/>
          <w:color w:val="000000" w:themeColor="text1"/>
          <w:szCs w:val="24"/>
          <w14:textFill>
            <w14:solidFill>
              <w14:schemeClr w14:val="tx1"/>
            </w14:solidFill>
          </w14:textFill>
        </w:rPr>
        <w:t>5 设 计</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_Toc32214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56</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0847F899">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_Toc22915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5.1 一般规定</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_Toc22915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56</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304378F2">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_Toc11199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5.2 建筑设计</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_Toc11199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57</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549CC4C9">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_Toc26160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5.3 结构设计</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_Toc26160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63</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2E6A0C9E">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_Toc16540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5.4 给排水设计</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_Toc16540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64</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056E3F76">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_Toc31884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5.5 暖通空调设计</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_Toc31884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65</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3C23AF72">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_Toc28119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5.</w:t>
      </w:r>
      <w:r>
        <w:rPr>
          <w:rFonts w:hint="eastAsia" w:ascii="宋体" w:hAnsi="宋体" w:eastAsia="宋体" w:cs="宋体"/>
          <w:b w:val="0"/>
          <w:bCs w:val="0"/>
          <w:color w:val="000000" w:themeColor="text1"/>
          <w:szCs w:val="24"/>
          <w:lang w:val="en-US" w:eastAsia="zh-CN"/>
          <w14:textFill>
            <w14:solidFill>
              <w14:schemeClr w14:val="tx1"/>
            </w14:solidFill>
          </w14:textFill>
        </w:rPr>
        <w:t>6</w:t>
      </w:r>
      <w:r>
        <w:rPr>
          <w:rFonts w:hint="eastAsia" w:ascii="宋体" w:hAnsi="宋体" w:eastAsia="宋体" w:cs="宋体"/>
          <w:b w:val="0"/>
          <w:bCs w:val="0"/>
          <w:color w:val="000000" w:themeColor="text1"/>
          <w:szCs w:val="24"/>
          <w14:textFill>
            <w14:solidFill>
              <w14:schemeClr w14:val="tx1"/>
            </w14:solidFill>
          </w14:textFill>
        </w:rPr>
        <w:t xml:space="preserve"> </w:t>
      </w:r>
      <w:r>
        <w:rPr>
          <w:rFonts w:hint="eastAsia" w:ascii="宋体" w:hAnsi="宋体" w:eastAsia="宋体" w:cs="宋体"/>
          <w:b w:val="0"/>
          <w:bCs w:val="0"/>
          <w:color w:val="000000" w:themeColor="text1"/>
          <w:szCs w:val="24"/>
          <w:lang w:val="en-US" w:eastAsia="zh-CN"/>
          <w14:textFill>
            <w14:solidFill>
              <w14:schemeClr w14:val="tx1"/>
            </w14:solidFill>
          </w14:textFill>
        </w:rPr>
        <w:t>燃气</w:t>
      </w:r>
      <w:r>
        <w:rPr>
          <w:rFonts w:hint="eastAsia" w:ascii="宋体" w:hAnsi="宋体" w:eastAsia="宋体" w:cs="宋体"/>
          <w:b w:val="0"/>
          <w:bCs w:val="0"/>
          <w:color w:val="000000" w:themeColor="text1"/>
          <w:szCs w:val="24"/>
          <w14:textFill>
            <w14:solidFill>
              <w14:schemeClr w14:val="tx1"/>
            </w14:solidFill>
          </w14:textFill>
        </w:rPr>
        <w:t>设计</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_Toc28119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65</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24D8F8C7">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_Toc22166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5.</w:t>
      </w:r>
      <w:r>
        <w:rPr>
          <w:rFonts w:hint="eastAsia" w:ascii="宋体" w:hAnsi="宋体" w:eastAsia="宋体" w:cs="宋体"/>
          <w:b w:val="0"/>
          <w:bCs w:val="0"/>
          <w:color w:val="000000" w:themeColor="text1"/>
          <w:szCs w:val="24"/>
          <w:lang w:val="en-US" w:eastAsia="zh-CN"/>
          <w14:textFill>
            <w14:solidFill>
              <w14:schemeClr w14:val="tx1"/>
            </w14:solidFill>
          </w14:textFill>
        </w:rPr>
        <w:t>7</w:t>
      </w:r>
      <w:r>
        <w:rPr>
          <w:rFonts w:hint="eastAsia" w:ascii="宋体" w:hAnsi="宋体" w:eastAsia="宋体" w:cs="宋体"/>
          <w:b w:val="0"/>
          <w:bCs w:val="0"/>
          <w:color w:val="000000" w:themeColor="text1"/>
          <w:szCs w:val="24"/>
          <w14:textFill>
            <w14:solidFill>
              <w14:schemeClr w14:val="tx1"/>
            </w14:solidFill>
          </w14:textFill>
        </w:rPr>
        <w:t xml:space="preserve"> 供配电设计</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_Toc22166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65</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700AB54B">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_Toc8868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5.</w:t>
      </w:r>
      <w:r>
        <w:rPr>
          <w:rFonts w:hint="eastAsia" w:ascii="宋体" w:hAnsi="宋体" w:eastAsia="宋体" w:cs="宋体"/>
          <w:b w:val="0"/>
          <w:bCs w:val="0"/>
          <w:color w:val="000000" w:themeColor="text1"/>
          <w:szCs w:val="24"/>
          <w:lang w:val="en-US" w:eastAsia="zh-CN"/>
          <w14:textFill>
            <w14:solidFill>
              <w14:schemeClr w14:val="tx1"/>
            </w14:solidFill>
          </w14:textFill>
        </w:rPr>
        <w:t>8</w:t>
      </w:r>
      <w:r>
        <w:rPr>
          <w:rFonts w:hint="eastAsia" w:ascii="宋体" w:hAnsi="宋体" w:eastAsia="宋体" w:cs="宋体"/>
          <w:b w:val="0"/>
          <w:bCs w:val="0"/>
          <w:color w:val="000000" w:themeColor="text1"/>
          <w:szCs w:val="24"/>
          <w14:textFill>
            <w14:solidFill>
              <w14:schemeClr w14:val="tx1"/>
            </w14:solidFill>
          </w14:textFill>
        </w:rPr>
        <w:t xml:space="preserve"> 智能化设计</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_Toc8868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66</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52CCEB5A">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_Toc14087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5.</w:t>
      </w:r>
      <w:r>
        <w:rPr>
          <w:rFonts w:hint="eastAsia" w:ascii="宋体" w:hAnsi="宋体" w:eastAsia="宋体" w:cs="宋体"/>
          <w:b w:val="0"/>
          <w:bCs w:val="0"/>
          <w:color w:val="000000" w:themeColor="text1"/>
          <w:szCs w:val="24"/>
          <w:lang w:val="en-US" w:eastAsia="zh-CN"/>
          <w14:textFill>
            <w14:solidFill>
              <w14:schemeClr w14:val="tx1"/>
            </w14:solidFill>
          </w14:textFill>
        </w:rPr>
        <w:t>9</w:t>
      </w:r>
      <w:r>
        <w:rPr>
          <w:rFonts w:hint="eastAsia" w:ascii="宋体" w:hAnsi="宋体" w:eastAsia="宋体" w:cs="宋体"/>
          <w:b w:val="0"/>
          <w:bCs w:val="0"/>
          <w:color w:val="000000" w:themeColor="text1"/>
          <w:szCs w:val="24"/>
          <w14:textFill>
            <w14:solidFill>
              <w14:schemeClr w14:val="tx1"/>
            </w14:solidFill>
          </w14:textFill>
        </w:rPr>
        <w:t xml:space="preserve"> 室内环境及装饰装修设计</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_Toc14087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67</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57DDAAA9">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_Toc11754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5.</w:t>
      </w:r>
      <w:r>
        <w:rPr>
          <w:rFonts w:hint="eastAsia" w:ascii="宋体" w:hAnsi="宋体" w:eastAsia="宋体" w:cs="宋体"/>
          <w:b w:val="0"/>
          <w:bCs w:val="0"/>
          <w:color w:val="000000" w:themeColor="text1"/>
          <w:szCs w:val="24"/>
          <w:lang w:val="en-US" w:eastAsia="zh-CN"/>
          <w14:textFill>
            <w14:solidFill>
              <w14:schemeClr w14:val="tx1"/>
            </w14:solidFill>
          </w14:textFill>
        </w:rPr>
        <w:t xml:space="preserve">10 </w:t>
      </w:r>
      <w:r>
        <w:rPr>
          <w:rFonts w:hint="eastAsia" w:ascii="宋体" w:hAnsi="宋体" w:eastAsia="宋体" w:cs="宋体"/>
          <w:b w:val="0"/>
          <w:bCs w:val="0"/>
          <w:color w:val="000000" w:themeColor="text1"/>
          <w:szCs w:val="24"/>
          <w14:textFill>
            <w14:solidFill>
              <w14:schemeClr w14:val="tx1"/>
            </w14:solidFill>
          </w14:textFill>
        </w:rPr>
        <w:t>可再生能源利用</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_Toc11754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69</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6C624B23">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_Toc5130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黑体" w:hAnsi="黑体" w:eastAsia="黑体" w:cs="黑体"/>
          <w:b w:val="0"/>
          <w:bCs w:val="0"/>
          <w:color w:val="000000" w:themeColor="text1"/>
          <w:szCs w:val="24"/>
          <w14:textFill>
            <w14:solidFill>
              <w14:schemeClr w14:val="tx1"/>
            </w14:solidFill>
          </w14:textFill>
        </w:rPr>
        <w:t>6 建造</w:t>
      </w:r>
      <w:r>
        <w:rPr>
          <w:rFonts w:hint="eastAsia" w:ascii="黑体" w:hAnsi="黑体" w:eastAsia="黑体" w:cs="黑体"/>
          <w:b w:val="0"/>
          <w:bCs w:val="0"/>
          <w:color w:val="000000" w:themeColor="text1"/>
          <w:szCs w:val="24"/>
          <w:lang w:val="en-US" w:eastAsia="zh-CN"/>
          <w14:textFill>
            <w14:solidFill>
              <w14:schemeClr w14:val="tx1"/>
            </w14:solidFill>
          </w14:textFill>
        </w:rPr>
        <w:t>与验收</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_Toc5130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70</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383A38EE">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_Toc3200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6.1 一般规定</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_Toc3200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70</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5919FFD5">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_Toc16655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6.2</w:t>
      </w:r>
      <w:r>
        <w:rPr>
          <w:rFonts w:hint="eastAsia" w:ascii="宋体" w:hAnsi="宋体" w:eastAsia="宋体" w:cs="宋体"/>
          <w:b w:val="0"/>
          <w:bCs w:val="0"/>
          <w:color w:val="000000" w:themeColor="text1"/>
          <w:szCs w:val="24"/>
          <w:lang w:val="en-US" w:eastAsia="zh-CN"/>
          <w14:textFill>
            <w14:solidFill>
              <w14:schemeClr w14:val="tx1"/>
            </w14:solidFill>
          </w14:textFill>
        </w:rPr>
        <w:t xml:space="preserve"> </w:t>
      </w:r>
      <w:r>
        <w:rPr>
          <w:rFonts w:hint="eastAsia" w:ascii="宋体" w:hAnsi="宋体" w:eastAsia="宋体" w:cs="宋体"/>
          <w:b w:val="0"/>
          <w:bCs w:val="0"/>
          <w:color w:val="000000" w:themeColor="text1"/>
          <w:szCs w:val="24"/>
          <w14:textFill>
            <w14:solidFill>
              <w14:schemeClr w14:val="tx1"/>
            </w14:solidFill>
          </w14:textFill>
        </w:rPr>
        <w:t>材料与设备</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_Toc16655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71</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5A2544B1">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_Toc11837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14:textFill>
            <w14:solidFill>
              <w14:schemeClr w14:val="tx1"/>
            </w14:solidFill>
          </w14:textFill>
        </w:rPr>
        <w:t>6.3</w:t>
      </w:r>
      <w:r>
        <w:rPr>
          <w:rFonts w:hint="eastAsia" w:ascii="宋体" w:hAnsi="宋体" w:eastAsia="宋体" w:cs="宋体"/>
          <w:b w:val="0"/>
          <w:bCs w:val="0"/>
          <w:color w:val="000000" w:themeColor="text1"/>
          <w:szCs w:val="24"/>
          <w:lang w:val="en-US" w:eastAsia="zh-CN"/>
          <w14:textFill>
            <w14:solidFill>
              <w14:schemeClr w14:val="tx1"/>
            </w14:solidFill>
          </w14:textFill>
        </w:rPr>
        <w:t xml:space="preserve"> </w:t>
      </w:r>
      <w:r>
        <w:rPr>
          <w:rFonts w:hint="eastAsia" w:ascii="宋体" w:hAnsi="宋体" w:eastAsia="宋体" w:cs="宋体"/>
          <w:b w:val="0"/>
          <w:bCs w:val="0"/>
          <w:color w:val="000000" w:themeColor="text1"/>
          <w:szCs w:val="24"/>
          <w14:textFill>
            <w14:solidFill>
              <w14:schemeClr w14:val="tx1"/>
            </w14:solidFill>
          </w14:textFill>
        </w:rPr>
        <w:t>施工管理</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_Toc11837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74</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13496E6A">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_Toc22543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lang w:val="en-US" w:eastAsia="zh-CN"/>
          <w14:textFill>
            <w14:solidFill>
              <w14:schemeClr w14:val="tx1"/>
            </w14:solidFill>
          </w14:textFill>
        </w:rPr>
        <w:t>6.4 绿色施工</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_Toc22543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76</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535CE19C">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_Toc4275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lang w:val="en-US" w:eastAsia="zh-CN"/>
          <w14:textFill>
            <w14:solidFill>
              <w14:schemeClr w14:val="tx1"/>
            </w14:solidFill>
          </w14:textFill>
        </w:rPr>
        <w:t>6.5 质量控制与验收</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_Toc4275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77</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1063958A">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_Toc26092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黑体" w:hAnsi="黑体" w:eastAsia="黑体" w:cs="黑体"/>
          <w:b w:val="0"/>
          <w:bCs w:val="0"/>
          <w:color w:val="000000" w:themeColor="text1"/>
          <w:szCs w:val="24"/>
          <w14:textFill>
            <w14:solidFill>
              <w14:schemeClr w14:val="tx1"/>
            </w14:solidFill>
          </w14:textFill>
        </w:rPr>
        <w:t>7 运</w:t>
      </w:r>
      <w:r>
        <w:rPr>
          <w:rFonts w:hint="eastAsia" w:ascii="黑体" w:hAnsi="黑体" w:eastAsia="黑体" w:cs="黑体"/>
          <w:b w:val="0"/>
          <w:bCs w:val="0"/>
          <w:color w:val="000000" w:themeColor="text1"/>
          <w:szCs w:val="24"/>
          <w:lang w:val="en-US" w:eastAsia="zh-CN"/>
          <w14:textFill>
            <w14:solidFill>
              <w14:schemeClr w14:val="tx1"/>
            </w14:solidFill>
          </w14:textFill>
        </w:rPr>
        <w:t>维</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_Toc26092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84</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7DBC57DF">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_Toc17542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lang w:val="en-US" w:eastAsia="zh-CN"/>
          <w14:textFill>
            <w14:solidFill>
              <w14:schemeClr w14:val="tx1"/>
            </w14:solidFill>
          </w14:textFill>
        </w:rPr>
        <w:t>7.1 一般规定</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_Toc17542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84</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727F54DF">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_Toc15061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lang w:val="en-US" w:eastAsia="zh-CN"/>
          <w14:textFill>
            <w14:solidFill>
              <w14:schemeClr w14:val="tx1"/>
            </w14:solidFill>
          </w14:textFill>
        </w:rPr>
        <w:t>7.2 物业管理</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_Toc15061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84</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48ED2776">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_Toc23235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lang w:val="en-US" w:eastAsia="zh-CN"/>
          <w14:textFill>
            <w14:solidFill>
              <w14:schemeClr w14:val="tx1"/>
            </w14:solidFill>
          </w14:textFill>
        </w:rPr>
        <w:t>7.3 共用管理</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_Toc23235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86</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48945736">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_Toc1754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lang w:val="en-US" w:eastAsia="zh-CN"/>
          <w14:textFill>
            <w14:solidFill>
              <w14:schemeClr w14:val="tx1"/>
            </w14:solidFill>
          </w14:textFill>
        </w:rPr>
        <w:t>7.4 智慧化建设</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_Toc1754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88</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6B5A80D4">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_Toc24993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lang w:val="en-US" w:eastAsia="zh-CN"/>
          <w14:textFill>
            <w14:solidFill>
              <w14:schemeClr w14:val="tx1"/>
            </w14:solidFill>
          </w14:textFill>
        </w:rPr>
        <w:t>7.5 社区服务</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_Toc24993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89</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333CF59E">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_Toc27669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lang w:val="en-US" w:eastAsia="zh-CN"/>
          <w14:textFill>
            <w14:solidFill>
              <w14:schemeClr w14:val="tx1"/>
            </w14:solidFill>
          </w14:textFill>
        </w:rPr>
        <w:t>7.6 生活服务</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_Toc27669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90</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60982CDC">
      <w:pPr>
        <w:pStyle w:val="13"/>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_Toc5263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黑体" w:hAnsi="黑体" w:eastAsia="黑体" w:cs="黑体"/>
          <w:b w:val="0"/>
          <w:bCs w:val="0"/>
          <w:color w:val="000000" w:themeColor="text1"/>
          <w:szCs w:val="24"/>
          <w14:textFill>
            <w14:solidFill>
              <w14:schemeClr w14:val="tx1"/>
            </w14:solidFill>
          </w14:textFill>
        </w:rPr>
        <w:t>8 既有建筑改造</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_Toc5263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91</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77CB47C4">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_Toc15116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lang w:val="en-US" w:eastAsia="zh-CN"/>
          <w14:textFill>
            <w14:solidFill>
              <w14:schemeClr w14:val="tx1"/>
            </w14:solidFill>
          </w14:textFill>
        </w:rPr>
        <w:t>8.1 基本规定</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_Toc15116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91</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54A473E3">
      <w:pPr>
        <w:pStyle w:val="16"/>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b w:val="0"/>
          <w:bCs w:val="0"/>
          <w:color w:val="000000" w:themeColor="text1"/>
          <w14:textFill>
            <w14:solidFill>
              <w14:schemeClr w14:val="tx1"/>
            </w14:solidFill>
          </w14:textFill>
        </w:rPr>
      </w:pP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begin"/>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instrText xml:space="preserve"> HYPERLINK \l _Toc16772 </w:instrText>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separate"/>
      </w:r>
      <w:r>
        <w:rPr>
          <w:rFonts w:hint="eastAsia" w:ascii="宋体" w:hAnsi="宋体" w:eastAsia="宋体" w:cs="宋体"/>
          <w:b w:val="0"/>
          <w:bCs w:val="0"/>
          <w:color w:val="000000" w:themeColor="text1"/>
          <w:szCs w:val="24"/>
          <w:lang w:val="en-US" w:eastAsia="zh-CN"/>
          <w14:textFill>
            <w14:solidFill>
              <w14:schemeClr w14:val="tx1"/>
            </w14:solidFill>
          </w14:textFill>
        </w:rPr>
        <w:t>8.2 改造建筑全流程技术规定</w:t>
      </w:r>
      <w:r>
        <w:rPr>
          <w:b w:val="0"/>
          <w:bCs w:val="0"/>
          <w:color w:val="000000" w:themeColor="text1"/>
          <w14:textFill>
            <w14:solidFill>
              <w14:schemeClr w14:val="tx1"/>
            </w14:solidFill>
          </w14:textFill>
        </w:rPr>
        <w:tab/>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PAGEREF _Toc16772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91</w:t>
      </w:r>
      <w:r>
        <w:rPr>
          <w:b w:val="0"/>
          <w:bCs w:val="0"/>
          <w:color w:val="000000" w:themeColor="text1"/>
          <w14:textFill>
            <w14:solidFill>
              <w14:schemeClr w14:val="tx1"/>
            </w14:solidFill>
          </w14:textFill>
        </w:rPr>
        <w:fldChar w:fldCharType="end"/>
      </w:r>
      <w:r>
        <w:rPr>
          <w:rFonts w:hint="eastAsia" w:ascii="方正公文小标宋" w:hAnsi="方正公文小标宋" w:eastAsia="方正公文小标宋" w:cs="方正公文小标宋"/>
          <w:b w:val="0"/>
          <w:bCs w:val="0"/>
          <w:color w:val="000000" w:themeColor="text1"/>
          <w:szCs w:val="28"/>
          <w14:textFill>
            <w14:solidFill>
              <w14:schemeClr w14:val="tx1"/>
            </w14:solidFill>
          </w14:textFill>
        </w:rPr>
        <w:fldChar w:fldCharType="end"/>
      </w:r>
    </w:p>
    <w:p w14:paraId="221F3A0B">
      <w:pPr>
        <w:snapToGrid w:val="0"/>
        <w:spacing w:line="480" w:lineRule="exact"/>
        <w:ind w:firstLine="640"/>
        <w:outlineLvl w:val="2"/>
        <w:rPr>
          <w:rFonts w:hint="eastAsia" w:ascii="方正公文小标宋" w:hAnsi="方正公文小标宋" w:eastAsia="方正公文小标宋" w:cs="方正公文小标宋"/>
          <w:color w:val="000000" w:themeColor="text1"/>
          <w:sz w:val="24"/>
          <w:szCs w:val="24"/>
          <w14:textFill>
            <w14:solidFill>
              <w14:schemeClr w14:val="tx1"/>
            </w14:solidFill>
          </w14:textFill>
        </w:rPr>
        <w:sectPr>
          <w:footerReference r:id="rId6" w:type="default"/>
          <w:pgSz w:w="11906" w:h="16838"/>
          <w:pgMar w:top="1440" w:right="1800" w:bottom="1440" w:left="1800" w:header="851" w:footer="907" w:gutter="0"/>
          <w:pgBorders>
            <w:top w:val="none" w:sz="0" w:space="0"/>
            <w:left w:val="none" w:sz="0" w:space="0"/>
            <w:bottom w:val="none" w:sz="0" w:space="0"/>
            <w:right w:val="none" w:sz="0" w:space="0"/>
          </w:pgBorders>
          <w:pgNumType w:fmt="decimal" w:start="1"/>
          <w:cols w:space="720" w:num="1"/>
          <w:docGrid w:type="linesAndChars" w:linePitch="312" w:charSpace="0"/>
        </w:sectPr>
      </w:pPr>
      <w:r>
        <w:rPr>
          <w:rFonts w:hint="eastAsia" w:ascii="方正公文小标宋" w:hAnsi="方正公文小标宋" w:eastAsia="方正公文小标宋" w:cs="方正公文小标宋"/>
          <w:color w:val="000000" w:themeColor="text1"/>
          <w:szCs w:val="28"/>
          <w14:textFill>
            <w14:solidFill>
              <w14:schemeClr w14:val="tx1"/>
            </w14:solidFill>
          </w14:textFill>
        </w:rPr>
        <w:fldChar w:fldCharType="end"/>
      </w:r>
    </w:p>
    <w:p w14:paraId="3E7AD250">
      <w:pPr>
        <w:pStyle w:val="2"/>
        <w:ind w:firstLine="643"/>
        <w:jc w:val="center"/>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1 总  则</w:t>
      </w:r>
    </w:p>
    <w:p w14:paraId="4E18D95D">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p>
    <w:p w14:paraId="09CE105E">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1.0.1 </w:t>
      </w:r>
      <w:r>
        <w:rPr>
          <w:rFonts w:hint="default" w:ascii="仿宋" w:hAnsi="仿宋" w:cs="仿宋"/>
          <w:color w:val="000000" w:themeColor="text1"/>
          <w:sz w:val="24"/>
          <w:szCs w:val="24"/>
          <w:lang w:val="en-US" w:eastAsia="zh-CN"/>
          <w14:textFill>
            <w14:solidFill>
              <w14:schemeClr w14:val="tx1"/>
            </w14:solidFill>
          </w14:textFill>
        </w:rPr>
        <w:t>为全面贯彻党的二十大精神，深入践行中共山西省委的部署要求，我们以人民群众对优质住房的期待、对美好人居环境的向往为核心目标，聚焦群众需求，突出品质提升，强化服务质量，以“让人民群众住上更好的房子”为宗旨，坚持以人为本，遵循“绿色、低碳、智能、安全”的建筑方针，结合我省气候、环境、资源、经济与文化特点，特制定本标准。</w:t>
      </w:r>
    </w:p>
    <w:p w14:paraId="6A9B1A5F">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1.0.2 </w:t>
      </w:r>
      <w:r>
        <w:rPr>
          <w:rFonts w:hint="eastAsia" w:ascii="仿宋" w:hAnsi="仿宋" w:cs="仿宋"/>
          <w:color w:val="000000" w:themeColor="text1"/>
          <w:sz w:val="24"/>
          <w:szCs w:val="24"/>
          <w:lang w:val="en-US" w:eastAsia="zh-CN"/>
          <w14:textFill>
            <w14:solidFill>
              <w14:schemeClr w14:val="tx1"/>
            </w14:solidFill>
          </w14:textFill>
        </w:rPr>
        <w:t>本标准适用范围涵盖新建好房子（含商品房、保障房）和既有住宅建筑改造为好房子两类项目的规划、设计、建造、运维全过程，同时针对评价对象作出区分：因既有建筑受建设年代、结构形式等客观条件限制，难以完全匹配新建项目指标，故仅对新建好房子（含新建商品房、新建保障房）设定等级评价标准，既有建筑改造项目只需在改造过程中遵循本标准的全流程要求，不单独设定等级评价。</w:t>
      </w:r>
    </w:p>
    <w:p w14:paraId="082ADEF9">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p>
    <w:p w14:paraId="21AE4AD7">
      <w:pPr>
        <w:snapToGrid w:val="0"/>
        <w:spacing w:line="360" w:lineRule="auto"/>
        <w:ind w:firstLine="64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br w:type="page"/>
      </w:r>
    </w:p>
    <w:p w14:paraId="3D056C52">
      <w:pPr>
        <w:pStyle w:val="2"/>
        <w:ind w:firstLine="643"/>
        <w:jc w:val="center"/>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3 基本规定</w:t>
      </w:r>
    </w:p>
    <w:p w14:paraId="5C711978">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p>
    <w:p w14:paraId="0D713D05">
      <w:pPr>
        <w:snapToGrid w:val="0"/>
        <w:spacing w:line="360" w:lineRule="auto"/>
        <w:ind w:firstLine="0" w:firstLineChars="0"/>
        <w:rPr>
          <w:rFonts w:hint="default"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3.0.1</w:t>
      </w:r>
      <w:r>
        <w:rPr>
          <w:rFonts w:hint="eastAsia" w:ascii="仿宋" w:hAnsi="仿宋" w:cs="仿宋"/>
          <w:color w:val="000000" w:themeColor="text1"/>
          <w:sz w:val="24"/>
          <w:szCs w:val="24"/>
          <w:lang w:val="en-US" w:eastAsia="zh-CN"/>
          <w14:textFill>
            <w14:solidFill>
              <w14:schemeClr w14:val="tx1"/>
            </w14:solidFill>
          </w14:textFill>
        </w:rPr>
        <w:t>本章中3.0.1-3.0.7条文均为好房子建设必须执行的底线条文。《住宅项目规范》GB55038已明确指出住宅建设以安全、舒适、绿色、智慧为目标，本标准以国家政策和《住宅项目规范》GB55038为基础，同时考虑到山西省内不同地区在气候、环境、资源、经济发展水平及文化特色上的差异，要求在设计、建造、运维各环节结合地域特点，确保好房子建设符合山西各地实际情况，更具落地性与适用性。</w:t>
      </w:r>
    </w:p>
    <w:p w14:paraId="04242015">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3.0.2</w:t>
      </w:r>
      <w:r>
        <w:rPr>
          <w:rFonts w:hint="eastAsia" w:ascii="仿宋" w:hAnsi="仿宋" w:cs="仿宋"/>
          <w:color w:val="000000" w:themeColor="text1"/>
          <w:sz w:val="24"/>
          <w:szCs w:val="24"/>
          <w:lang w:val="en-US" w:eastAsia="zh-CN"/>
          <w14:textFill>
            <w14:solidFill>
              <w14:schemeClr w14:val="tx1"/>
            </w14:solidFill>
          </w14:textFill>
        </w:rPr>
        <w:t>全寿命期管理旨在解决建筑行业常见的“设计与运维脱节”问题，减少资源浪费和环境负担。据统计，建筑全生命周期成本中，运维阶段占比高达60%～80%，而早期设计、建造不当常导致后期维修频繁。通过贯穿各环节的整合管理，可提升建筑耐久性，降低碳排放，并为住户提供长期舒适体验。</w:t>
      </w:r>
    </w:p>
    <w:p w14:paraId="72E1B349">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3.0.3</w:t>
      </w:r>
      <w:r>
        <w:rPr>
          <w:rFonts w:hint="eastAsia" w:ascii="仿宋" w:hAnsi="仿宋" w:cs="仿宋"/>
          <w:color w:val="000000" w:themeColor="text1"/>
          <w:sz w:val="24"/>
          <w:szCs w:val="24"/>
          <w:lang w:val="en-US" w:eastAsia="zh-CN"/>
          <w14:textFill>
            <w14:solidFill>
              <w14:schemeClr w14:val="tx1"/>
            </w14:solidFill>
          </w14:textFill>
        </w:rPr>
        <w:t>本条文直接关系居住者的身体健康与生活舒适度。室内空气质量需控制甲醛、苯等有害气体浓度，保障呼吸健康；声环境要求降低室内外噪声干扰；光环境需保证充足的自然采光与合理的人工照明，避免强光刺眼或光线不足；热湿环境则要求维持适宜的室内温度与湿度，如通过保温隔热材料与通风系统实现，这些要求是保障住宅 “宜居” 的基础前提。</w:t>
      </w:r>
    </w:p>
    <w:p w14:paraId="7A3FE3E9">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3.0.4</w:t>
      </w:r>
      <w:r>
        <w:rPr>
          <w:rFonts w:hint="eastAsia" w:ascii="仿宋" w:hAnsi="仿宋" w:cs="仿宋"/>
          <w:color w:val="000000" w:themeColor="text1"/>
          <w:sz w:val="24"/>
          <w:szCs w:val="24"/>
          <w:lang w:val="en-US" w:eastAsia="zh-CN"/>
          <w14:textFill>
            <w14:solidFill>
              <w14:schemeClr w14:val="tx1"/>
            </w14:solidFill>
          </w14:textFill>
        </w:rPr>
        <w:t>本条文呼应国家“双碳”目标与山西绿色发展需求。合理应用节能技术（如高效保温墙体、节能门窗）、节水技术（如节水洁具、雨水回收系统）及可再生能源（如太阳能、地热能，结合山西光照与地质条件合理利用），可减少建筑全周期的能源与水资源消耗；同时，将这些低碳技术与建筑工业化（如装配式建造）、数字化（如能耗监测系统）、绿色化（如绿色建材应用）相结合，形成协同效应，进一步提升建筑的低碳水平与综合性能。</w:t>
      </w:r>
    </w:p>
    <w:p w14:paraId="20DA79BD">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3.0.5</w:t>
      </w:r>
      <w:r>
        <w:rPr>
          <w:rFonts w:hint="eastAsia" w:ascii="仿宋" w:hAnsi="仿宋" w:cs="仿宋"/>
          <w:color w:val="000000" w:themeColor="text1"/>
          <w:sz w:val="24"/>
          <w:szCs w:val="24"/>
          <w:lang w:val="en-US" w:eastAsia="zh-CN"/>
          <w14:textFill>
            <w14:solidFill>
              <w14:schemeClr w14:val="tx1"/>
            </w14:solidFill>
          </w14:textFill>
        </w:rPr>
        <w:t>本条文覆盖居住者面临的各类安全风险场景。</w:t>
      </w:r>
    </w:p>
    <w:p w14:paraId="043DF8E0">
      <w:pPr>
        <w:snapToGrid w:val="0"/>
        <w:spacing w:line="360" w:lineRule="auto"/>
        <w:ind w:firstLine="0" w:firstLineChars="0"/>
        <w:rPr>
          <w:rFonts w:hint="default"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3.0.7</w:t>
      </w:r>
      <w:r>
        <w:rPr>
          <w:rFonts w:hint="eastAsia" w:ascii="仿宋" w:hAnsi="仿宋" w:cs="仿宋"/>
          <w:color w:val="000000" w:themeColor="text1"/>
          <w:sz w:val="24"/>
          <w:szCs w:val="24"/>
          <w:lang w:val="en-US" w:eastAsia="zh-CN"/>
          <w14:textFill>
            <w14:solidFill>
              <w14:schemeClr w14:val="tx1"/>
            </w14:solidFill>
          </w14:textFill>
        </w:rPr>
        <w:t>本条设定紧密衔接山西省绿色建筑发展相关政策要求。2022 年 9 月 28 日，山西省第十三届人民代表大会常务委员会第三十七次会议通过的《山西省绿色建筑发展条例》明确规定，新建城镇民用建筑需按绿色建筑标准建设，且鼓励除公共建筑外的其他民用建筑采用一星级以上等级标准；此后，太原、大同、晋城、临汾等地市进一步细化要求，明确十万平m以上住宅小区需执行绿建一星级标准。基于此，好房子住宅建设在地方现有要求基础上适当提升标准，明确所有新建项目无论面积大小，均需满足绿建一星级及以上要求，并鼓励达到超低能耗建筑标准；而既有建筑改造项目因现状条件复杂（如结构限制、改造空间有限等），暂不对其绿建星级作出强制要求。</w:t>
      </w:r>
    </w:p>
    <w:p w14:paraId="77E41E23">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3.0.8</w:t>
      </w:r>
      <w:r>
        <w:rPr>
          <w:rFonts w:hint="eastAsia" w:ascii="仿宋" w:hAnsi="仿宋" w:cs="仿宋"/>
          <w:color w:val="000000" w:themeColor="text1"/>
          <w:sz w:val="24"/>
          <w:szCs w:val="24"/>
          <w:lang w:val="en-US" w:eastAsia="zh-CN"/>
          <w14:textFill>
            <w14:solidFill>
              <w14:schemeClr w14:val="tx1"/>
            </w14:solidFill>
          </w14:textFill>
        </w:rPr>
        <w:t>本条文旨在推广建筑信息化技术在好房子建设中的应用。建筑信息模型（BIM）技术可贯穿设计、生产、建造、交付、运行维护全过程，能提升各环节的效率与精准度，减少设计失误与施工浪费；因考虑到部分项目可能存在技术应用成本或能力限制，故设为推荐性条文，鼓励有条件的项目优先采用，逐步推动行业技术升级。</w:t>
      </w:r>
    </w:p>
    <w:p w14:paraId="422ED5A5">
      <w:pPr>
        <w:snapToGrid w:val="0"/>
        <w:spacing w:line="360" w:lineRule="auto"/>
        <w:ind w:firstLine="0" w:firstLineChars="0"/>
        <w:rPr>
          <w:rFonts w:hint="default"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3.0.9</w:t>
      </w:r>
      <w:r>
        <w:rPr>
          <w:rFonts w:hint="eastAsia" w:ascii="仿宋" w:hAnsi="仿宋" w:cs="仿宋"/>
          <w:color w:val="000000" w:themeColor="text1"/>
          <w:sz w:val="24"/>
          <w:szCs w:val="24"/>
          <w:lang w:val="en-US" w:eastAsia="zh-CN"/>
          <w14:textFill>
            <w14:solidFill>
              <w14:schemeClr w14:val="tx1"/>
            </w14:solidFill>
          </w14:textFill>
        </w:rPr>
        <w:t>随着住区智能化发展，个人信息录入、人脸识别等功能在管理平台中应用日益广泛，在提升居住便利性的同时，个人信息泄露、滥用风险也随之增加，因此需将信息安全保护作为智能化应用的底线要求，确保 “智能” 与 “安全” 同步落地。</w:t>
      </w:r>
    </w:p>
    <w:p w14:paraId="4D5BC084">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br w:type="page"/>
      </w:r>
    </w:p>
    <w:p w14:paraId="65862E63">
      <w:pPr>
        <w:pStyle w:val="2"/>
        <w:ind w:firstLine="643"/>
        <w:jc w:val="center"/>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4 规划选址</w:t>
      </w:r>
    </w:p>
    <w:p w14:paraId="4422EED0">
      <w:pPr>
        <w:pStyle w:val="3"/>
        <w:ind w:firstLine="643"/>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4.1 一般规定</w:t>
      </w:r>
    </w:p>
    <w:p w14:paraId="6A07859F">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4.1.1 本条是</w:t>
      </w:r>
      <w:r>
        <w:rPr>
          <w:rFonts w:hint="eastAsia" w:ascii="仿宋" w:hAnsi="仿宋" w:cs="仿宋"/>
          <w:color w:val="000000" w:themeColor="text1"/>
          <w:sz w:val="24"/>
          <w:szCs w:val="24"/>
          <w:lang w:val="en-US" w:eastAsia="zh-CN"/>
          <w14:textFill>
            <w14:solidFill>
              <w14:schemeClr w14:val="tx1"/>
            </w14:solidFill>
          </w14:textFill>
        </w:rPr>
        <w:t>好房子</w:t>
      </w:r>
      <w:r>
        <w:rPr>
          <w:rFonts w:hint="eastAsia" w:ascii="仿宋" w:hAnsi="仿宋" w:cs="仿宋"/>
          <w:color w:val="000000" w:themeColor="text1"/>
          <w:sz w:val="24"/>
          <w:szCs w:val="24"/>
          <w14:textFill>
            <w14:solidFill>
              <w14:schemeClr w14:val="tx1"/>
            </w14:solidFill>
          </w14:textFill>
        </w:rPr>
        <w:t>住宅建设的基本原则。山西省南北跨度大，气候、地形地貌及工程地质条件复杂多样，如晋北寒冷地区、晋中黄土高原、晋南盆地以及广泛的煤矿采空区、湿陷性黄土区等。本条强调规划选址必须深入分析这些自然条件，避免地质灾害易发区和生态敏感区域，实现与自然和谐共生。</w:t>
      </w:r>
    </w:p>
    <w:p w14:paraId="7CDA364D">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4.1.2 </w:t>
      </w:r>
      <w:r>
        <w:rPr>
          <w:rFonts w:hint="eastAsia" w:ascii="仿宋" w:hAnsi="仿宋" w:cs="仿宋"/>
          <w:color w:val="000000" w:themeColor="text1"/>
          <w:sz w:val="24"/>
          <w:szCs w:val="24"/>
          <w:lang w:val="en-US" w:eastAsia="zh-CN"/>
          <w14:textFill>
            <w14:solidFill>
              <w14:schemeClr w14:val="tx1"/>
            </w14:solidFill>
          </w14:textFill>
        </w:rPr>
        <w:t>本条旨在强化住宅建筑的城市属性，避免“千城一面”。要求住宅的体量、高度、界面、色彩和材质与所在区域的城乡风貌相协调。执行中应遵循各地市城市规划管理规定，确保建筑体量、高度、材质与城市风貌统一。</w:t>
      </w:r>
    </w:p>
    <w:p w14:paraId="665FEDC6">
      <w:pPr>
        <w:snapToGrid w:val="0"/>
        <w:spacing w:line="360" w:lineRule="auto"/>
        <w:ind w:firstLine="0" w:firstLineChars="0"/>
        <w:rPr>
          <w:rFonts w:ascii="仿宋" w:hAnsi="仿宋" w:cs="仿宋"/>
          <w:color w:val="000000" w:themeColor="text1"/>
          <w:sz w:val="24"/>
          <w:szCs w:val="24"/>
          <w14:textFill>
            <w14:solidFill>
              <w14:schemeClr w14:val="tx1"/>
            </w14:solidFill>
          </w14:textFill>
        </w:rPr>
      </w:pPr>
    </w:p>
    <w:p w14:paraId="424986A1">
      <w:pPr>
        <w:pStyle w:val="3"/>
        <w:ind w:firstLine="643"/>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4.2 选址要求</w:t>
      </w:r>
    </w:p>
    <w:p w14:paraId="28DFEBDA">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4.2.3 </w:t>
      </w:r>
      <w:r>
        <w:rPr>
          <w:rFonts w:hint="eastAsia" w:ascii="仿宋" w:hAnsi="仿宋" w:cs="仿宋"/>
          <w:color w:val="000000" w:themeColor="text1"/>
          <w:sz w:val="24"/>
          <w:szCs w:val="24"/>
          <w:lang w:val="en-US" w:eastAsia="zh-CN"/>
          <w14:textFill>
            <w14:solidFill>
              <w14:schemeClr w14:val="tx1"/>
            </w14:solidFill>
          </w14:textFill>
        </w:rPr>
        <w:t>本条是对4.1.3条的深化和补充，重点强调教育、医疗、商业、文化等核心公共服务设施的空间可达性。将公共服务设施与住区紧密结合，确保在规划中同步落实用地和建设计划。此举旨在解决“上学远”“看病难”等民生问题，是构建完整社区、提升居民生活品质的关键。</w:t>
      </w:r>
    </w:p>
    <w:p w14:paraId="6F1B33BB">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p>
    <w:p w14:paraId="6CBEF5E4">
      <w:pPr>
        <w:pStyle w:val="3"/>
        <w:ind w:firstLine="643"/>
        <w:jc w:val="center"/>
        <w:rPr>
          <w:rFonts w:hint="eastAsia" w:eastAsia="仿宋"/>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4.3 规划</w:t>
      </w:r>
      <w:r>
        <w:rPr>
          <w:rFonts w:hint="eastAsia"/>
          <w:color w:val="000000" w:themeColor="text1"/>
          <w:sz w:val="24"/>
          <w:szCs w:val="24"/>
          <w:lang w:val="en-US" w:eastAsia="zh-CN"/>
          <w14:textFill>
            <w14:solidFill>
              <w14:schemeClr w14:val="tx1"/>
            </w14:solidFill>
          </w14:textFill>
        </w:rPr>
        <w:t>布局</w:t>
      </w:r>
    </w:p>
    <w:p w14:paraId="42612EB4">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4.3.2 住区的建设强度既要符合节约集约利用土地的原则，又要体现居住舒适的要求。控制住区用地容积率以限制居住环境强度过大。</w:t>
      </w:r>
    </w:p>
    <w:p w14:paraId="45971DB5">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4.3.3 本条通过控制建筑高宽比和面宽，旨在改善住区的空间尺度感，避免形成“墙式”布局，有利于日照、通风和视野的通透。这是提升居住空间物理环境舒适度的重要技术措施。</w:t>
      </w:r>
    </w:p>
    <w:p w14:paraId="51BDF2FD">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4.3.4</w:t>
      </w:r>
      <w:r>
        <w:rPr>
          <w:rFonts w:hint="eastAsia" w:ascii="仿宋" w:hAnsi="仿宋" w:cs="仿宋"/>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lang w:val="en-US" w:eastAsia="zh-CN"/>
          <w14:textFill>
            <w14:solidFill>
              <w14:schemeClr w14:val="tx1"/>
            </w14:solidFill>
          </w14:textFill>
        </w:rPr>
        <w:t>本条是</w:t>
      </w:r>
      <w:r>
        <w:rPr>
          <w:rFonts w:hint="default" w:ascii="仿宋" w:hAnsi="仿宋" w:cs="仿宋"/>
          <w:color w:val="000000" w:themeColor="text1"/>
          <w:sz w:val="24"/>
          <w:szCs w:val="24"/>
          <w:lang w:val="en-US" w:eastAsia="zh-CN"/>
          <w14:textFill>
            <w14:solidFill>
              <w14:schemeClr w14:val="tx1"/>
            </w14:solidFill>
          </w14:textFill>
        </w:rPr>
        <w:t>在《住宅项目规范》GB 55036-2022第6.2.1条</w:t>
      </w:r>
      <w:r>
        <w:rPr>
          <w:rFonts w:hint="eastAsia" w:ascii="仿宋" w:hAnsi="仿宋" w:cs="仿宋"/>
          <w:color w:val="000000" w:themeColor="text1"/>
          <w:sz w:val="24"/>
          <w:szCs w:val="24"/>
          <w:lang w:val="en-US" w:eastAsia="zh-CN"/>
          <w14:textFill>
            <w14:solidFill>
              <w14:schemeClr w14:val="tx1"/>
            </w14:solidFill>
          </w14:textFill>
        </w:rPr>
        <w:t>“</w:t>
      </w:r>
      <w:r>
        <w:rPr>
          <w:rFonts w:hint="default" w:ascii="仿宋" w:hAnsi="仿宋" w:cs="仿宋"/>
          <w:color w:val="000000" w:themeColor="text1"/>
          <w:sz w:val="24"/>
          <w:szCs w:val="24"/>
          <w:lang w:val="en-US" w:eastAsia="zh-CN"/>
          <w14:textFill>
            <w14:solidFill>
              <w14:schemeClr w14:val="tx1"/>
            </w14:solidFill>
          </w14:textFill>
        </w:rPr>
        <w:t>每套住宅应至少有一个居住空间满足日照标准</w:t>
      </w:r>
      <w:r>
        <w:rPr>
          <w:rFonts w:hint="eastAsia" w:ascii="仿宋" w:hAnsi="仿宋" w:cs="仿宋"/>
          <w:color w:val="000000" w:themeColor="text1"/>
          <w:sz w:val="24"/>
          <w:szCs w:val="24"/>
          <w:lang w:val="en-US" w:eastAsia="zh-CN"/>
          <w14:textFill>
            <w14:solidFill>
              <w14:schemeClr w14:val="tx1"/>
            </w14:solidFill>
          </w14:textFill>
        </w:rPr>
        <w:t>”</w:t>
      </w:r>
      <w:r>
        <w:rPr>
          <w:rFonts w:hint="default" w:ascii="仿宋" w:hAnsi="仿宋" w:cs="仿宋"/>
          <w:color w:val="000000" w:themeColor="text1"/>
          <w:sz w:val="24"/>
          <w:szCs w:val="24"/>
          <w:lang w:val="en-US" w:eastAsia="zh-CN"/>
          <w14:textFill>
            <w14:solidFill>
              <w14:schemeClr w14:val="tx1"/>
            </w14:solidFill>
          </w14:textFill>
        </w:rPr>
        <w:t>的基础上</w:t>
      </w:r>
      <w:r>
        <w:rPr>
          <w:rFonts w:hint="default" w:ascii="仿宋" w:hAnsi="仿宋" w:cs="仿宋"/>
          <w:color w:val="000000" w:themeColor="text1"/>
          <w:sz w:val="24"/>
          <w:szCs w:val="24"/>
          <w:lang w:val="en-US" w:eastAsia="zh-CN"/>
          <w14:textFill>
            <w14:solidFill>
              <w14:schemeClr w14:val="tx1"/>
            </w14:solidFill>
          </w14:textFill>
        </w:rPr>
        <w:t>，进行了两项重要提升：一是对满足日照的窗洞开口宽度提出不低于1.5</w:t>
      </w:r>
      <w:r>
        <w:rPr>
          <w:rFonts w:hint="eastAsia" w:ascii="仿宋" w:hAnsi="仿宋" w:cs="仿宋"/>
          <w:color w:val="000000" w:themeColor="text1"/>
          <w:sz w:val="24"/>
          <w:szCs w:val="24"/>
          <w:lang w:val="en-US" w:eastAsia="zh-CN"/>
          <w14:textFill>
            <w14:solidFill>
              <w14:schemeClr w14:val="tx1"/>
            </w14:solidFill>
          </w14:textFill>
        </w:rPr>
        <w:t>m</w:t>
      </w:r>
      <w:r>
        <w:rPr>
          <w:rFonts w:hint="default" w:ascii="仿宋" w:hAnsi="仿宋" w:cs="仿宋"/>
          <w:color w:val="000000" w:themeColor="text1"/>
          <w:sz w:val="24"/>
          <w:szCs w:val="24"/>
          <w:lang w:val="en-US" w:eastAsia="zh-CN"/>
          <w14:textFill>
            <w14:solidFill>
              <w14:schemeClr w14:val="tx1"/>
            </w14:solidFill>
          </w14:textFill>
        </w:rPr>
        <w:t>的量化要求，确保有效的采光面积和开阔视野；二是对于四个及以上居住空间的大户型，要求至少两个空间满足日照，显著提升了中大户型住宅的日照品质。</w:t>
      </w:r>
    </w:p>
    <w:p w14:paraId="6E17B44F">
      <w:pPr>
        <w:snapToGrid w:val="0"/>
        <w:spacing w:line="360" w:lineRule="auto"/>
        <w:ind w:left="0" w:leftChars="0"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4.3.5 本条</w:t>
      </w:r>
      <w:r>
        <w:rPr>
          <w:rFonts w:hint="default" w:ascii="仿宋" w:hAnsi="仿宋" w:cs="仿宋"/>
          <w:color w:val="000000" w:themeColor="text1"/>
          <w:sz w:val="24"/>
          <w:szCs w:val="24"/>
          <w:lang w:val="en-US" w:eastAsia="zh-CN"/>
          <w14:textFill>
            <w14:solidFill>
              <w14:schemeClr w14:val="tx1"/>
            </w14:solidFill>
          </w14:textFill>
        </w:rPr>
        <w:t>突破了传统仅以日照间距决定建筑布局的模式，要求综合考量自然通风、噪声控制和视觉私密性（卫生视距）。特别要求进行场地风环境模拟，这对于冬季防风、夏季导风具有重要意义，符合山西寒冷和夏热冬冷地区的气候特点。提出的“主要居室直视距离不宜小于18m”等量化要求，为保障住户的视觉私密性和心理舒适度提供了明确的设计依据。</w:t>
      </w:r>
    </w:p>
    <w:p w14:paraId="26488E61">
      <w:pPr>
        <w:snapToGrid w:val="0"/>
        <w:spacing w:line="360" w:lineRule="auto"/>
        <w:ind w:firstLine="0" w:firstLineChars="0"/>
        <w:rPr>
          <w:rFonts w:hint="eastAsia" w:ascii="仿宋" w:hAnsi="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4.3.</w:t>
      </w:r>
      <w:r>
        <w:rPr>
          <w:rFonts w:hint="eastAsia" w:ascii="仿宋" w:hAnsi="仿宋" w:cs="仿宋"/>
          <w:color w:val="000000" w:themeColor="text1"/>
          <w:sz w:val="24"/>
          <w:szCs w:val="24"/>
          <w:lang w:val="en-US" w:eastAsia="zh-CN"/>
          <w14:textFill>
            <w14:solidFill>
              <w14:schemeClr w14:val="tx1"/>
            </w14:solidFill>
          </w14:textFill>
        </w:rPr>
        <w:t>6</w:t>
      </w:r>
      <w:r>
        <w:rPr>
          <w:rFonts w:hint="eastAsia" w:ascii="仿宋" w:hAnsi="仿宋" w:cs="仿宋"/>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lang w:eastAsia="zh-CN"/>
          <w14:textFill>
            <w14:solidFill>
              <w14:schemeClr w14:val="tx1"/>
            </w14:solidFill>
          </w14:textFill>
        </w:rPr>
        <w:t>本条积极响应国家“一老一小”关爱服务体系建设要求。明确要求规划专用的老人和儿童活动场地，并确保其日照条件和安全监控全覆盖。</w:t>
      </w:r>
      <w:r>
        <w:rPr>
          <w:rFonts w:hint="eastAsia" w:ascii="仿宋" w:hAnsi="仿宋" w:cs="仿宋"/>
          <w:color w:val="000000" w:themeColor="text1"/>
          <w:sz w:val="24"/>
          <w:szCs w:val="24"/>
          <w:lang w:val="en-US" w:eastAsia="zh-CN"/>
          <w14:textFill>
            <w14:solidFill>
              <w14:schemeClr w14:val="tx1"/>
            </w14:solidFill>
          </w14:textFill>
        </w:rPr>
        <w:t>并将活动场地的日照时数从《</w:t>
      </w:r>
      <w:r>
        <w:rPr>
          <w:rFonts w:hint="eastAsia" w:ascii="仿宋" w:hAnsi="仿宋" w:cs="仿宋"/>
          <w:color w:val="000000" w:themeColor="text1"/>
          <w:sz w:val="24"/>
          <w:szCs w:val="24"/>
          <w:lang w:eastAsia="zh-CN"/>
          <w14:textFill>
            <w14:solidFill>
              <w14:schemeClr w14:val="tx1"/>
            </w14:solidFill>
          </w14:textFill>
        </w:rPr>
        <w:t>城市居住区规划设计标准</w:t>
      </w:r>
      <w:r>
        <w:rPr>
          <w:rFonts w:hint="eastAsia" w:ascii="仿宋" w:hAnsi="仿宋" w:cs="仿宋"/>
          <w:color w:val="000000" w:themeColor="text1"/>
          <w:sz w:val="24"/>
          <w:szCs w:val="24"/>
          <w:lang w:val="en-US" w:eastAsia="zh-CN"/>
          <w14:textFill>
            <w14:solidFill>
              <w14:schemeClr w14:val="tx1"/>
            </w14:solidFill>
          </w14:textFill>
        </w:rPr>
        <w:t>》4.0.7条“</w:t>
      </w:r>
      <w:r>
        <w:rPr>
          <w:rFonts w:hint="eastAsia" w:ascii="仿宋" w:hAnsi="仿宋" w:cs="仿宋"/>
          <w:color w:val="000000" w:themeColor="text1"/>
          <w:sz w:val="24"/>
          <w:szCs w:val="24"/>
          <w:lang w:eastAsia="zh-CN"/>
          <w14:textFill>
            <w14:solidFill>
              <w14:schemeClr w14:val="tx1"/>
            </w14:solidFill>
          </w14:textFill>
        </w:rPr>
        <w:t>在标准的建筑日照阴影线范围之外的绿地面积不应少于1/3</w:t>
      </w:r>
      <w:r>
        <w:rPr>
          <w:rFonts w:hint="eastAsia" w:ascii="仿宋" w:hAnsi="仿宋" w:cs="仿宋"/>
          <w:color w:val="000000" w:themeColor="text1"/>
          <w:sz w:val="24"/>
          <w:szCs w:val="24"/>
          <w:lang w:val="en-US" w:eastAsia="zh-CN"/>
          <w14:textFill>
            <w14:solidFill>
              <w14:schemeClr w14:val="tx1"/>
            </w14:solidFill>
          </w14:textFill>
        </w:rPr>
        <w:t>”提升至</w:t>
      </w:r>
      <w:r>
        <w:rPr>
          <w:rFonts w:hint="eastAsia" w:ascii="仿宋" w:hAnsi="仿宋" w:cs="仿宋"/>
          <w:color w:val="000000" w:themeColor="text1"/>
          <w:sz w:val="24"/>
          <w:szCs w:val="24"/>
          <w:lang w:eastAsia="zh-CN"/>
          <w14:textFill>
            <w14:solidFill>
              <w14:schemeClr w14:val="tx1"/>
            </w14:solidFill>
          </w14:textFill>
        </w:rPr>
        <w:t xml:space="preserve"> “1/</w:t>
      </w:r>
      <w:r>
        <w:rPr>
          <w:rFonts w:hint="eastAsia" w:ascii="仿宋" w:hAnsi="仿宋" w:cs="仿宋"/>
          <w:color w:val="000000" w:themeColor="text1"/>
          <w:sz w:val="24"/>
          <w:szCs w:val="24"/>
          <w:lang w:val="en-US" w:eastAsia="zh-CN"/>
          <w14:textFill>
            <w14:solidFill>
              <w14:schemeClr w14:val="tx1"/>
            </w14:solidFill>
          </w14:textFill>
        </w:rPr>
        <w:t>2</w:t>
      </w:r>
      <w:r>
        <w:rPr>
          <w:rFonts w:hint="eastAsia" w:ascii="仿宋" w:hAnsi="仿宋" w:cs="仿宋"/>
          <w:color w:val="000000" w:themeColor="text1"/>
          <w:sz w:val="24"/>
          <w:szCs w:val="24"/>
          <w:lang w:eastAsia="zh-CN"/>
          <w14:textFill>
            <w14:solidFill>
              <w14:schemeClr w14:val="tx1"/>
            </w14:solidFill>
          </w14:textFill>
        </w:rPr>
        <w:t xml:space="preserve"> 的活动场地满足大寒日不低于 2 小时的日照标准”，为老年人和儿童在冬季进行户外活动提供了温暖、健康的环境保障，体现了深厚的人文关怀。</w:t>
      </w:r>
    </w:p>
    <w:p w14:paraId="398801A1">
      <w:pPr>
        <w:snapToGrid w:val="0"/>
        <w:spacing w:line="360" w:lineRule="auto"/>
        <w:ind w:firstLine="0" w:firstLineChars="0"/>
        <w:rPr>
          <w:rFonts w:hint="eastAsia" w:ascii="仿宋" w:hAnsi="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4.3.</w:t>
      </w:r>
      <w:r>
        <w:rPr>
          <w:rFonts w:hint="eastAsia" w:ascii="仿宋" w:hAnsi="仿宋" w:cs="仿宋"/>
          <w:color w:val="000000" w:themeColor="text1"/>
          <w:sz w:val="24"/>
          <w:szCs w:val="24"/>
          <w:lang w:val="en-US" w:eastAsia="zh-CN"/>
          <w14:textFill>
            <w14:solidFill>
              <w14:schemeClr w14:val="tx1"/>
            </w14:solidFill>
          </w14:textFill>
        </w:rPr>
        <w:t>7</w:t>
      </w:r>
      <w:r>
        <w:rPr>
          <w:rFonts w:hint="eastAsia" w:ascii="仿宋" w:hAnsi="仿宋" w:cs="仿宋"/>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lang w:eastAsia="zh-CN"/>
          <w14:textFill>
            <w14:solidFill>
              <w14:schemeClr w14:val="tx1"/>
            </w14:solidFill>
          </w14:textFill>
        </w:rPr>
        <w:t>本条鼓励在商品房项目中配置健身房、书吧、业主食堂等高品质的共享服务设施。这些设施能够丰富居民的社区生活，促进邻里交往，满足居民对美好生活的向往，是“好房子”配套服务升级的重要体现。</w:t>
      </w:r>
    </w:p>
    <w:p w14:paraId="7F06B09A">
      <w:pPr>
        <w:snapToGrid w:val="0"/>
        <w:spacing w:line="360" w:lineRule="auto"/>
        <w:ind w:firstLine="0" w:firstLineChars="0"/>
        <w:rPr>
          <w:rFonts w:hint="eastAsia" w:ascii="仿宋" w:hAnsi="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4.3.</w:t>
      </w:r>
      <w:r>
        <w:rPr>
          <w:rFonts w:hint="eastAsia" w:ascii="仿宋" w:hAnsi="仿宋" w:cs="仿宋"/>
          <w:color w:val="000000" w:themeColor="text1"/>
          <w:sz w:val="24"/>
          <w:szCs w:val="24"/>
          <w:lang w:val="en-US" w:eastAsia="zh-CN"/>
          <w14:textFill>
            <w14:solidFill>
              <w14:schemeClr w14:val="tx1"/>
            </w14:solidFill>
          </w14:textFill>
        </w:rPr>
        <w:t>8</w:t>
      </w:r>
      <w:r>
        <w:rPr>
          <w:rFonts w:hint="eastAsia" w:ascii="仿宋" w:hAnsi="仿宋" w:cs="仿宋"/>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lang w:val="en-US" w:eastAsia="zh-CN"/>
          <w14:textFill>
            <w14:solidFill>
              <w14:schemeClr w14:val="tx1"/>
            </w14:solidFill>
          </w14:textFill>
        </w:rPr>
        <w:t>本条</w:t>
      </w:r>
      <w:r>
        <w:rPr>
          <w:rFonts w:hint="eastAsia" w:ascii="仿宋" w:hAnsi="仿宋" w:cs="仿宋"/>
          <w:color w:val="000000" w:themeColor="text1"/>
          <w:sz w:val="24"/>
          <w:szCs w:val="24"/>
          <w:lang w:eastAsia="zh-CN"/>
          <w14:textFill>
            <w14:solidFill>
              <w14:schemeClr w14:val="tx1"/>
            </w14:solidFill>
          </w14:textFill>
        </w:rPr>
        <w:t>针对当前快速发展的物流配送需求，要求将快递收发点、无接触式快递柜等便民设施纳入归家动线的整体规划中。这不仅方便了居民生活，也有助于解决快递包裹乱堆乱放的问题，维护住区环境的整洁与安全。</w:t>
      </w:r>
    </w:p>
    <w:p w14:paraId="1B313400">
      <w:pPr>
        <w:snapToGrid w:val="0"/>
        <w:spacing w:line="360" w:lineRule="auto"/>
        <w:ind w:firstLine="0" w:firstLineChars="0"/>
        <w:rPr>
          <w:rFonts w:hint="default"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4.3.9 本条</w:t>
      </w:r>
      <w:r>
        <w:rPr>
          <w:rFonts w:hint="eastAsia" w:ascii="仿宋" w:hAnsi="仿宋" w:cs="仿宋"/>
          <w:color w:val="000000" w:themeColor="text1"/>
          <w:sz w:val="24"/>
          <w:szCs w:val="24"/>
          <w:lang w:eastAsia="zh-CN"/>
          <w14:textFill>
            <w14:solidFill>
              <w14:schemeClr w14:val="tx1"/>
            </w14:solidFill>
          </w14:textFill>
        </w:rPr>
        <w:t>借鉴“平急结合”理念，要求结合住区出入口、广场等开敞空间，预设其在应急状态下的疏散、救援和物资集散功能。设置清晰连续的标识系统，确保在紧急情况下引导居民快速、安全地行动。这是提升社区防灾减灾韧性的重要手段。</w:t>
      </w:r>
    </w:p>
    <w:p w14:paraId="1A96B1B9">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4.3.</w:t>
      </w:r>
      <w:r>
        <w:rPr>
          <w:rFonts w:hint="eastAsia" w:ascii="仿宋" w:hAnsi="仿宋" w:cs="仿宋"/>
          <w:color w:val="000000" w:themeColor="text1"/>
          <w:sz w:val="24"/>
          <w:szCs w:val="24"/>
          <w:lang w:val="en-US" w:eastAsia="zh-CN"/>
          <w14:textFill>
            <w14:solidFill>
              <w14:schemeClr w14:val="tx1"/>
            </w14:solidFill>
          </w14:textFill>
        </w:rPr>
        <w:t>10</w:t>
      </w:r>
      <w:r>
        <w:rPr>
          <w:rFonts w:hint="eastAsia" w:ascii="仿宋" w:hAnsi="仿宋" w:cs="仿宋"/>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lang w:val="en-US" w:eastAsia="zh-CN"/>
          <w14:textFill>
            <w14:solidFill>
              <w14:schemeClr w14:val="tx1"/>
            </w14:solidFill>
          </w14:textFill>
        </w:rPr>
        <w:t>本条全面落实生活垃圾分类制度。要求合理布局垃圾收集点，并对易产生异味的垃圾房、转运站等，要求将其设置在人员活动较少区域，并采取景观绿化进行遮蔽和净化。这有助于从源头控制污染，维护住区空气质量和视觉环境的清洁卫生。</w:t>
      </w:r>
    </w:p>
    <w:p w14:paraId="70BDB5CD">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4.3.</w:t>
      </w:r>
      <w:r>
        <w:rPr>
          <w:rFonts w:hint="eastAsia" w:ascii="仿宋" w:hAnsi="仿宋" w:cs="仿宋"/>
          <w:color w:val="000000" w:themeColor="text1"/>
          <w:sz w:val="24"/>
          <w:szCs w:val="24"/>
          <w:lang w:val="en-US" w:eastAsia="zh-CN"/>
          <w14:textFill>
            <w14:solidFill>
              <w14:schemeClr w14:val="tx1"/>
            </w14:solidFill>
          </w14:textFill>
        </w:rPr>
        <w:t>11本条强调住区与城市慢行系统的无缝衔接。鼓励住区人行出入口靠近公交站点并与周边公共服务设施结合设置，形成安全、连续、便捷的步行和自行车交通网络，引导绿色健康的出行方式。</w:t>
      </w:r>
    </w:p>
    <w:p w14:paraId="018E2DB9">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4.3.</w:t>
      </w:r>
      <w:r>
        <w:rPr>
          <w:rFonts w:hint="eastAsia" w:ascii="仿宋" w:hAnsi="仿宋" w:cs="仿宋"/>
          <w:color w:val="000000" w:themeColor="text1"/>
          <w:sz w:val="24"/>
          <w:szCs w:val="24"/>
          <w:lang w:val="en-US" w:eastAsia="zh-CN"/>
          <w14:textFill>
            <w14:solidFill>
              <w14:schemeClr w14:val="tx1"/>
            </w14:solidFill>
          </w14:textFill>
        </w:rPr>
        <w:t>12</w:t>
      </w:r>
      <w:r>
        <w:rPr>
          <w:rFonts w:hint="eastAsia" w:ascii="仿宋" w:hAnsi="仿宋" w:cs="仿宋"/>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lang w:val="en-US" w:eastAsia="zh-CN"/>
          <w14:textFill>
            <w14:solidFill>
              <w14:schemeClr w14:val="tx1"/>
            </w14:solidFill>
          </w14:textFill>
        </w:rPr>
        <w:t>本条重点解决电动自行车停放和充电安全问题。要求优先设置独立的地上停车棚，并将其作为消防设计的重点环节进行管理。这与山西省加强电动自行车全链条安全监管的工作要求高度一致，旨在从根本上消除安全隐患。</w:t>
      </w:r>
    </w:p>
    <w:p w14:paraId="53BDABE1">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4.3.</w:t>
      </w:r>
      <w:r>
        <w:rPr>
          <w:rFonts w:hint="eastAsia" w:ascii="仿宋" w:hAnsi="仿宋" w:cs="仿宋"/>
          <w:color w:val="000000" w:themeColor="text1"/>
          <w:sz w:val="24"/>
          <w:szCs w:val="24"/>
          <w:lang w:val="en-US" w:eastAsia="zh-CN"/>
          <w14:textFill>
            <w14:solidFill>
              <w14:schemeClr w14:val="tx1"/>
            </w14:solidFill>
          </w14:textFill>
        </w:rPr>
        <w:t>13</w:t>
      </w:r>
      <w:r>
        <w:rPr>
          <w:rFonts w:hint="eastAsia" w:ascii="仿宋" w:hAnsi="仿宋" w:cs="仿宋"/>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lang w:val="en-US" w:eastAsia="zh-CN"/>
          <w14:textFill>
            <w14:solidFill>
              <w14:schemeClr w14:val="tx1"/>
            </w14:solidFill>
          </w14:textFill>
        </w:rPr>
        <w:t>本条一是要求100%预留充电设施安装条件，支持新能源汽车的普及发展，符合国家</w:t>
      </w:r>
      <w:r>
        <w:rPr>
          <w:rFonts w:hint="eastAsia" w:ascii="仿宋" w:hAnsi="仿宋" w:cs="仿宋"/>
          <w:color w:val="000000" w:themeColor="text1"/>
          <w:sz w:val="24"/>
          <w:szCs w:val="24"/>
          <w:lang w:val="en-US" w:eastAsia="zh-CN"/>
          <w14:textFill>
            <w14:solidFill>
              <w14:schemeClr w14:val="tx1"/>
            </w14:solidFill>
          </w14:textFill>
        </w:rPr>
        <w:t>“双碳”目标</w:t>
      </w:r>
      <w:r>
        <w:rPr>
          <w:rFonts w:hint="eastAsia" w:ascii="仿宋" w:hAnsi="仿宋" w:cs="仿宋"/>
          <w:color w:val="000000" w:themeColor="text1"/>
          <w:sz w:val="24"/>
          <w:szCs w:val="24"/>
          <w:lang w:val="en-US" w:eastAsia="zh-CN"/>
          <w14:textFill>
            <w14:solidFill>
              <w14:schemeClr w14:val="tx1"/>
            </w14:solidFill>
          </w14:textFill>
        </w:rPr>
        <w:t>和山西省相关产业政策。二是要求车行出入口设置安全缓冲距离，并与城市交通顺畅衔接，保障住区内部与外部交通的安全与效率。</w:t>
      </w:r>
    </w:p>
    <w:p w14:paraId="299E004F">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p>
    <w:p w14:paraId="7C5BCD28">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p>
    <w:p w14:paraId="6F8DD4A1">
      <w:pPr>
        <w:pStyle w:val="3"/>
        <w:ind w:firstLine="643"/>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4.4 场地设计</w:t>
      </w:r>
    </w:p>
    <w:p w14:paraId="50AD65AC">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4.4.1 本条聚焦场地安全与排水问题作出明确规定。山西省地貌复杂，坡地建筑占比高，部分场地易出现标高低于市政道路的情况，易引发客水倒灌、内涝等风险。条文通过针对性管控，要求此类场地必须设置挡水、排水等防护措施</w:t>
      </w:r>
      <w:r>
        <w:rPr>
          <w:rFonts w:hint="eastAsia" w:ascii="仿宋" w:hAnsi="仿宋" w:cs="仿宋"/>
          <w:color w:val="000000" w:themeColor="text1"/>
          <w:sz w:val="24"/>
          <w:szCs w:val="24"/>
          <w:lang w:eastAsia="zh-CN"/>
          <w14:textFill>
            <w14:solidFill>
              <w14:schemeClr w14:val="tx1"/>
            </w14:solidFill>
          </w14:textFill>
        </w:rPr>
        <w:t>。</w:t>
      </w:r>
    </w:p>
    <w:p w14:paraId="2E3B5800">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4.4.4 本条</w:t>
      </w:r>
      <w:r>
        <w:rPr>
          <w:rFonts w:hint="eastAsia" w:ascii="仿宋" w:hAnsi="仿宋" w:cs="仿宋"/>
          <w:color w:val="000000" w:themeColor="text1"/>
          <w:sz w:val="24"/>
          <w:szCs w:val="24"/>
          <w:lang w:val="en-US" w:eastAsia="zh-CN"/>
          <w14:textFill>
            <w14:solidFill>
              <w14:schemeClr w14:val="tx1"/>
            </w14:solidFill>
          </w14:textFill>
        </w:rPr>
        <w:t>强调绿化种植的科学性与艺术性。要求植物选择应“适地适树”，优先选用耐旱、抗寒的乡土植物，以节约养护成本和水资源。在配置上，要求兼顾生态、景观功能与低层住户的采光、视野需求，实现生态效益与居住舒适度的统一。</w:t>
      </w:r>
    </w:p>
    <w:p w14:paraId="4D047FC2">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4.4.5 本条要求对室外变电站、调压站等必要的功能性设施，在满足安全间距和操作要求的前提下，通过景观设计手法（如绿篱围合、格栅遮蔽等）进行美化处理，使其融入住区环境，减少对居民视觉和心理的负面影响。</w:t>
      </w:r>
    </w:p>
    <w:p w14:paraId="70E91CFA">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4.4.6 本条</w:t>
      </w:r>
      <w:r>
        <w:rPr>
          <w:rFonts w:hint="eastAsia" w:ascii="仿宋" w:hAnsi="仿宋" w:cs="仿宋"/>
          <w:color w:val="000000" w:themeColor="text1"/>
          <w:sz w:val="24"/>
          <w:szCs w:val="24"/>
          <w:lang w:val="en-US" w:eastAsia="zh-CN"/>
          <w14:textFill>
            <w14:solidFill>
              <w14:schemeClr w14:val="tx1"/>
            </w14:solidFill>
          </w14:textFill>
        </w:rPr>
        <w:t>以《绿色建筑评价标准》4.2.4条“室内外地面或路面设置防滑措施”的要求为基础，从材料选择和安全监控两个维度保障室外活动场地的安全。特别要求在老年人活动区域设置紧急求助呼叫按钮并与监控联动，通过“材料防护 + 智慧监控” 的“人防 + 技防”模式，既保障基础安全，又体现对老年人的智慧化关怀。</w:t>
      </w:r>
    </w:p>
    <w:p w14:paraId="11E1E5C5">
      <w:pPr>
        <w:snapToGrid w:val="0"/>
        <w:spacing w:line="360" w:lineRule="auto"/>
        <w:ind w:firstLine="0" w:firstLineChars="0"/>
        <w:rPr>
          <w:rFonts w:hint="default"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4.4.7 本条</w:t>
      </w:r>
      <w:r>
        <w:rPr>
          <w:rFonts w:hint="eastAsia" w:ascii="仿宋" w:hAnsi="仿宋" w:cs="仿宋"/>
          <w:color w:val="000000" w:themeColor="text1"/>
          <w:sz w:val="24"/>
          <w:szCs w:val="24"/>
          <w:lang w:val="en-US" w:eastAsia="zh-CN"/>
          <w14:textFill>
            <w14:solidFill>
              <w14:schemeClr w14:val="tx1"/>
            </w14:solidFill>
          </w14:textFill>
        </w:rPr>
        <w:t>依据2022年6月29日山西省发展和改革委员会印发的《山西省推进儿童友好城市建设实施方案》中第14条改善儿童安全出行体验的要求，致力于打造连续、安全、有趣的儿童上下学路径。通过选择环境安全的道路、铺设安全的铺装材料、并配置全程监控，为儿童创造一个可以安全步行上下学的线性空间，是儿童友好型城市理念在住区层面的具体实践。</w:t>
      </w:r>
    </w:p>
    <w:p w14:paraId="38A64003">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4.4.8 </w:t>
      </w:r>
      <w:r>
        <w:rPr>
          <w:rFonts w:hint="eastAsia" w:ascii="仿宋" w:hAnsi="仿宋" w:cs="仿宋"/>
          <w:color w:val="000000" w:themeColor="text1"/>
          <w:sz w:val="24"/>
          <w:szCs w:val="24"/>
          <w:lang w:val="en-US" w:eastAsia="zh-CN"/>
          <w14:textFill>
            <w14:solidFill>
              <w14:schemeClr w14:val="tx1"/>
            </w14:solidFill>
          </w14:textFill>
        </w:rPr>
        <w:t>本条引导在商品房项目的景观设计中充分考虑无障碍通行和老年人休憩交流的需求。设置轮椅坡道、停留空间及适老的园林设施，能够让所有居民，包括老年人和残障人士，平等、便捷地享受户外环境，是住区文明程度和品质的体现。</w:t>
      </w:r>
    </w:p>
    <w:p w14:paraId="3ACF0815">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br w:type="page"/>
      </w:r>
    </w:p>
    <w:p w14:paraId="3C2C6D69">
      <w:pPr>
        <w:pStyle w:val="2"/>
        <w:ind w:firstLine="643"/>
        <w:jc w:val="center"/>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5 设 计</w:t>
      </w:r>
    </w:p>
    <w:p w14:paraId="132E219A">
      <w:pPr>
        <w:pStyle w:val="3"/>
        <w:ind w:firstLine="643"/>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5.1 一般规定</w:t>
      </w:r>
    </w:p>
    <w:p w14:paraId="7789B812">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5.1.1 本</w:t>
      </w:r>
      <w:r>
        <w:rPr>
          <w:rFonts w:hint="eastAsia" w:ascii="仿宋" w:hAnsi="仿宋" w:cs="仿宋"/>
          <w:color w:val="000000" w:themeColor="text1"/>
          <w:sz w:val="24"/>
          <w:szCs w:val="24"/>
          <w:lang w:val="en-US" w:eastAsia="zh-CN"/>
          <w14:textFill>
            <w14:solidFill>
              <w14:schemeClr w14:val="tx1"/>
            </w14:solidFill>
          </w14:textFill>
        </w:rPr>
        <w:t>条文核心是确立 “功能优先、兼顾美观” 的设计逻辑，要求建筑在满足居住核心需求的基础上，实现空间实用与美学表达的统一，同时融入人性化关怀并呼应周边环境。</w:t>
      </w:r>
    </w:p>
    <w:p w14:paraId="171E43F3">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5.1.2 </w:t>
      </w:r>
      <w:r>
        <w:rPr>
          <w:rFonts w:hint="eastAsia" w:ascii="仿宋" w:hAnsi="仿宋" w:cs="仿宋"/>
          <w:color w:val="000000" w:themeColor="text1"/>
          <w:sz w:val="24"/>
          <w:szCs w:val="24"/>
          <w:lang w:val="en-US" w:eastAsia="zh-CN"/>
          <w14:textFill>
            <w14:solidFill>
              <w14:schemeClr w14:val="tx1"/>
            </w14:solidFill>
          </w14:textFill>
        </w:rPr>
        <w:t>住宅的平面应简单规整，平面凹凸过多不仅不利于施工建造，也不利于节能环保和成本控制。住宅建筑以套型为基本单元进行设计，套型单元的设计通常采用模块化组合的方式，其基本单元、部品部件重复使用率高规格少、组合多的要求也决定了住宅必须采用标准化与多样化设计方法。住宅建筑设计应严格遵守标准化、模数化相关要求不能为了多样化而影响标准化设计基本原则，进而派生出不符合标准化、模数化要求的空间尺寸和部品尺寸。</w:t>
      </w:r>
    </w:p>
    <w:p w14:paraId="133B336C">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5.1.3 </w:t>
      </w:r>
      <w:r>
        <w:rPr>
          <w:rFonts w:hint="eastAsia" w:ascii="仿宋" w:hAnsi="仿宋" w:cs="仿宋"/>
          <w:color w:val="000000" w:themeColor="text1"/>
          <w:sz w:val="24"/>
          <w:szCs w:val="24"/>
          <w:lang w:val="en-US" w:eastAsia="zh-CN"/>
          <w14:textFill>
            <w14:solidFill>
              <w14:schemeClr w14:val="tx1"/>
            </w14:solidFill>
          </w14:textFill>
        </w:rPr>
        <w:t>建筑结构的抗震设计必须符合现行国家标准的规定。抗震设计涉及结构的各个方面，包括结构形式、材料选用、连接方式等，需要根据建筑的使用功能、地理位置和地震烈度等因素进行科学合理的设计，确保建筑在地震发生时能安全稳定地承受荷载并保护生命财产安全。在住宅平面设计中，要从主体结构和经济性角度优化设计，尽量减少平面的凸凹变化，避免不必要的不规则和不均匀布置。</w:t>
      </w:r>
    </w:p>
    <w:p w14:paraId="1AE961C2">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5.1.4 </w:t>
      </w:r>
      <w:r>
        <w:rPr>
          <w:rFonts w:hint="eastAsia" w:ascii="仿宋" w:hAnsi="仿宋" w:cs="仿宋"/>
          <w:color w:val="000000" w:themeColor="text1"/>
          <w:sz w:val="24"/>
          <w:szCs w:val="24"/>
          <w:lang w:val="en-US" w:eastAsia="zh-CN"/>
          <w14:textFill>
            <w14:solidFill>
              <w14:schemeClr w14:val="tx1"/>
            </w14:solidFill>
          </w14:textFill>
        </w:rPr>
        <w:t>高效的用能设备是住宅节能减碳</w:t>
      </w:r>
      <w:r>
        <w:rPr>
          <w:rFonts w:hint="eastAsia" w:ascii="仿宋" w:hAnsi="仿宋" w:cs="仿宋"/>
          <w:color w:val="000000" w:themeColor="text1"/>
          <w:sz w:val="24"/>
          <w:szCs w:val="24"/>
          <w:lang w:val="en-US" w:eastAsia="zh-CN"/>
          <w14:textFill>
            <w14:solidFill>
              <w14:schemeClr w14:val="tx1"/>
            </w14:solidFill>
          </w14:textFill>
        </w:rPr>
        <w:t>的重要措施</w:t>
      </w:r>
      <w:r>
        <w:rPr>
          <w:rFonts w:hint="eastAsia" w:ascii="仿宋" w:hAnsi="仿宋" w:cs="仿宋"/>
          <w:color w:val="000000" w:themeColor="text1"/>
          <w:sz w:val="24"/>
          <w:szCs w:val="24"/>
          <w:lang w:val="en-US" w:eastAsia="zh-CN"/>
          <w14:textFill>
            <w14:solidFill>
              <w14:schemeClr w14:val="tx1"/>
            </w14:solidFill>
          </w14:textFill>
        </w:rPr>
        <w:t>，对住户运行使用有直接影响。太阳能热水系统、太阳能光伏发电等可再生能源装置，在住宅建筑运行过程中可以有效降低住户能源消耗，减少居民家庭能源支出，是居民享受低碳成效以及体验低碳获得感的重要措施。可再生能源应用比例的计算方法参考现行国家标准《绿色建筑评价标准》GB 50378的规定。</w:t>
      </w:r>
    </w:p>
    <w:p w14:paraId="0E8AC7FE">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5.1.5 本</w:t>
      </w:r>
      <w:r>
        <w:rPr>
          <w:rFonts w:hint="eastAsia" w:ascii="仿宋" w:hAnsi="仿宋" w:cs="仿宋"/>
          <w:color w:val="000000" w:themeColor="text1"/>
          <w:sz w:val="24"/>
          <w:szCs w:val="24"/>
          <w:lang w:val="en-US" w:eastAsia="zh-CN"/>
          <w14:textFill>
            <w14:solidFill>
              <w14:schemeClr w14:val="tx1"/>
            </w14:solidFill>
          </w14:textFill>
        </w:rPr>
        <w:t>条文核心是明确智能化设计的 “实用性导向”，在统一的平台进行监控、管理的基础上通过整合智能家居、安防、物业三大核心功能，将技术落地为可感知的生活便捷性，让智能化真正服务于居住需求。</w:t>
      </w:r>
    </w:p>
    <w:p w14:paraId="4BCC0910">
      <w:pPr>
        <w:snapToGrid w:val="0"/>
        <w:spacing w:line="360" w:lineRule="auto"/>
        <w:ind w:firstLine="0" w:firstLineChars="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5.1.6 </w:t>
      </w:r>
      <w:r>
        <w:rPr>
          <w:rFonts w:hint="eastAsia" w:ascii="仿宋" w:hAnsi="仿宋" w:cs="仿宋"/>
          <w:color w:val="000000" w:themeColor="text1"/>
          <w:sz w:val="24"/>
          <w:szCs w:val="24"/>
          <w:lang w:val="en-US" w:eastAsia="zh-CN"/>
          <w14:textFill>
            <w14:solidFill>
              <w14:schemeClr w14:val="tx1"/>
            </w14:solidFill>
          </w14:textFill>
        </w:rPr>
        <w:t>绿色建筑材料是装修健康性的基础，其核心要求是 “低污染、低消耗、可循环”，避免传统装修材料中有害物质对人体造成长期危害，同时减少材料生产与废弃过程中的环境负担。自然采光与通风是 “被动式节能” 的核心手段，通过优化装修设计最大化利用自然资源，既能减少空调、照明的能源消耗，又能改善室内光环境与空气质量，提升居住体验。</w:t>
      </w:r>
    </w:p>
    <w:p w14:paraId="34A7FE81">
      <w:pPr>
        <w:snapToGrid w:val="0"/>
        <w:spacing w:line="360" w:lineRule="auto"/>
        <w:ind w:firstLine="0" w:firstLineChars="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5.1.7 本条文通过</w:t>
      </w:r>
      <w:r>
        <w:rPr>
          <w:rFonts w:hint="eastAsia" w:ascii="仿宋" w:hAnsi="仿宋" w:cs="仿宋"/>
          <w:color w:val="000000" w:themeColor="text1"/>
          <w:sz w:val="24"/>
          <w:szCs w:val="24"/>
          <w:lang w:eastAsia="zh-CN"/>
          <w14:textFill>
            <w14:solidFill>
              <w14:schemeClr w14:val="tx1"/>
            </w14:solidFill>
          </w14:textFill>
        </w:rPr>
        <w:t>解决传统住宅“水电点位一次固化、后期难以扩展”导致的拆改浪费、安全隐患和功能滞后问题</w:t>
      </w:r>
      <w:r>
        <w:rPr>
          <w:rFonts w:hint="eastAsia" w:ascii="仿宋" w:hAnsi="仿宋" w:cs="仿宋"/>
          <w:color w:val="000000" w:themeColor="text1"/>
          <w:sz w:val="24"/>
          <w:szCs w:val="24"/>
          <w:lang w:val="en-US" w:eastAsia="zh-CN"/>
          <w14:textFill>
            <w14:solidFill>
              <w14:schemeClr w14:val="tx1"/>
            </w14:solidFill>
          </w14:textFill>
        </w:rPr>
        <w:t>。</w:t>
      </w:r>
      <w:r>
        <w:rPr>
          <w:rFonts w:hint="default" w:ascii="仿宋" w:hAnsi="仿宋" w:cs="仿宋"/>
          <w:color w:val="000000" w:themeColor="text1"/>
          <w:sz w:val="24"/>
          <w:szCs w:val="24"/>
          <w:lang w:val="en-US" w:eastAsia="zh-CN"/>
          <w14:textFill>
            <w14:solidFill>
              <w14:schemeClr w14:val="tx1"/>
            </w14:solidFill>
          </w14:textFill>
        </w:rPr>
        <w:t>为家庭全生命周期（单身、新婚、育儿、养老）、居家办公、餐厨融合、微店经营等多样化场景提供“即插即用”的技术基础；降低二次装修碳排放，实现“好房子”绿色、低碳、长寿命目标。</w:t>
      </w:r>
    </w:p>
    <w:p w14:paraId="5EFE6DB7">
      <w:pPr>
        <w:snapToGrid w:val="0"/>
        <w:spacing w:line="360" w:lineRule="auto"/>
        <w:ind w:firstLine="0" w:firstLineChars="0"/>
        <w:rPr>
          <w:rFonts w:ascii="仿宋" w:hAnsi="仿宋" w:cs="仿宋"/>
          <w:color w:val="000000" w:themeColor="text1"/>
          <w:sz w:val="24"/>
          <w:szCs w:val="24"/>
          <w14:textFill>
            <w14:solidFill>
              <w14:schemeClr w14:val="tx1"/>
            </w14:solidFill>
          </w14:textFill>
        </w:rPr>
      </w:pPr>
    </w:p>
    <w:p w14:paraId="10DA4A5A">
      <w:pPr>
        <w:pStyle w:val="3"/>
        <w:ind w:firstLine="643"/>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5.2 建筑设计</w:t>
      </w:r>
    </w:p>
    <w:p w14:paraId="63C8A3DC">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5.2.1 </w:t>
      </w:r>
      <w:r>
        <w:rPr>
          <w:rFonts w:hint="eastAsia" w:ascii="仿宋" w:hAnsi="仿宋" w:cs="仿宋"/>
          <w:color w:val="000000" w:themeColor="text1"/>
          <w:sz w:val="24"/>
          <w:szCs w:val="24"/>
          <w:lang w:val="en-US" w:eastAsia="zh-CN"/>
          <w14:textFill>
            <w14:solidFill>
              <w14:schemeClr w14:val="tx1"/>
            </w14:solidFill>
          </w14:textFill>
        </w:rPr>
        <w:t>随着居民生活水平的提升，住宅已不再仅是满足基本居住的空间，而是承载居住者日常起居、家庭互动、物品收纳、个人隐私等多样化需求的核心场所。本条文旨在通过明确住宅套型的核心设计要求，确保住宅空间能够适配不同家庭结构（如二人世界、三口之家、多代同堂）、不同生活习惯（如喜欢烹饪、注重居家办公、有大量衣物收纳需求）的居住者，提升居住舒适度与空间利用效率。</w:t>
      </w:r>
    </w:p>
    <w:p w14:paraId="0BC539D4">
      <w:pPr>
        <w:snapToGrid w:val="0"/>
        <w:spacing w:line="360" w:lineRule="auto"/>
        <w:ind w:firstLine="0" w:firstLineChars="0"/>
        <w:rPr>
          <w:rFonts w:hint="default"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5.2.2 本条规定了新建</w:t>
      </w:r>
      <w:r>
        <w:rPr>
          <w:rFonts w:hint="eastAsia" w:ascii="仿宋" w:hAnsi="仿宋" w:cs="仿宋"/>
          <w:color w:val="000000" w:themeColor="text1"/>
          <w:sz w:val="24"/>
          <w:szCs w:val="24"/>
          <w:lang w:val="en-US" w:eastAsia="zh-CN"/>
          <w14:textFill>
            <w14:solidFill>
              <w14:schemeClr w14:val="tx1"/>
            </w14:solidFill>
          </w14:textFill>
        </w:rPr>
        <w:t>好房子</w:t>
      </w:r>
      <w:r>
        <w:rPr>
          <w:rFonts w:hint="eastAsia" w:ascii="仿宋" w:hAnsi="仿宋" w:cs="仿宋"/>
          <w:color w:val="000000" w:themeColor="text1"/>
          <w:sz w:val="24"/>
          <w:szCs w:val="24"/>
          <w14:textFill>
            <w14:solidFill>
              <w14:schemeClr w14:val="tx1"/>
            </w14:solidFill>
          </w14:textFill>
        </w:rPr>
        <w:t>的层高和净高，以提升住宅品质，留出足够的空间高度，保障住宅居民的生活质量和空间感受，有良好的空气品质和自然通风，并便于大型家具搬运。</w:t>
      </w:r>
    </w:p>
    <w:p w14:paraId="131BEA79">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按照</w:t>
      </w:r>
      <w:r>
        <w:rPr>
          <w:rFonts w:hint="default" w:ascii="仿宋" w:hAnsi="仿宋" w:cs="仿宋"/>
          <w:color w:val="000000" w:themeColor="text1"/>
          <w:sz w:val="24"/>
          <w:szCs w:val="24"/>
          <w14:textFill>
            <w14:solidFill>
              <w14:schemeClr w14:val="tx1"/>
            </w14:solidFill>
          </w14:textFill>
        </w:rPr>
        <w:t>国家标准《住宅</w:t>
      </w:r>
      <w:r>
        <w:rPr>
          <w:rFonts w:hint="eastAsia" w:ascii="仿宋" w:hAnsi="仿宋" w:cs="仿宋"/>
          <w:color w:val="000000" w:themeColor="text1"/>
          <w:sz w:val="24"/>
          <w:szCs w:val="24"/>
          <w:lang w:val="en-US" w:eastAsia="zh-CN"/>
          <w14:textFill>
            <w14:solidFill>
              <w14:schemeClr w14:val="tx1"/>
            </w14:solidFill>
          </w14:textFill>
        </w:rPr>
        <w:t>项目</w:t>
      </w:r>
      <w:r>
        <w:rPr>
          <w:rFonts w:hint="default" w:ascii="仿宋" w:hAnsi="仿宋" w:cs="仿宋"/>
          <w:color w:val="000000" w:themeColor="text1"/>
          <w:sz w:val="24"/>
          <w:szCs w:val="24"/>
          <w14:textFill>
            <w14:solidFill>
              <w14:schemeClr w14:val="tx1"/>
            </w14:solidFill>
          </w14:textFill>
        </w:rPr>
        <w:t>规范》GB5</w:t>
      </w:r>
      <w:r>
        <w:rPr>
          <w:rFonts w:hint="eastAsia" w:ascii="仿宋" w:hAnsi="仿宋" w:cs="仿宋"/>
          <w:color w:val="000000" w:themeColor="text1"/>
          <w:sz w:val="24"/>
          <w:szCs w:val="24"/>
          <w:lang w:val="en-US" w:eastAsia="zh-CN"/>
          <w14:textFill>
            <w14:solidFill>
              <w14:schemeClr w14:val="tx1"/>
            </w14:solidFill>
          </w14:textFill>
        </w:rPr>
        <w:t>5038-2025</w:t>
      </w:r>
      <w:r>
        <w:rPr>
          <w:rFonts w:hint="default" w:ascii="仿宋" w:hAnsi="仿宋" w:cs="仿宋"/>
          <w:color w:val="000000" w:themeColor="text1"/>
          <w:sz w:val="24"/>
          <w:szCs w:val="24"/>
          <w14:textFill>
            <w14:solidFill>
              <w14:schemeClr w14:val="tx1"/>
            </w14:solidFill>
          </w14:textFill>
        </w:rPr>
        <w:t>规定住宅的最低层高为3.00m</w:t>
      </w:r>
      <w:r>
        <w:rPr>
          <w:rFonts w:hint="eastAsia" w:ascii="仿宋" w:hAnsi="仿宋" w:cs="仿宋"/>
          <w:color w:val="000000" w:themeColor="text1"/>
          <w:sz w:val="24"/>
          <w:szCs w:val="24"/>
          <w:lang w:eastAsia="zh-CN"/>
          <w14:textFill>
            <w14:solidFill>
              <w14:schemeClr w14:val="tx1"/>
            </w14:solidFill>
          </w14:textFill>
        </w:rPr>
        <w:t>，</w:t>
      </w:r>
      <w:r>
        <w:rPr>
          <w:rFonts w:hint="eastAsia" w:ascii="仿宋" w:hAnsi="仿宋" w:cs="仿宋"/>
          <w:color w:val="000000" w:themeColor="text1"/>
          <w:sz w:val="24"/>
          <w:szCs w:val="24"/>
          <w:lang w:val="en-US" w:eastAsia="zh-CN"/>
          <w14:textFill>
            <w14:solidFill>
              <w14:schemeClr w14:val="tx1"/>
            </w14:solidFill>
          </w14:textFill>
        </w:rPr>
        <w:t>考虑到舒适性要求，将设置中央空调的户型层高要求增加0.15m；</w:t>
      </w:r>
      <w:r>
        <w:rPr>
          <w:rFonts w:hint="default" w:ascii="仿宋" w:hAnsi="仿宋" w:cs="仿宋"/>
          <w:color w:val="000000" w:themeColor="text1"/>
          <w:sz w:val="24"/>
          <w:szCs w:val="24"/>
          <w14:textFill>
            <w14:solidFill>
              <w14:schemeClr w14:val="tx1"/>
            </w14:solidFill>
          </w14:textFill>
        </w:rPr>
        <w:t>利用坡屋顶内空间作卧室、起居室时，</w:t>
      </w:r>
      <w:r>
        <w:rPr>
          <w:rFonts w:hint="eastAsia" w:ascii="仿宋" w:hAnsi="仿宋" w:cs="仿宋"/>
          <w:color w:val="000000" w:themeColor="text1"/>
          <w:sz w:val="24"/>
          <w:szCs w:val="24"/>
          <w14:textFill>
            <w14:solidFill>
              <w14:schemeClr w14:val="tx1"/>
            </w14:solidFill>
          </w14:textFill>
        </w:rPr>
        <w:t>净高要求较《住宅项目规范》4.1.2中使用面积的1/2不低于2.2</w:t>
      </w:r>
      <w:r>
        <w:rPr>
          <w:rFonts w:hint="eastAsia" w:ascii="仿宋" w:hAnsi="仿宋" w:cs="仿宋"/>
          <w:color w:val="000000" w:themeColor="text1"/>
          <w:sz w:val="24"/>
          <w:szCs w:val="24"/>
          <w:lang w:eastAsia="zh-CN"/>
          <w14:textFill>
            <w14:solidFill>
              <w14:schemeClr w14:val="tx1"/>
            </w14:solidFill>
          </w14:textFill>
        </w:rPr>
        <w:t>m</w:t>
      </w:r>
      <w:r>
        <w:rPr>
          <w:rFonts w:hint="eastAsia" w:ascii="仿宋" w:hAnsi="仿宋" w:cs="仿宋"/>
          <w:color w:val="000000" w:themeColor="text1"/>
          <w:sz w:val="24"/>
          <w:szCs w:val="24"/>
          <w14:textFill>
            <w14:solidFill>
              <w14:schemeClr w14:val="tx1"/>
            </w14:solidFill>
          </w14:textFill>
        </w:rPr>
        <w:t>提高0.3</w:t>
      </w:r>
      <w:r>
        <w:rPr>
          <w:rFonts w:hint="eastAsia" w:ascii="仿宋" w:hAnsi="仿宋" w:cs="仿宋"/>
          <w:color w:val="000000" w:themeColor="text1"/>
          <w:sz w:val="24"/>
          <w:szCs w:val="24"/>
          <w:lang w:eastAsia="zh-CN"/>
          <w14:textFill>
            <w14:solidFill>
              <w14:schemeClr w14:val="tx1"/>
            </w14:solidFill>
          </w14:textFill>
        </w:rPr>
        <w:t>m；</w:t>
      </w:r>
      <w:r>
        <w:rPr>
          <w:rFonts w:hint="eastAsia" w:ascii="仿宋" w:hAnsi="仿宋" w:cs="仿宋"/>
          <w:color w:val="000000" w:themeColor="text1"/>
          <w:sz w:val="24"/>
          <w:szCs w:val="24"/>
          <w:lang w:val="en-US" w:eastAsia="zh-CN"/>
          <w14:textFill>
            <w14:solidFill>
              <w14:schemeClr w14:val="tx1"/>
            </w14:solidFill>
          </w14:textFill>
        </w:rPr>
        <w:t>其余室内净高均按照</w:t>
      </w:r>
      <w:r>
        <w:rPr>
          <w:rFonts w:hint="default" w:ascii="仿宋" w:hAnsi="仿宋" w:cs="仿宋"/>
          <w:color w:val="000000" w:themeColor="text1"/>
          <w:sz w:val="24"/>
          <w:szCs w:val="24"/>
          <w14:textFill>
            <w14:solidFill>
              <w14:schemeClr w14:val="tx1"/>
            </w14:solidFill>
          </w14:textFill>
        </w:rPr>
        <w:t>国家标准《住宅</w:t>
      </w:r>
      <w:r>
        <w:rPr>
          <w:rFonts w:hint="eastAsia" w:ascii="仿宋" w:hAnsi="仿宋" w:cs="仿宋"/>
          <w:color w:val="000000" w:themeColor="text1"/>
          <w:sz w:val="24"/>
          <w:szCs w:val="24"/>
          <w:lang w:val="en-US" w:eastAsia="zh-CN"/>
          <w14:textFill>
            <w14:solidFill>
              <w14:schemeClr w14:val="tx1"/>
            </w14:solidFill>
          </w14:textFill>
        </w:rPr>
        <w:t>项目</w:t>
      </w:r>
      <w:r>
        <w:rPr>
          <w:rFonts w:hint="default" w:ascii="仿宋" w:hAnsi="仿宋" w:cs="仿宋"/>
          <w:color w:val="000000" w:themeColor="text1"/>
          <w:sz w:val="24"/>
          <w:szCs w:val="24"/>
          <w14:textFill>
            <w14:solidFill>
              <w14:schemeClr w14:val="tx1"/>
            </w14:solidFill>
          </w14:textFill>
        </w:rPr>
        <w:t>规范》</w:t>
      </w:r>
      <w:r>
        <w:rPr>
          <w:rFonts w:hint="eastAsia" w:ascii="仿宋" w:hAnsi="仿宋" w:cs="仿宋"/>
          <w:color w:val="000000" w:themeColor="text1"/>
          <w:sz w:val="24"/>
          <w:szCs w:val="24"/>
          <w:lang w:val="en-US" w:eastAsia="zh-CN"/>
          <w14:textFill>
            <w14:solidFill>
              <w14:schemeClr w14:val="tx1"/>
            </w14:solidFill>
          </w14:textFill>
        </w:rPr>
        <w:t>执行。</w:t>
      </w:r>
    </w:p>
    <w:p w14:paraId="2E96A3D9">
      <w:pPr>
        <w:snapToGrid w:val="0"/>
        <w:spacing w:line="360" w:lineRule="auto"/>
        <w:ind w:firstLine="0" w:firstLineChars="0"/>
        <w:rPr>
          <w:rFonts w:hint="default"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5.2.3 </w:t>
      </w:r>
      <w:r>
        <w:rPr>
          <w:rFonts w:hint="eastAsia" w:ascii="仿宋" w:hAnsi="仿宋" w:cs="仿宋"/>
          <w:color w:val="000000" w:themeColor="text1"/>
          <w:sz w:val="24"/>
          <w:szCs w:val="24"/>
          <w:lang w:val="en-US" w:eastAsia="zh-CN"/>
          <w14:textFill>
            <w14:solidFill>
              <w14:schemeClr w14:val="tx1"/>
            </w14:solidFill>
          </w14:textFill>
        </w:rPr>
        <w:t>本条规定了住宅建筑凹口处外窗设计的限制要求。凹口中的日照、采光和通风条件较差，且不利于保证户间私密性和卫生间距，安全防护和卫生防疫也有隐患。凹口的净宽和净深以外墙完成面计算，阳台从阳台外侧完成面算起。</w:t>
      </w:r>
    </w:p>
    <w:p w14:paraId="64541027">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按照</w:t>
      </w:r>
      <w:r>
        <w:rPr>
          <w:rFonts w:hint="default" w:ascii="仿宋" w:hAnsi="仿宋" w:cs="仿宋"/>
          <w:color w:val="000000" w:themeColor="text1"/>
          <w:sz w:val="24"/>
          <w:szCs w:val="24"/>
          <w:lang w:val="en-US" w:eastAsia="zh-CN"/>
          <w14:textFill>
            <w14:solidFill>
              <w14:schemeClr w14:val="tx1"/>
            </w14:solidFill>
          </w14:textFill>
        </w:rPr>
        <w:t>国家标准《住宅</w:t>
      </w:r>
      <w:r>
        <w:rPr>
          <w:rFonts w:hint="eastAsia" w:ascii="仿宋" w:hAnsi="仿宋" w:cs="仿宋"/>
          <w:color w:val="000000" w:themeColor="text1"/>
          <w:sz w:val="24"/>
          <w:szCs w:val="24"/>
          <w:lang w:val="en-US" w:eastAsia="zh-CN"/>
          <w14:textFill>
            <w14:solidFill>
              <w14:schemeClr w14:val="tx1"/>
            </w14:solidFill>
          </w14:textFill>
        </w:rPr>
        <w:t>项目</w:t>
      </w:r>
      <w:r>
        <w:rPr>
          <w:rFonts w:hint="default" w:ascii="仿宋" w:hAnsi="仿宋" w:cs="仿宋"/>
          <w:color w:val="000000" w:themeColor="text1"/>
          <w:sz w:val="24"/>
          <w:szCs w:val="24"/>
          <w:lang w:val="en-US" w:eastAsia="zh-CN"/>
          <w14:textFill>
            <w14:solidFill>
              <w14:schemeClr w14:val="tx1"/>
            </w14:solidFill>
          </w14:textFill>
        </w:rPr>
        <w:t>规范》GB5</w:t>
      </w:r>
      <w:r>
        <w:rPr>
          <w:rFonts w:hint="eastAsia" w:ascii="仿宋" w:hAnsi="仿宋" w:cs="仿宋"/>
          <w:color w:val="000000" w:themeColor="text1"/>
          <w:sz w:val="24"/>
          <w:szCs w:val="24"/>
          <w:lang w:val="en-US" w:eastAsia="zh-CN"/>
          <w14:textFill>
            <w14:solidFill>
              <w14:schemeClr w14:val="tx1"/>
            </w14:solidFill>
          </w14:textFill>
        </w:rPr>
        <w:t>5038-2025</w:t>
      </w:r>
      <w:r>
        <w:rPr>
          <w:rFonts w:hint="default" w:ascii="仿宋" w:hAnsi="仿宋" w:cs="仿宋"/>
          <w:color w:val="000000" w:themeColor="text1"/>
          <w:sz w:val="24"/>
          <w:szCs w:val="24"/>
          <w:lang w:val="en-US" w:eastAsia="zh-CN"/>
          <w14:textFill>
            <w14:solidFill>
              <w14:schemeClr w14:val="tx1"/>
            </w14:solidFill>
          </w14:textFill>
        </w:rPr>
        <w:t>规定</w:t>
      </w:r>
      <w:r>
        <w:rPr>
          <w:rFonts w:hint="eastAsia" w:ascii="仿宋" w:hAnsi="仿宋" w:cs="仿宋"/>
          <w:color w:val="000000" w:themeColor="text1"/>
          <w:sz w:val="24"/>
          <w:szCs w:val="24"/>
          <w:lang w:val="en-US" w:eastAsia="zh-CN"/>
          <w14:textFill>
            <w14:solidFill>
              <w14:schemeClr w14:val="tx1"/>
            </w14:solidFill>
          </w14:textFill>
        </w:rPr>
        <w:t>当住宅建筑凹口的净宽与净深之比小于1∶3且净宽小于1.20m时，卧室和起居室的外窗不应设置在凹口内；考虑到舒适性要求，较《住宅项目规范》4.1.17中对凹口净宽要求提高0.3m，净宽与净深之比提升至1:2；并明确凹口防护措施。</w:t>
      </w:r>
    </w:p>
    <w:p w14:paraId="4FD04D42">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5.2.4 </w:t>
      </w:r>
      <w:r>
        <w:rPr>
          <w:rFonts w:hint="eastAsia" w:ascii="仿宋" w:hAnsi="仿宋" w:cs="仿宋"/>
          <w:color w:val="000000" w:themeColor="text1"/>
          <w:sz w:val="24"/>
          <w:szCs w:val="24"/>
          <w:lang w:val="en-US" w:eastAsia="zh-CN"/>
          <w14:textFill>
            <w14:solidFill>
              <w14:schemeClr w14:val="tx1"/>
            </w14:solidFill>
          </w14:textFill>
        </w:rPr>
        <w:t>玄关作为住宅套型入口的过渡空间，具有重要的功能和作用。它是人们从外界进入室内的第一个空间，能够起到缓冲和过渡的作用，使人们在进入室内后有一个短暂的停留和调整的区域。同时，玄关也可以在一定程度上保护室内的隐私，避免外界直接看到室内的情况。条文明确指出玄关空间应满足换鞋、挂衣、放伞、放置随身小物件等收纳功能。这是基于日常生活的实际需求考虑的，人们在外出归来时，需要有一个合适的地方放置鞋子、外套、雨伞等物品，以保持室内的整洁和有序。合理的收纳设计可以提高空间的利用率，让玄关更加实用。随着人们健康意识的不断加强，玄关还兼有清洁、消毒的功能。在疫情等特殊时期，这一功能显得尤为重要。人们在外出过程中可能会携带各种细菌和病毒，通过在玄关处进行简单的清洁和消毒，如更换鞋子、洗手、对衣物进行消毒等，可以减少将细菌和病毒带入室内的可能性，从而保障室内环境的卫生和健康。</w:t>
      </w:r>
    </w:p>
    <w:p w14:paraId="2B284C1A">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5.2.5 起居室是住宅中家庭成员主要的活动和交流空间，需要满足家庭成员的多种日常活动，如休息、娱乐、会客等。起居室内的门洞布置直接影响到空间的使用功能和交通流线。减少直接开向起居室的门洞数量，可以减少交通干扰，使起居室更加完整和安静，有利于家庭成员的活动和休息。墙面直线长度不小于 3.00m 可以保证常见的家具能够合理摆放，并且能够形成相对完整的家具布置区域，提升起居室的使用功能和美观度。随着人们生活方式的多样化和对空间利用效率的要求提高，起居室与餐厅、书房等空间整体设计成为一种趋势。整体设计可以使空间更加开阔、通透，增强空间的互动性和连贯性，提高空间的使用效率。例如，客餐厅一体化设计可以让家庭成员在就餐和休闲时更加方便地交流互动，同时也有利于采光和通风。鼓励形成灵活可变的大空间，则是为了适应家庭不同阶段的需求变化，通过灵活的隔断、可移动家具等设计手段，使起居室能够根据需要随时改变空间布局，满足不同的使用功能，如将起居室与书房灵活联动，打造家庭图书馆或办公区等。</w:t>
      </w:r>
    </w:p>
    <w:p w14:paraId="1FFA1DBD">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5.2.6 本条以健康舒适为目标。</w:t>
      </w:r>
    </w:p>
    <w:p w14:paraId="57FE4333">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第1款，卧室作为家庭成员休息睡眠的核心私密空间，采光、通风与隐私保护直接决定居住品质与健康水平，这一规定的本质是保障生理舒适度与心理安全感。</w:t>
      </w:r>
    </w:p>
    <w:p w14:paraId="53F861B2">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第2款，卫生间是住宅中高频产生噪声的区域，床头正对卫生间门时，</w:t>
      </w:r>
      <w:r>
        <w:rPr>
          <w:rFonts w:hint="eastAsia" w:ascii="仿宋" w:hAnsi="仿宋" w:cs="仿宋"/>
          <w:color w:val="000000" w:themeColor="text1"/>
          <w:sz w:val="24"/>
          <w:szCs w:val="24"/>
          <w:lang w:val="en-US" w:eastAsia="zh-CN"/>
          <w14:textFill>
            <w14:solidFill>
              <w14:schemeClr w14:val="tx1"/>
            </w14:solidFill>
          </w14:textFill>
        </w:rPr>
        <w:t>噪声</w:t>
      </w:r>
      <w:r>
        <w:rPr>
          <w:rFonts w:hint="eastAsia" w:ascii="仿宋" w:hAnsi="仿宋" w:cs="仿宋"/>
          <w:color w:val="000000" w:themeColor="text1"/>
          <w:sz w:val="24"/>
          <w:szCs w:val="24"/>
          <w:lang w:val="en-US" w:eastAsia="zh-CN"/>
          <w14:textFill>
            <w14:solidFill>
              <w14:schemeClr w14:val="tx1"/>
            </w14:solidFill>
          </w14:textFill>
        </w:rPr>
        <w:t>可直接传导至睡眠区域，尤其对浅眠人群或儿童而言，易打断睡眠周期，长期可能导致精神不振、注意力不集中等问题。而且污染物会随开门或空气对流直接扩散至床头区域，在流感或肠胃疾病高发期增加交叉感染风险。此外，持续的潮气渗透还可能导致床头墙面发霉、床垫受潮，影响家具寿命与居住健康。</w:t>
      </w:r>
    </w:p>
    <w:p w14:paraId="043B2BDE">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第3款，方正的空间形态能减少面积浪费，保证家具摆放的完整性与合理性。若卧室过于狭长（进深与面宽比大于 2:1）或存在异形拐角，会导致核心家具（如床、衣橱）无法靠墙规整布置，既影响动线流畅性，又降低空间利用率。规则的空间布局还能提升视觉上的开阔感，避免因形态杂乱引发的压抑感。《住宅项目规范》4.1.1规定卧室使用面积不应小于5m²；兼起居室的卧室使用面积不应小于9m²；</w:t>
      </w:r>
      <w:r>
        <w:rPr>
          <w:rFonts w:hint="default" w:ascii="仿宋" w:hAnsi="仿宋" w:cs="仿宋"/>
          <w:color w:val="000000" w:themeColor="text1"/>
          <w:sz w:val="24"/>
          <w:szCs w:val="24"/>
          <w:lang w:val="en-US" w:eastAsia="zh-CN"/>
          <w14:textFill>
            <w14:solidFill>
              <w14:schemeClr w14:val="tx1"/>
            </w14:solidFill>
          </w14:textFill>
        </w:rPr>
        <w:t>卧室短边净宽不应小于1.80m</w:t>
      </w:r>
      <w:r>
        <w:rPr>
          <w:rFonts w:hint="eastAsia" w:ascii="仿宋" w:hAnsi="仿宋" w:cs="仿宋"/>
          <w:color w:val="000000" w:themeColor="text1"/>
          <w:sz w:val="24"/>
          <w:szCs w:val="24"/>
          <w:lang w:val="en-US" w:eastAsia="zh-CN"/>
          <w14:textFill>
            <w14:solidFill>
              <w14:schemeClr w14:val="tx1"/>
            </w14:solidFill>
          </w14:textFill>
        </w:rPr>
        <w:t>。考虑到舒适性要求，对卧室的最小短边净宽要求提高0.4m；对卧室的要求进一步细化，是以家具布置为出发点来确定卧室尺度。</w:t>
      </w:r>
    </w:p>
    <w:p w14:paraId="2EF64DE0">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5.2.</w:t>
      </w:r>
      <w:r>
        <w:rPr>
          <w:rFonts w:hint="eastAsia" w:ascii="仿宋" w:hAnsi="仿宋" w:cs="仿宋"/>
          <w:color w:val="000000" w:themeColor="text1"/>
          <w:sz w:val="24"/>
          <w:szCs w:val="24"/>
          <w:lang w:val="en-US" w:eastAsia="zh-CN"/>
          <w14:textFill>
            <w14:solidFill>
              <w14:schemeClr w14:val="tx1"/>
            </w14:solidFill>
          </w14:textFill>
        </w:rPr>
        <w:t>7</w:t>
      </w:r>
      <w:r>
        <w:rPr>
          <w:rFonts w:hint="eastAsia" w:ascii="仿宋" w:hAnsi="仿宋" w:cs="仿宋"/>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lang w:val="en-US" w:eastAsia="zh-CN"/>
          <w14:textFill>
            <w14:solidFill>
              <w14:schemeClr w14:val="tx1"/>
            </w14:solidFill>
          </w14:textFill>
        </w:rPr>
        <w:t>厨房作为住宅中集食材存储、清洗、加工、烹饪于一体的复合功能区，需同时容纳核心操作区（台面）、基础设备（冰箱、炉灶、水槽）及必要通行空间。</w:t>
      </w:r>
    </w:p>
    <w:p w14:paraId="6DA628F5">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第1款，《住宅项目规范》第4.1.4、4.15条规定厨房的使用面积不应小于3.5㎡；厨房应设置洗涤池、案台、炉灶及排油烟机等设施或预留安装位置；考虑到使用性要求，厨房最小面积提升1.5平m。</w:t>
      </w:r>
    </w:p>
    <w:p w14:paraId="42C71F35">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第2款，烹饪的自然动线为 “食材清洗→切配加工→加热烹饪”，按此顺序布置设备（水槽→切配台面→炉灶）形成 “黄金三角工作区”，可最大限度减少操作中的往复移动。对于小户型厨房，单侧 1.8 m操作台可通过单排橱柜实现；对于大户型，可结合 L 型、U 型布局扩展台面，但核心操作区仍需遵循 “洗、切、烧” 的顺序衔接。</w:t>
      </w:r>
    </w:p>
    <w:p w14:paraId="22FDC439">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第3款，条文要求 “预留位置”，本质是确保厨房设计与现代家电使用需求同步，提升空间利用率与居住品质。</w:t>
      </w:r>
    </w:p>
    <w:p w14:paraId="746E1D26">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5.2.</w:t>
      </w:r>
      <w:r>
        <w:rPr>
          <w:rFonts w:hint="eastAsia" w:ascii="仿宋" w:hAnsi="仿宋" w:cs="仿宋"/>
          <w:color w:val="000000" w:themeColor="text1"/>
          <w:sz w:val="24"/>
          <w:szCs w:val="24"/>
          <w:lang w:val="en-US" w:eastAsia="zh-CN"/>
          <w14:textFill>
            <w14:solidFill>
              <w14:schemeClr w14:val="tx1"/>
            </w14:solidFill>
          </w14:textFill>
        </w:rPr>
        <w:t>8</w:t>
      </w:r>
      <w:r>
        <w:rPr>
          <w:rFonts w:hint="eastAsia" w:ascii="仿宋" w:hAnsi="仿宋" w:cs="仿宋"/>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lang w:val="en-US" w:eastAsia="zh-CN"/>
          <w14:textFill>
            <w14:solidFill>
              <w14:schemeClr w14:val="tx1"/>
            </w14:solidFill>
          </w14:textFill>
        </w:rPr>
        <w:t>本条以健康舒适为目标。</w:t>
      </w:r>
    </w:p>
    <w:p w14:paraId="176C402F">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第1款，《住宅项目规范》</w:t>
      </w:r>
      <w:r>
        <w:rPr>
          <w:rFonts w:hint="eastAsia" w:ascii="仿宋" w:hAnsi="仿宋" w:cs="仿宋"/>
          <w:color w:val="000000" w:themeColor="text1"/>
          <w:sz w:val="24"/>
          <w:szCs w:val="24"/>
          <w:lang w:val="en-US" w:eastAsia="zh-CN"/>
          <w14:textFill>
            <w14:solidFill>
              <w14:schemeClr w14:val="tx1"/>
            </w14:solidFill>
          </w14:textFill>
        </w:rPr>
        <w:t>第4.1.6条</w:t>
      </w:r>
      <w:r>
        <w:rPr>
          <w:rFonts w:hint="eastAsia" w:ascii="仿宋" w:hAnsi="仿宋" w:cs="仿宋"/>
          <w:color w:val="000000" w:themeColor="text1"/>
          <w:sz w:val="24"/>
          <w:szCs w:val="24"/>
          <w:lang w:val="en-US" w:eastAsia="zh-CN"/>
          <w14:textFill>
            <w14:solidFill>
              <w14:schemeClr w14:val="tx1"/>
            </w14:solidFill>
          </w14:textFill>
        </w:rPr>
        <w:t>规定便器、洗浴器和洗面器集中配置的卫生间的使用面积不应小于2.5m²。考虑到舒适性及实用性的要求，卫生间最小面积提升0.5平m；</w:t>
      </w:r>
    </w:p>
    <w:p w14:paraId="116DFEDD">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2款，传统卫生间在洗浴时水花四溅，容易导致整个地面湿滑，对于家里有老人和孩子的家庭来说，滑倒的风险较高。将淋浴区与干区分开，能有效避免地面积水，降低滑倒受伤的可能性，保障家庭成员的使用安全。而且可以使卫生间的不同功能区同时被使用，提高卫生间的使用效率。</w:t>
      </w:r>
    </w:p>
    <w:p w14:paraId="64AF4B81">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3款，随着人们生活水平的提高，越来越多的人希望能够在家中享受泡澡的舒适体验。浴缸可以提供一种不同于淋浴的洗浴方式，具有放松身心、缓解疲劳、促进血液循环等多种好处。对于有老人、小孩的家庭，浴缸也更方便为他们洗澡。</w:t>
      </w:r>
    </w:p>
    <w:p w14:paraId="2F6A4F7F">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5.2.</w:t>
      </w:r>
      <w:r>
        <w:rPr>
          <w:rFonts w:hint="eastAsia" w:ascii="仿宋" w:hAnsi="仿宋" w:cs="仿宋"/>
          <w:color w:val="000000" w:themeColor="text1"/>
          <w:sz w:val="24"/>
          <w:szCs w:val="24"/>
          <w:lang w:val="en-US" w:eastAsia="zh-CN"/>
          <w14:textFill>
            <w14:solidFill>
              <w14:schemeClr w14:val="tx1"/>
            </w14:solidFill>
          </w14:textFill>
        </w:rPr>
        <w:t>9</w:t>
      </w:r>
      <w:r>
        <w:rPr>
          <w:rFonts w:hint="eastAsia" w:ascii="仿宋" w:hAnsi="仿宋" w:cs="仿宋"/>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lang w:val="en-US" w:eastAsia="zh-CN"/>
          <w14:textFill>
            <w14:solidFill>
              <w14:schemeClr w14:val="tx1"/>
            </w14:solidFill>
          </w14:textFill>
        </w:rPr>
        <w:t>本条主要是从满足居民生活需求、提升居住品质等方面出发，对住房套内收纳空间设置做出的规定。设置不少于 6㎡的收纳存储空间，能够更好地满足家庭日常生活物品的存放需求，避免出现物品无处存放、杂乱无章的情况。</w:t>
      </w:r>
    </w:p>
    <w:p w14:paraId="30F21A36">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5.2.</w:t>
      </w:r>
      <w:r>
        <w:rPr>
          <w:rFonts w:hint="eastAsia" w:ascii="仿宋" w:hAnsi="仿宋" w:cs="仿宋"/>
          <w:color w:val="000000" w:themeColor="text1"/>
          <w:sz w:val="24"/>
          <w:szCs w:val="24"/>
          <w:lang w:val="en-US" w:eastAsia="zh-CN"/>
          <w14:textFill>
            <w14:solidFill>
              <w14:schemeClr w14:val="tx1"/>
            </w14:solidFill>
          </w14:textFill>
        </w:rPr>
        <w:t>10</w:t>
      </w:r>
      <w:r>
        <w:rPr>
          <w:rFonts w:hint="eastAsia" w:ascii="仿宋" w:hAnsi="仿宋" w:cs="仿宋"/>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lang w:val="en-US" w:eastAsia="zh-CN"/>
          <w14:textFill>
            <w14:solidFill>
              <w14:schemeClr w14:val="tx1"/>
            </w14:solidFill>
          </w14:textFill>
        </w:rPr>
        <w:t>本条是对住房套内空间全龄友好相关规定：</w:t>
      </w:r>
    </w:p>
    <w:p w14:paraId="28363A3C">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1款，户门内外有高差会给行动不便者，如老年人、儿童以及残障人士的通行带来困难，容易导致绊倒等意外情况发生。同时，也不利于轮椅、婴儿车等的顺畅通行。减少户门内外高差，最好是无高差，能够实现室内外的无障碍过渡，方便家庭成员及访客的出入，体现了全龄友好的设计理念，符合无障碍设计的要求。</w:t>
      </w:r>
    </w:p>
    <w:p w14:paraId="1C6BA64D">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2款，玄关预留坐凳空间主要是为了方便老人和儿童等人群使用。对于老人来说，他们在进出家门时，可能需要坐下换鞋，避免站立时间过长导致身体不适。对于儿童而言，坐凳也能方便他们自己穿脱鞋子。为节约空间可采用嵌墙安装的折叠式坐凳，建成后可不安装，但需做好相应接口墙面加固和预埋措施。</w:t>
      </w:r>
    </w:p>
    <w:p w14:paraId="3E2FD56E">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3款，老年人夜间起夜次数相对较多，卫生间紧邻卧室布置，方便他们在夜间能够迅速、安全地到达卫生间，减少因行走距离过长而发生意外的风险，提高了生活的便利性和安全性。卫生间是老年人容易发生意外的地方，如滑倒、突发疾病等。设置紧急呼救设施或安全报警装置，能让老年人在遇到危险时及时发出求救信号，以便家人或救援人员能够迅速采取措施，保障老年人的生命安全。老年人身体平衡能力和反应能力相对较弱，地面湿滑容易导致他们摔倒受伤。规定卫生间地面的防滑等级不宜低于现行行业标准《建筑地面工程防滑技术规程》JGJ/T331 规定的 Aw 级和 Ad 级，能够有效增加地面的摩擦力，降低老年人滑倒的风险，保障他们在卫生间内的活动安全。</w:t>
      </w:r>
    </w:p>
    <w:p w14:paraId="4BB9D335">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4款，随着人口老龄化的加剧，居家养老成为主要的养老模式之一。设置居家照护服务功能空间，可以为老年人提供一个专门的区域，用于接受护理、康复等服务。空间尺寸符合家用辅助器具的空间要求，能够确保轮椅、护理床等辅助器具在该空间内正常使用，方便照护人员为老年人提供服务，提高老年人的生活质量和自理能力，同时也减轻了护理人员的工作强度。</w:t>
      </w:r>
    </w:p>
    <w:p w14:paraId="4C2AFFBC">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5.2.</w:t>
      </w:r>
      <w:r>
        <w:rPr>
          <w:rFonts w:hint="eastAsia" w:ascii="仿宋" w:hAnsi="仿宋" w:cs="仿宋"/>
          <w:color w:val="000000" w:themeColor="text1"/>
          <w:sz w:val="24"/>
          <w:szCs w:val="24"/>
          <w:lang w:val="en-US" w:eastAsia="zh-CN"/>
          <w14:textFill>
            <w14:solidFill>
              <w14:schemeClr w14:val="tx1"/>
            </w14:solidFill>
          </w14:textFill>
        </w:rPr>
        <w:t>11</w:t>
      </w:r>
      <w:r>
        <w:rPr>
          <w:rFonts w:hint="eastAsia" w:ascii="仿宋" w:hAnsi="仿宋" w:cs="仿宋"/>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lang w:val="en-US" w:eastAsia="zh-CN"/>
          <w14:textFill>
            <w14:solidFill>
              <w14:schemeClr w14:val="tx1"/>
            </w14:solidFill>
          </w14:textFill>
        </w:rPr>
        <w:t>家庭结构会随时间发生显著变化，如新婚期可能需要开放的社交空间，生育后需划分儿童房，子女成年后需独立卧室，老年阶段又可能需要融合照护功能的通透空间。开放可变的大空间无需改动主体结构，即可通过调整分隔方式满足不同阶段需求。承重构件不可拆除或改动，因此设计时需将其布置在非核心功能区或空间边界。非承重隔墙是空间灵活划分的核心载体，使用便于二次改造且隔声效果良好的轻质材料，针对不同的家庭需求对空间进行灵活划分，最终实现住宅从 “建成即固定” 到 “全生命周期适配” 的升级。</w:t>
      </w:r>
    </w:p>
    <w:p w14:paraId="70B96B1C">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5.2.1</w:t>
      </w:r>
      <w:r>
        <w:rPr>
          <w:rFonts w:hint="eastAsia" w:ascii="仿宋" w:hAnsi="仿宋" w:cs="仿宋"/>
          <w:color w:val="000000" w:themeColor="text1"/>
          <w:sz w:val="24"/>
          <w:szCs w:val="24"/>
          <w:lang w:val="en-US" w:eastAsia="zh-CN"/>
          <w14:textFill>
            <w14:solidFill>
              <w14:schemeClr w14:val="tx1"/>
            </w14:solidFill>
          </w14:textFill>
        </w:rPr>
        <w:t>2</w:t>
      </w:r>
      <w:r>
        <w:rPr>
          <w:rFonts w:hint="eastAsia" w:ascii="仿宋" w:hAnsi="仿宋" w:cs="仿宋"/>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lang w:val="en-US" w:eastAsia="zh-CN"/>
          <w14:textFill>
            <w14:solidFill>
              <w14:schemeClr w14:val="tx1"/>
            </w14:solidFill>
          </w14:textFill>
        </w:rPr>
        <w:t>本条以健康舒适/安全耐久为目标。</w:t>
      </w:r>
    </w:p>
    <w:p w14:paraId="13918DB8">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1款，公共部位的疏散通道在火灾等紧急情况下是人员逃生的关键路径。户门开启如果占用疏散通道，会阻碍人员的快速疏散，增加安全隐患。人员出入电梯及使用呼叫按钮是日常出行的常见行为。户门开启若影响到这些操作，会给居民生活带来不便。消火栓箱是重要的消防设施，火灾时需要迅速取用。户门开启碰撞消火栓箱，可能导致箱体损坏、箱门无法正常打开或影响消防水带等设备的取用和操作，延误灭火时机，危及生命财产安全。</w:t>
      </w:r>
    </w:p>
    <w:p w14:paraId="3F2CBE25">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第2款，公共空间内的设备井检修门用于设备的维护和检修。如果其开启时影响相邻住户户门的开启，会给住户的正常出行带来不便，也可能在紧急情况下影响住户的疏散。</w:t>
      </w:r>
    </w:p>
    <w:p w14:paraId="3B551C43">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3款，规定最小净距离是为了防止相邻户门在开启时发生碰撞或相互妨碍，确保每户居民都能正常使用户门。例如，当相邻户门并列布置且门扇间净距离过小时，两户同时开门可能会撞到一起，影响使用。足够的净距离也为人员在户门前通行和搬运家具等物品提供了空间。</w:t>
      </w:r>
    </w:p>
    <w:p w14:paraId="0CF1E536">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5.2.13 《住宅项目规范》4.2.12条明确空调室外机位位置和安装要求。本条增加空调室外机位最小尺寸设置要求。将空调室外机位与建筑进行一体化设计，能够使空调室外机位更好地融入建筑整体外观，避免出现空调室外机位随意安装而破坏建筑立面美观的情况。一体化设计可以在建筑设计阶段就充分考虑空调室外机位的通风、排水、安装和维护等问题，提高空调系统的运行效率和使用寿命。不同类型和规格的分体式空调室外机有不同的尺寸和重量，规定最小尺寸是为了确保空调室外机有足够的安装空间，并且能够正常运行。并且足够的空间可以方便维修人员进行空调室外机的日常维护和检修工作。卧室、客厅等是人们日常生活中使用频率较高的房间，为这些房间全部设置空调室外机位，可以方便用户根据需要安装空调，满足不同房间的制冷和制热需求。设置护栏是为了防止空调室外机意外掉落，造成人员伤害和财产损失。同时，护栏也可以起到一定的防护作用，避免人员在靠近空调室外机位时发生意外坠落等危险情况。</w:t>
      </w:r>
    </w:p>
    <w:p w14:paraId="740C87F7">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5.2.1</w:t>
      </w:r>
      <w:r>
        <w:rPr>
          <w:rFonts w:hint="eastAsia" w:ascii="仿宋" w:hAnsi="仿宋" w:cs="仿宋"/>
          <w:color w:val="000000" w:themeColor="text1"/>
          <w:sz w:val="24"/>
          <w:szCs w:val="24"/>
          <w:lang w:val="en-US" w:eastAsia="zh-CN"/>
          <w14:textFill>
            <w14:solidFill>
              <w14:schemeClr w14:val="tx1"/>
            </w14:solidFill>
          </w14:textFill>
        </w:rPr>
        <w:t>4</w:t>
      </w:r>
      <w:r>
        <w:rPr>
          <w:rFonts w:hint="eastAsia" w:ascii="仿宋" w:hAnsi="仿宋" w:cs="仿宋"/>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lang w:val="en-US" w:eastAsia="zh-CN"/>
          <w14:textFill>
            <w14:solidFill>
              <w14:schemeClr w14:val="tx1"/>
            </w14:solidFill>
          </w14:textFill>
        </w:rPr>
        <w:t>本条以健康舒适/安全耐久为目标。</w:t>
      </w:r>
    </w:p>
    <w:p w14:paraId="7D449B60">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第1款，作为居民日常出入、访客往来的必经之地，门厅需容纳人流交汇与短暂停留。12㎡的空间可确保 2-3 人同时通行、等候电梯时不发生拥堵，尤其在早高峰时段能避免流线混乱。在火灾等紧急情况下，门厅是人员疏散的重要缓冲带。12㎡的面积可避免疏散时因空间狭窄导致的踩踏风险，符合《建筑设计防火规范》中对公共疏散空间的尺度要求。</w:t>
      </w:r>
    </w:p>
    <w:p w14:paraId="62D7D5D5">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第2款，门厅内设置交往空间（如靠墙休息座椅、小型阅读角、社区信息展示栏），可满足居民出入时的短暂停留需求 —— 老年人可在此歇脚等候，邻里可在此简单交流，访客可在此等待接应。监控系统可实现对人员出入的 24 小时可视化管理，有效威慑陌生人随意进出、财物丢失等安全隐患。呼救系统（如紧急呼叫按钮）主要针对老年人、残障人士等群体。当居民在门厅突发疾病、摔倒或遭遇意外时，可一键触发警报，直接联动物业值班室或社区服务中心，实现 “快速响应 - 及时救助” 的闭环，填补家庭之外的安全监护空白。</w:t>
      </w:r>
    </w:p>
    <w:p w14:paraId="6A111B4F">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第3款，随着家庭汽车保有量提升，地下车库已成为多数居民的主要归家路径。设置地下门厅可实现 “车库 - 门厅 - 电梯” 的无缝衔接，避免雨天、高温等恶劣天气下的露天穿行，同时通过门禁、监控等设施强化地下入户的安全性，与地上门厅形成 “双入口安全管控” 体系。入口处设置无障碍坡道，可确保老年人、轮椅使用者等群体安全通行，避免因高差导致的摔倒风险。</w:t>
      </w:r>
    </w:p>
    <w:p w14:paraId="7FBFEEBE">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第4款，智能信报箱通过密码、手机扫码、生物识别等方式实现身份验证，既解决了 “快递无处放、易丢失” 的问题，又避免了传统信报箱闲置浪费的资源损耗。随着外卖、快递服务的常态化，门厅预留专门的暂存区域，避免快递、餐品随意堆放影响环境整洁与通行安全。</w:t>
      </w:r>
    </w:p>
    <w:p w14:paraId="7F29D269">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5.2.1</w:t>
      </w:r>
      <w:r>
        <w:rPr>
          <w:rFonts w:hint="eastAsia" w:ascii="仿宋" w:hAnsi="仿宋" w:cs="仿宋"/>
          <w:color w:val="000000" w:themeColor="text1"/>
          <w:sz w:val="24"/>
          <w:szCs w:val="24"/>
          <w:lang w:val="en-US" w:eastAsia="zh-CN"/>
          <w14:textFill>
            <w14:solidFill>
              <w14:schemeClr w14:val="tx1"/>
            </w14:solidFill>
          </w14:textFill>
        </w:rPr>
        <w:t>5</w:t>
      </w:r>
      <w:r>
        <w:rPr>
          <w:rFonts w:hint="eastAsia" w:ascii="仿宋" w:hAnsi="仿宋" w:cs="仿宋"/>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lang w:val="en-US" w:eastAsia="zh-CN"/>
          <w14:textFill>
            <w14:solidFill>
              <w14:schemeClr w14:val="tx1"/>
            </w14:solidFill>
          </w14:textFill>
        </w:rPr>
        <w:t>《住宅项目规范》4.2.4条规定新建住宅建筑电梯设置应符合下列规定：</w:t>
      </w:r>
    </w:p>
    <w:p w14:paraId="309904EB">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1 最高入户层为四层及四层以上，或最高入户层楼面距室外设计地面高度超过 9m 的住宅建筑，每个住宅单元应至少设置 1 台电梯。</w:t>
      </w:r>
    </w:p>
    <w:p w14:paraId="248DCC13">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2 最高入户层为十二层及十二层以上，或最高入户层楼面距室外设计地面高度超过 33m 的住宅建筑，每个住宅单元应至少设置 2 台电梯。</w:t>
      </w:r>
    </w:p>
    <w:p w14:paraId="76298C88">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3 设有电梯的住宅单元，应至少有 1 台电梯满足下列尺寸要求：轿厢门净宽不应小于 0.90m；采用宽轿厢时，轿厢长边尺寸不应小于 1.60m，短边尺寸不应小于 1.50m，采用深轿厢时，轿厢宽度不应小于 1.10m，深度不应小于 2.10m。</w:t>
      </w:r>
    </w:p>
    <w:p w14:paraId="15F950DD">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4 电梯紧急呼叫按钮的中心距地面高度应为 0.85m～1.10m。</w:t>
      </w:r>
    </w:p>
    <w:p w14:paraId="0EA4FB92">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本条文</w:t>
      </w:r>
      <w:r>
        <w:rPr>
          <w:rFonts w:hint="eastAsia" w:ascii="仿宋" w:hAnsi="仿宋" w:cs="仿宋"/>
          <w:color w:val="000000" w:themeColor="text1"/>
          <w:sz w:val="24"/>
          <w:szCs w:val="24"/>
          <w:lang w:val="en-US" w:eastAsia="zh-CN"/>
          <w14:textFill>
            <w14:solidFill>
              <w14:schemeClr w14:val="tx1"/>
            </w14:solidFill>
          </w14:textFill>
        </w:rPr>
        <w:t>增加了</w:t>
      </w:r>
      <w:r>
        <w:rPr>
          <w:rFonts w:hint="eastAsia" w:ascii="仿宋" w:hAnsi="仿宋" w:cs="仿宋"/>
          <w:color w:val="000000" w:themeColor="text1"/>
          <w:sz w:val="24"/>
          <w:szCs w:val="24"/>
          <w:lang w:val="en-US" w:eastAsia="zh-CN"/>
          <w14:textFill>
            <w14:solidFill>
              <w14:schemeClr w14:val="tx1"/>
            </w14:solidFill>
          </w14:textFill>
        </w:rPr>
        <w:t>低层住房设置电梯的要求，候梯厅深度要求，以及高层利用电梯搬运家具的要求。</w:t>
      </w:r>
    </w:p>
    <w:p w14:paraId="581B0C8A">
      <w:pPr>
        <w:snapToGrid w:val="0"/>
        <w:spacing w:line="360" w:lineRule="auto"/>
        <w:ind w:firstLine="0" w:firstLineChars="0"/>
        <w:rPr>
          <w:rFonts w:hint="default"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5.2.1</w:t>
      </w:r>
      <w:r>
        <w:rPr>
          <w:rFonts w:hint="eastAsia" w:ascii="仿宋" w:hAnsi="仿宋" w:cs="仿宋"/>
          <w:color w:val="000000" w:themeColor="text1"/>
          <w:sz w:val="24"/>
          <w:szCs w:val="24"/>
          <w:lang w:val="en-US" w:eastAsia="zh-CN"/>
          <w14:textFill>
            <w14:solidFill>
              <w14:schemeClr w14:val="tx1"/>
            </w14:solidFill>
          </w14:textFill>
        </w:rPr>
        <w:t>6</w:t>
      </w:r>
      <w:r>
        <w:rPr>
          <w:rFonts w:hint="eastAsia" w:ascii="仿宋" w:hAnsi="仿宋" w:cs="仿宋"/>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lang w:val="en-US" w:eastAsia="zh-CN"/>
          <w14:textFill>
            <w14:solidFill>
              <w14:schemeClr w14:val="tx1"/>
            </w14:solidFill>
          </w14:textFill>
        </w:rPr>
        <w:t>本条通过规范立面建筑构件设计与日照模拟计算要求，平衡建筑外观美学与室内日照权益，确保住宅日照满足《城市居住区规划设计标准》（GB 50180）等规范对 “居住环境采光质量” 的底线要求，避免因立面装饰过度导致室内日照不足。将 “自遮挡” 影响量化，确保设计方案可落地、可验证，最终实现 “美观性” 与 “实用性” 的统一。</w:t>
      </w:r>
    </w:p>
    <w:p w14:paraId="2446247B">
      <w:pPr>
        <w:snapToGrid w:val="0"/>
        <w:spacing w:line="360" w:lineRule="auto"/>
        <w:ind w:firstLine="0" w:firstLineChars="0"/>
        <w:rPr>
          <w:rFonts w:hint="eastAsia"/>
          <w:color w:val="000000" w:themeColor="text1"/>
          <w:sz w:val="24"/>
          <w:szCs w:val="21"/>
          <w14:textFill>
            <w14:solidFill>
              <w14:schemeClr w14:val="tx1"/>
            </w14:solidFill>
          </w14:textFill>
        </w:rPr>
      </w:pPr>
    </w:p>
    <w:p w14:paraId="0B5CF958">
      <w:pPr>
        <w:pStyle w:val="3"/>
        <w:ind w:firstLine="643"/>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5.3 结构设计</w:t>
      </w:r>
    </w:p>
    <w:p w14:paraId="5C8E31FA">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5.3.1 《工程结构通用规范》</w:t>
      </w:r>
      <w:r>
        <w:rPr>
          <w:rFonts w:hint="eastAsia" w:ascii="仿宋" w:hAnsi="仿宋" w:cs="仿宋"/>
          <w:color w:val="000000" w:themeColor="text1"/>
          <w:sz w:val="24"/>
          <w:szCs w:val="24"/>
          <w:lang w:val="en-US" w:eastAsia="zh-CN"/>
          <w14:textFill>
            <w14:solidFill>
              <w14:schemeClr w14:val="tx1"/>
            </w14:solidFill>
          </w14:textFill>
        </w:rPr>
        <w:t>第</w:t>
      </w:r>
      <w:r>
        <w:rPr>
          <w:rFonts w:hint="eastAsia" w:ascii="仿宋" w:hAnsi="仿宋" w:cs="仿宋"/>
          <w:color w:val="000000" w:themeColor="text1"/>
          <w:sz w:val="24"/>
          <w:szCs w:val="24"/>
          <w14:textFill>
            <w14:solidFill>
              <w14:schemeClr w14:val="tx1"/>
            </w14:solidFill>
          </w14:textFill>
        </w:rPr>
        <w:t>2.2.2</w:t>
      </w:r>
      <w:r>
        <w:rPr>
          <w:rFonts w:hint="eastAsia" w:ascii="仿宋" w:hAnsi="仿宋" w:cs="仿宋"/>
          <w:color w:val="000000" w:themeColor="text1"/>
          <w:sz w:val="24"/>
          <w:szCs w:val="24"/>
          <w:lang w:val="en-US" w:eastAsia="zh-CN"/>
          <w14:textFill>
            <w14:solidFill>
              <w14:schemeClr w14:val="tx1"/>
            </w14:solidFill>
          </w14:textFill>
        </w:rPr>
        <w:t>条规定</w:t>
      </w:r>
      <w:r>
        <w:rPr>
          <w:rFonts w:hint="eastAsia" w:ascii="仿宋" w:hAnsi="仿宋" w:cs="仿宋"/>
          <w:color w:val="000000" w:themeColor="text1"/>
          <w:sz w:val="24"/>
          <w:szCs w:val="24"/>
          <w14:textFill>
            <w14:solidFill>
              <w14:schemeClr w14:val="tx1"/>
            </w14:solidFill>
          </w14:textFill>
        </w:rPr>
        <w:t>普通房屋的结构设计工作</w:t>
      </w:r>
      <w:r>
        <w:rPr>
          <w:rFonts w:hint="eastAsia" w:ascii="仿宋" w:hAnsi="仿宋" w:cs="仿宋"/>
          <w:color w:val="000000" w:themeColor="text1"/>
          <w:sz w:val="24"/>
          <w:szCs w:val="24"/>
          <w:lang w:eastAsia="zh-CN"/>
          <w14:textFill>
            <w14:solidFill>
              <w14:schemeClr w14:val="tx1"/>
            </w14:solidFill>
          </w14:textFill>
        </w:rPr>
        <w:t>年</w:t>
      </w:r>
      <w:r>
        <w:rPr>
          <w:rFonts w:hint="eastAsia" w:ascii="仿宋" w:hAnsi="仿宋" w:cs="仿宋"/>
          <w:color w:val="000000" w:themeColor="text1"/>
          <w:sz w:val="24"/>
          <w:szCs w:val="24"/>
          <w14:textFill>
            <w14:solidFill>
              <w14:schemeClr w14:val="tx1"/>
            </w14:solidFill>
          </w14:textFill>
        </w:rPr>
        <w:t>限为</w:t>
      </w:r>
      <w:r>
        <w:rPr>
          <w:rFonts w:hint="eastAsia" w:ascii="仿宋" w:hAnsi="仿宋" w:cs="仿宋"/>
          <w:color w:val="000000" w:themeColor="text1"/>
          <w:sz w:val="24"/>
          <w:szCs w:val="24"/>
          <w14:textFill>
            <w14:solidFill>
              <w14:schemeClr w14:val="tx1"/>
            </w14:solidFill>
          </w14:textFill>
        </w:rPr>
        <w:t>50年</w:t>
      </w:r>
      <w:r>
        <w:rPr>
          <w:rFonts w:hint="eastAsia" w:ascii="仿宋" w:hAnsi="仿宋" w:cs="仿宋"/>
          <w:color w:val="000000" w:themeColor="text1"/>
          <w:sz w:val="24"/>
          <w:szCs w:val="24"/>
          <w14:textFill>
            <w14:solidFill>
              <w14:schemeClr w14:val="tx1"/>
            </w14:solidFill>
          </w14:textFill>
        </w:rPr>
        <w:t>。</w:t>
      </w:r>
      <w:r>
        <w:rPr>
          <w:rFonts w:hint="eastAsia" w:ascii="仿宋" w:hAnsi="仿宋" w:cs="仿宋"/>
          <w:color w:val="000000" w:themeColor="text1"/>
          <w:sz w:val="24"/>
          <w:szCs w:val="24"/>
          <w:lang w:eastAsia="zh-CN"/>
          <w14:textFill>
            <w14:solidFill>
              <w14:schemeClr w14:val="tx1"/>
            </w14:solidFill>
          </w14:textFill>
        </w:rPr>
        <w:t>“</w:t>
      </w:r>
      <w:r>
        <w:rPr>
          <w:rFonts w:hint="eastAsia" w:ascii="仿宋" w:hAnsi="仿宋" w:cs="仿宋"/>
          <w:color w:val="000000" w:themeColor="text1"/>
          <w:sz w:val="24"/>
          <w:szCs w:val="24"/>
          <w:lang w:val="en-US" w:eastAsia="zh-CN"/>
          <w14:textFill>
            <w14:solidFill>
              <w14:schemeClr w14:val="tx1"/>
            </w14:solidFill>
          </w14:textFill>
        </w:rPr>
        <w:t>好房子”</w:t>
      </w:r>
      <w:r>
        <w:rPr>
          <w:rFonts w:hint="eastAsia" w:ascii="仿宋" w:hAnsi="仿宋" w:cs="仿宋"/>
          <w:color w:val="000000" w:themeColor="text1"/>
          <w:sz w:val="24"/>
          <w:szCs w:val="24"/>
          <w14:textFill>
            <w14:solidFill>
              <w14:schemeClr w14:val="tx1"/>
            </w14:solidFill>
          </w14:textFill>
        </w:rPr>
        <w:t>混凝土结构的建筑支撑体应采取有效措施提高其耐久性。对结构设计年限鼓励提升不宜低于70年。</w:t>
      </w:r>
    </w:p>
    <w:p w14:paraId="5D304402">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5.3.2 （山西）山西省住房和城乡建设厅关于积极推进建筑工程减隔震技术应用的通知（第 115 号） “标准设防类建筑，提倡采用减隔震技术。”</w:t>
      </w:r>
    </w:p>
    <w:p w14:paraId="645CC85A">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对</w:t>
      </w:r>
      <w:r>
        <w:rPr>
          <w:rFonts w:hint="eastAsia" w:ascii="仿宋" w:hAnsi="仿宋" w:cs="仿宋"/>
          <w:color w:val="000000" w:themeColor="text1"/>
          <w:sz w:val="24"/>
          <w:szCs w:val="24"/>
          <w:lang w:eastAsia="zh-CN"/>
          <w14:textFill>
            <w14:solidFill>
              <w14:schemeClr w14:val="tx1"/>
            </w14:solidFill>
          </w14:textFill>
        </w:rPr>
        <w:t>“</w:t>
      </w:r>
      <w:r>
        <w:rPr>
          <w:rFonts w:hint="eastAsia" w:ascii="仿宋" w:hAnsi="仿宋" w:cs="仿宋"/>
          <w:color w:val="000000" w:themeColor="text1"/>
          <w:sz w:val="24"/>
          <w:szCs w:val="24"/>
          <w:lang w:val="en-US" w:eastAsia="zh-CN"/>
          <w14:textFill>
            <w14:solidFill>
              <w14:schemeClr w14:val="tx1"/>
            </w14:solidFill>
          </w14:textFill>
        </w:rPr>
        <w:t>好房子”</w:t>
      </w:r>
      <w:r>
        <w:rPr>
          <w:rFonts w:hint="eastAsia" w:ascii="仿宋" w:hAnsi="仿宋" w:cs="仿宋"/>
          <w:color w:val="000000" w:themeColor="text1"/>
          <w:sz w:val="24"/>
          <w:szCs w:val="24"/>
          <w14:textFill>
            <w14:solidFill>
              <w14:schemeClr w14:val="tx1"/>
            </w14:solidFill>
          </w14:textFill>
        </w:rPr>
        <w:t>结构设计鼓励采用减隔震。</w:t>
      </w:r>
    </w:p>
    <w:p w14:paraId="4C377A3A">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5.3.3 </w:t>
      </w:r>
      <w:r>
        <w:rPr>
          <w:rFonts w:hint="eastAsia" w:ascii="仿宋" w:hAnsi="仿宋" w:cs="仿宋"/>
          <w:color w:val="000000" w:themeColor="text1"/>
          <w:sz w:val="24"/>
          <w:szCs w:val="24"/>
          <w:lang w:eastAsia="zh-CN"/>
          <w14:textFill>
            <w14:solidFill>
              <w14:schemeClr w14:val="tx1"/>
            </w14:solidFill>
          </w14:textFill>
        </w:rPr>
        <w:t>“</w:t>
      </w:r>
      <w:r>
        <w:rPr>
          <w:rFonts w:hint="eastAsia" w:ascii="仿宋" w:hAnsi="仿宋" w:cs="仿宋"/>
          <w:color w:val="000000" w:themeColor="text1"/>
          <w:sz w:val="24"/>
          <w:szCs w:val="24"/>
          <w:lang w:val="en-US" w:eastAsia="zh-CN"/>
          <w14:textFill>
            <w14:solidFill>
              <w14:schemeClr w14:val="tx1"/>
            </w14:solidFill>
          </w14:textFill>
        </w:rPr>
        <w:t>好房子”</w:t>
      </w:r>
      <w:r>
        <w:rPr>
          <w:rFonts w:hint="eastAsia" w:ascii="仿宋" w:hAnsi="仿宋" w:cs="仿宋"/>
          <w:color w:val="000000" w:themeColor="text1"/>
          <w:sz w:val="24"/>
          <w:szCs w:val="24"/>
          <w14:textFill>
            <w14:solidFill>
              <w14:schemeClr w14:val="tx1"/>
            </w14:solidFill>
          </w14:textFill>
        </w:rPr>
        <w:t>混凝土结构的建筑支撑体应采取有效措施提高其耐久性。</w:t>
      </w:r>
      <w:r>
        <w:rPr>
          <w:rFonts w:hint="eastAsia" w:ascii="仿宋" w:hAnsi="仿宋" w:cs="仿宋"/>
          <w:color w:val="000000" w:themeColor="text1"/>
          <w:sz w:val="24"/>
          <w:szCs w:val="24"/>
          <w:lang w:val="en-US" w:eastAsia="zh-CN"/>
          <w14:textFill>
            <w14:solidFill>
              <w14:schemeClr w14:val="tx1"/>
            </w14:solidFill>
          </w14:textFill>
        </w:rPr>
        <w:t>通过</w:t>
      </w:r>
      <w:r>
        <w:rPr>
          <w:rFonts w:hint="eastAsia" w:ascii="仿宋" w:hAnsi="仿宋" w:cs="仿宋"/>
          <w:color w:val="000000" w:themeColor="text1"/>
          <w:sz w:val="24"/>
          <w:szCs w:val="24"/>
          <w14:textFill>
            <w14:solidFill>
              <w14:schemeClr w14:val="tx1"/>
            </w14:solidFill>
          </w14:textFill>
        </w:rPr>
        <w:t>提高结构构件的截面</w:t>
      </w:r>
      <w:r>
        <w:rPr>
          <w:rFonts w:hint="eastAsia" w:ascii="仿宋" w:hAnsi="仿宋" w:cs="仿宋"/>
          <w:color w:val="000000" w:themeColor="text1"/>
          <w:sz w:val="24"/>
          <w:szCs w:val="24"/>
          <w:lang w:eastAsia="zh-CN"/>
          <w14:textFill>
            <w14:solidFill>
              <w14:schemeClr w14:val="tx1"/>
            </w14:solidFill>
          </w14:textFill>
        </w:rPr>
        <w:t>，以</w:t>
      </w:r>
      <w:r>
        <w:rPr>
          <w:rFonts w:hint="eastAsia" w:ascii="仿宋" w:hAnsi="仿宋" w:cs="仿宋"/>
          <w:color w:val="000000" w:themeColor="text1"/>
          <w:sz w:val="24"/>
          <w:szCs w:val="24"/>
          <w14:textFill>
            <w14:solidFill>
              <w14:schemeClr w14:val="tx1"/>
            </w14:solidFill>
          </w14:textFill>
        </w:rPr>
        <w:t>及相关的裂缝和抗渗要求</w:t>
      </w:r>
      <w:r>
        <w:rPr>
          <w:rFonts w:hint="eastAsia" w:ascii="仿宋" w:hAnsi="仿宋" w:cs="仿宋"/>
          <w:color w:val="000000" w:themeColor="text1"/>
          <w:sz w:val="24"/>
          <w:szCs w:val="24"/>
          <w:lang w:eastAsia="zh-CN"/>
          <w14:textFill>
            <w14:solidFill>
              <w14:schemeClr w14:val="tx1"/>
            </w14:solidFill>
          </w14:textFill>
        </w:rPr>
        <w:t>，</w:t>
      </w:r>
      <w:r>
        <w:rPr>
          <w:rFonts w:hint="eastAsia" w:ascii="仿宋" w:hAnsi="仿宋" w:cs="仿宋"/>
          <w:color w:val="000000" w:themeColor="text1"/>
          <w:sz w:val="24"/>
          <w:szCs w:val="24"/>
          <w:lang w:val="en-US" w:eastAsia="zh-CN"/>
          <w14:textFill>
            <w14:solidFill>
              <w14:schemeClr w14:val="tx1"/>
            </w14:solidFill>
          </w14:textFill>
        </w:rPr>
        <w:t>满足其提高耐久性的目的</w:t>
      </w:r>
      <w:r>
        <w:rPr>
          <w:rFonts w:hint="eastAsia" w:ascii="仿宋" w:hAnsi="仿宋" w:cs="仿宋"/>
          <w:color w:val="000000" w:themeColor="text1"/>
          <w:sz w:val="24"/>
          <w:szCs w:val="24"/>
          <w14:textFill>
            <w14:solidFill>
              <w14:schemeClr w14:val="tx1"/>
            </w14:solidFill>
          </w14:textFill>
        </w:rPr>
        <w:t>。</w:t>
      </w:r>
    </w:p>
    <w:p w14:paraId="2547F43B">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5.3.4 </w:t>
      </w:r>
      <w:r>
        <w:rPr>
          <w:rFonts w:hint="eastAsia" w:ascii="仿宋" w:hAnsi="仿宋" w:cs="仿宋"/>
          <w:color w:val="000000" w:themeColor="text1"/>
          <w:sz w:val="24"/>
          <w:szCs w:val="24"/>
          <w:lang w:eastAsia="zh-CN"/>
          <w14:textFill>
            <w14:solidFill>
              <w14:schemeClr w14:val="tx1"/>
            </w14:solidFill>
          </w14:textFill>
        </w:rPr>
        <w:t>“</w:t>
      </w:r>
      <w:r>
        <w:rPr>
          <w:rFonts w:hint="eastAsia" w:ascii="仿宋" w:hAnsi="仿宋" w:cs="仿宋"/>
          <w:color w:val="000000" w:themeColor="text1"/>
          <w:sz w:val="24"/>
          <w:szCs w:val="24"/>
          <w:lang w:val="en-US" w:eastAsia="zh-CN"/>
          <w14:textFill>
            <w14:solidFill>
              <w14:schemeClr w14:val="tx1"/>
            </w14:solidFill>
          </w14:textFill>
        </w:rPr>
        <w:t>好房子”同时要满足低碳环保的要求，住宅剪力墙结构</w:t>
      </w:r>
      <w:r>
        <w:rPr>
          <w:rFonts w:hint="eastAsia" w:ascii="仿宋" w:hAnsi="仿宋" w:cs="仿宋"/>
          <w:color w:val="000000" w:themeColor="text1"/>
          <w:sz w:val="24"/>
          <w:szCs w:val="24"/>
          <w14:textFill>
            <w14:solidFill>
              <w14:schemeClr w14:val="tx1"/>
            </w14:solidFill>
          </w14:textFill>
        </w:rPr>
        <w:t>采用高精度模板</w:t>
      </w:r>
      <w:r>
        <w:rPr>
          <w:rFonts w:hint="eastAsia" w:ascii="仿宋" w:hAnsi="仿宋" w:cs="仿宋"/>
          <w:color w:val="000000" w:themeColor="text1"/>
          <w:sz w:val="24"/>
          <w:szCs w:val="24"/>
          <w:lang w:val="en-US" w:eastAsia="zh-CN"/>
          <w14:textFill>
            <w14:solidFill>
              <w14:schemeClr w14:val="tx1"/>
            </w14:solidFill>
          </w14:textFill>
        </w:rPr>
        <w:t>可以提高施工质量，</w:t>
      </w:r>
      <w:r>
        <w:rPr>
          <w:rFonts w:hint="eastAsia" w:ascii="仿宋" w:hAnsi="仿宋" w:cs="仿宋"/>
          <w:color w:val="000000" w:themeColor="text1"/>
          <w:sz w:val="24"/>
          <w:szCs w:val="24"/>
          <w14:textFill>
            <w14:solidFill>
              <w14:schemeClr w14:val="tx1"/>
            </w14:solidFill>
          </w14:textFill>
        </w:rPr>
        <w:t>装配式墙板</w:t>
      </w:r>
      <w:r>
        <w:rPr>
          <w:rFonts w:hint="eastAsia" w:ascii="仿宋" w:hAnsi="仿宋" w:cs="仿宋"/>
          <w:color w:val="000000" w:themeColor="text1"/>
          <w:sz w:val="24"/>
          <w:szCs w:val="24"/>
          <w:lang w:val="en-US" w:eastAsia="zh-CN"/>
          <w14:textFill>
            <w14:solidFill>
              <w14:schemeClr w14:val="tx1"/>
            </w14:solidFill>
          </w14:textFill>
        </w:rPr>
        <w:t>等</w:t>
      </w:r>
      <w:r>
        <w:rPr>
          <w:rFonts w:hint="eastAsia" w:ascii="仿宋" w:hAnsi="仿宋" w:cs="仿宋"/>
          <w:color w:val="000000" w:themeColor="text1"/>
          <w:sz w:val="24"/>
          <w:szCs w:val="24"/>
          <w:lang w:val="en-US" w:eastAsia="zh-CN"/>
          <w14:textFill>
            <w14:solidFill>
              <w14:schemeClr w14:val="tx1"/>
            </w14:solidFill>
          </w14:textFill>
        </w:rPr>
        <w:t>措施可</w:t>
      </w:r>
      <w:r>
        <w:rPr>
          <w:rFonts w:hint="eastAsia" w:ascii="仿宋" w:hAnsi="仿宋" w:cs="仿宋"/>
          <w:color w:val="000000" w:themeColor="text1"/>
          <w:sz w:val="24"/>
          <w:szCs w:val="24"/>
          <w:lang w:val="en-US" w:eastAsia="zh-CN"/>
          <w14:textFill>
            <w14:solidFill>
              <w14:schemeClr w14:val="tx1"/>
            </w14:solidFill>
          </w14:textFill>
        </w:rPr>
        <w:t>满足国家低碳环保的政策需要</w:t>
      </w:r>
      <w:r>
        <w:rPr>
          <w:rFonts w:hint="eastAsia" w:ascii="仿宋" w:hAnsi="仿宋" w:cs="仿宋"/>
          <w:color w:val="000000" w:themeColor="text1"/>
          <w:sz w:val="24"/>
          <w:szCs w:val="24"/>
          <w14:textFill>
            <w14:solidFill>
              <w14:schemeClr w14:val="tx1"/>
            </w14:solidFill>
          </w14:textFill>
        </w:rPr>
        <w:t>。</w:t>
      </w:r>
    </w:p>
    <w:p w14:paraId="139564FB">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p>
    <w:p w14:paraId="69F2F6B1">
      <w:pPr>
        <w:pStyle w:val="3"/>
        <w:ind w:firstLine="643"/>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5.4 给排水设计</w:t>
      </w:r>
    </w:p>
    <w:p w14:paraId="7B947916">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5.4.1 </w:t>
      </w:r>
      <w:r>
        <w:rPr>
          <w:rFonts w:hint="eastAsia" w:ascii="仿宋" w:hAnsi="仿宋" w:cs="仿宋"/>
          <w:color w:val="000000" w:themeColor="text1"/>
          <w:sz w:val="24"/>
          <w:szCs w:val="24"/>
          <w:lang w:val="en-US" w:eastAsia="zh-CN"/>
          <w14:textFill>
            <w14:solidFill>
              <w14:schemeClr w14:val="tx1"/>
            </w14:solidFill>
          </w14:textFill>
        </w:rPr>
        <w:t>第1款，住户素质参差不齐，有出现一家住户错误操作污染自家生活给水，给水倒流污染了整栋楼给水的情况。</w:t>
      </w:r>
    </w:p>
    <w:p w14:paraId="5CBEF39A">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2款，水封是保障室内环境健康的重要手段，因此做相应保护措施。补充水封水量的措施有：地漏与其他常排水的卫生器具共用存水弯、水封补水设备等。防止水封破坏的措施有：排水管道设计流量上限按《建筑给水排水设计标准》GB 50015中相关规定的70%～80%取值等。</w:t>
      </w:r>
    </w:p>
    <w:p w14:paraId="68FAA65C">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第3款，疫情期间采用干净的水源有利于减少病毒滋生传播。</w:t>
      </w:r>
    </w:p>
    <w:p w14:paraId="18EB8780">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第4款，疫情期间住户内给水采取“只进不出”的原则以减少病毒传播途径。</w:t>
      </w:r>
    </w:p>
    <w:p w14:paraId="12952827">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第5款，配水管采用环状供水可有效减少其死水区，保证用水品质。</w:t>
      </w:r>
    </w:p>
    <w:p w14:paraId="3CED9299">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5.4.2 </w:t>
      </w:r>
      <w:r>
        <w:rPr>
          <w:rFonts w:hint="eastAsia" w:ascii="仿宋" w:hAnsi="仿宋" w:cs="仿宋"/>
          <w:color w:val="000000" w:themeColor="text1"/>
          <w:sz w:val="24"/>
          <w:szCs w:val="24"/>
          <w:lang w:val="en-US" w:eastAsia="zh-CN"/>
          <w14:textFill>
            <w14:solidFill>
              <w14:schemeClr w14:val="tx1"/>
            </w14:solidFill>
          </w14:textFill>
        </w:rPr>
        <w:t>为提高并保证住户用水品质做相应推荐措施。</w:t>
      </w:r>
    </w:p>
    <w:p w14:paraId="79319B0A">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5.4.4 </w:t>
      </w:r>
      <w:r>
        <w:rPr>
          <w:rFonts w:hint="eastAsia" w:ascii="仿宋" w:hAnsi="仿宋" w:cs="仿宋"/>
          <w:color w:val="000000" w:themeColor="text1"/>
          <w:sz w:val="24"/>
          <w:szCs w:val="24"/>
          <w:lang w:val="en-US" w:eastAsia="zh-CN"/>
          <w14:textFill>
            <w14:solidFill>
              <w14:schemeClr w14:val="tx1"/>
            </w14:solidFill>
          </w14:textFill>
        </w:rPr>
        <w:t>小区中水系统应经水量平衡计算合理。</w:t>
      </w:r>
    </w:p>
    <w:p w14:paraId="0AC2EB03">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5.4.6 </w:t>
      </w:r>
      <w:r>
        <w:rPr>
          <w:rFonts w:hint="eastAsia" w:ascii="仿宋" w:hAnsi="仿宋" w:cs="仿宋"/>
          <w:color w:val="000000" w:themeColor="text1"/>
          <w:sz w:val="24"/>
          <w:szCs w:val="24"/>
          <w:lang w:val="en-US" w:eastAsia="zh-CN"/>
          <w14:textFill>
            <w14:solidFill>
              <w14:schemeClr w14:val="tx1"/>
            </w14:solidFill>
          </w14:textFill>
        </w:rPr>
        <w:t>为提高住户用水便利及住宅环境舒适度做相应推荐措施。</w:t>
      </w:r>
    </w:p>
    <w:p w14:paraId="0A3D135F">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5.4.8 </w:t>
      </w:r>
      <w:r>
        <w:rPr>
          <w:rFonts w:hint="eastAsia" w:ascii="仿宋" w:hAnsi="仿宋" w:cs="仿宋"/>
          <w:color w:val="000000" w:themeColor="text1"/>
          <w:sz w:val="24"/>
          <w:szCs w:val="24"/>
          <w:lang w:val="en-US" w:eastAsia="zh-CN"/>
          <w14:textFill>
            <w14:solidFill>
              <w14:schemeClr w14:val="tx1"/>
            </w14:solidFill>
          </w14:textFill>
        </w:rPr>
        <w:t>第1款，减少住户与管理单位使用权限纠纷做此规定。</w:t>
      </w:r>
    </w:p>
    <w:p w14:paraId="22F6B4D0">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第2款， 提高住宅公共空间美观度做此规定。</w:t>
      </w:r>
    </w:p>
    <w:p w14:paraId="35A50137">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第4款， 方便管理维护人员</w:t>
      </w:r>
      <w:r>
        <w:rPr>
          <w:rFonts w:hint="eastAsia" w:ascii="仿宋" w:hAnsi="仿宋" w:cs="仿宋"/>
          <w:color w:val="000000" w:themeColor="text1"/>
          <w:sz w:val="24"/>
          <w:szCs w:val="24"/>
          <w:lang w:val="en-US" w:eastAsia="zh-CN"/>
          <w14:textFill>
            <w14:solidFill>
              <w14:schemeClr w14:val="tx1"/>
            </w14:solidFill>
          </w14:textFill>
        </w:rPr>
        <w:t>操作作</w:t>
      </w:r>
      <w:r>
        <w:rPr>
          <w:rFonts w:hint="eastAsia" w:ascii="仿宋" w:hAnsi="仿宋" w:cs="仿宋"/>
          <w:color w:val="000000" w:themeColor="text1"/>
          <w:sz w:val="24"/>
          <w:szCs w:val="24"/>
          <w:lang w:val="en-US" w:eastAsia="zh-CN"/>
          <w14:textFill>
            <w14:solidFill>
              <w14:schemeClr w14:val="tx1"/>
            </w14:solidFill>
          </w14:textFill>
        </w:rPr>
        <w:t>此规定。</w:t>
      </w:r>
    </w:p>
    <w:p w14:paraId="3029766F">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5.4.9 </w:t>
      </w:r>
      <w:r>
        <w:rPr>
          <w:rFonts w:hint="eastAsia" w:ascii="仿宋" w:hAnsi="仿宋" w:cs="仿宋"/>
          <w:color w:val="000000" w:themeColor="text1"/>
          <w:sz w:val="24"/>
          <w:szCs w:val="24"/>
          <w:lang w:val="en-US" w:eastAsia="zh-CN"/>
          <w14:textFill>
            <w14:solidFill>
              <w14:schemeClr w14:val="tx1"/>
            </w14:solidFill>
          </w14:textFill>
        </w:rPr>
        <w:t>响应国家节水政策。</w:t>
      </w:r>
    </w:p>
    <w:p w14:paraId="3F1E5A1E">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5.4.10 </w:t>
      </w:r>
      <w:r>
        <w:rPr>
          <w:rFonts w:hint="eastAsia" w:ascii="仿宋" w:hAnsi="仿宋" w:cs="仿宋"/>
          <w:color w:val="000000" w:themeColor="text1"/>
          <w:sz w:val="24"/>
          <w:szCs w:val="24"/>
          <w:lang w:val="en-US" w:eastAsia="zh-CN"/>
          <w14:textFill>
            <w14:solidFill>
              <w14:schemeClr w14:val="tx1"/>
            </w14:solidFill>
          </w14:textFill>
        </w:rPr>
        <w:t>《住宅项目规范》GB55038中提出了住宅内噪声控制的要求，因此本规范</w:t>
      </w:r>
      <w:r>
        <w:rPr>
          <w:rFonts w:hint="eastAsia" w:ascii="仿宋" w:hAnsi="仿宋" w:cs="仿宋"/>
          <w:color w:val="000000" w:themeColor="text1"/>
          <w:sz w:val="24"/>
          <w:szCs w:val="24"/>
          <w:lang w:val="en-US" w:eastAsia="zh-CN"/>
          <w14:textFill>
            <w14:solidFill>
              <w14:schemeClr w14:val="tx1"/>
            </w14:solidFill>
          </w14:textFill>
        </w:rPr>
        <w:t>做出相应要求</w:t>
      </w:r>
      <w:r>
        <w:rPr>
          <w:rFonts w:hint="eastAsia" w:ascii="仿宋" w:hAnsi="仿宋" w:cs="仿宋"/>
          <w:color w:val="000000" w:themeColor="text1"/>
          <w:sz w:val="24"/>
          <w:szCs w:val="24"/>
          <w:lang w:val="en-US" w:eastAsia="zh-CN"/>
          <w14:textFill>
            <w14:solidFill>
              <w14:schemeClr w14:val="tx1"/>
            </w14:solidFill>
          </w14:textFill>
        </w:rPr>
        <w:t>。</w:t>
      </w:r>
    </w:p>
    <w:p w14:paraId="48D51ED6">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p>
    <w:p w14:paraId="75FA4A4B">
      <w:pPr>
        <w:pStyle w:val="3"/>
        <w:ind w:firstLine="643"/>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5.5 暖通空调设计</w:t>
      </w:r>
    </w:p>
    <w:p w14:paraId="7A68445C">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5.5.1 </w:t>
      </w:r>
      <w:r>
        <w:rPr>
          <w:rFonts w:hint="eastAsia" w:ascii="仿宋" w:hAnsi="仿宋" w:cs="仿宋"/>
          <w:color w:val="000000" w:themeColor="text1"/>
          <w:sz w:val="24"/>
          <w:szCs w:val="24"/>
          <w:lang w:val="en-US" w:eastAsia="zh-CN"/>
          <w14:textFill>
            <w14:solidFill>
              <w14:schemeClr w14:val="tx1"/>
            </w14:solidFill>
          </w14:textFill>
        </w:rPr>
        <w:t>目前住宅已经要求实行分户计量，热作为一种特殊的商品应为不同需求的用户提供选择的余地，室内设计温度比《住宅项目规范》中卧室、起居室、卫生间冬季供暖下限要求高2℃。</w:t>
      </w:r>
    </w:p>
    <w:p w14:paraId="5DC982B2">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5.5.2 </w:t>
      </w:r>
      <w:r>
        <w:rPr>
          <w:rFonts w:hint="eastAsia" w:ascii="仿宋" w:hAnsi="仿宋" w:cs="仿宋"/>
          <w:color w:val="000000" w:themeColor="text1"/>
          <w:sz w:val="24"/>
          <w:szCs w:val="24"/>
          <w:lang w:val="en-US" w:eastAsia="zh-CN"/>
          <w14:textFill>
            <w14:solidFill>
              <w14:schemeClr w14:val="tx1"/>
            </w14:solidFill>
          </w14:textFill>
        </w:rPr>
        <w:t>对于采用辐射供冷的系统，新风量的要求需要根据承担的负荷情况计算后确定。</w:t>
      </w:r>
    </w:p>
    <w:p w14:paraId="1EFC4999">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5.5.3 </w:t>
      </w:r>
      <w:r>
        <w:rPr>
          <w:rFonts w:hint="eastAsia" w:ascii="仿宋" w:hAnsi="仿宋" w:cs="仿宋"/>
          <w:color w:val="000000" w:themeColor="text1"/>
          <w:sz w:val="24"/>
          <w:szCs w:val="24"/>
          <w:lang w:val="en-US" w:eastAsia="zh-CN"/>
          <w14:textFill>
            <w14:solidFill>
              <w14:schemeClr w14:val="tx1"/>
            </w14:solidFill>
          </w14:textFill>
        </w:rPr>
        <w:t>本条是对低温地板辐射供暖系统的温控方式的要求，实践发现采用整体控温方式，由于温度传感器的设置位置不合理等因素导致部分房间温度不达标，采用分环路控制或其他措施来实现对最不利房间温度的保障。</w:t>
      </w:r>
    </w:p>
    <w:p w14:paraId="5AA742A5">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5.5.9 </w:t>
      </w:r>
      <w:r>
        <w:rPr>
          <w:rFonts w:hint="eastAsia" w:ascii="仿宋" w:hAnsi="仿宋" w:cs="仿宋"/>
          <w:color w:val="000000" w:themeColor="text1"/>
          <w:sz w:val="24"/>
          <w:szCs w:val="24"/>
          <w:lang w:val="en-US" w:eastAsia="zh-CN"/>
          <w14:textFill>
            <w14:solidFill>
              <w14:schemeClr w14:val="tx1"/>
            </w14:solidFill>
          </w14:textFill>
        </w:rPr>
        <w:t>为防止室外机散热对空调房间的影响以及室外机工作噪声的影响，要求室外机出风口不得正对窗户，且在技术要求的距离范围内尽量远离卧室，确有困难时，需采取措施降低室外机工作</w:t>
      </w:r>
      <w:r>
        <w:rPr>
          <w:rFonts w:hint="eastAsia" w:ascii="仿宋" w:hAnsi="仿宋" w:cs="仿宋"/>
          <w:color w:val="000000" w:themeColor="text1"/>
          <w:sz w:val="24"/>
          <w:szCs w:val="24"/>
          <w:lang w:val="en-US" w:eastAsia="zh-CN"/>
          <w14:textFill>
            <w14:solidFill>
              <w14:schemeClr w14:val="tx1"/>
            </w14:solidFill>
          </w14:textFill>
        </w:rPr>
        <w:t>噪声</w:t>
      </w:r>
      <w:r>
        <w:rPr>
          <w:rFonts w:hint="eastAsia" w:ascii="仿宋" w:hAnsi="仿宋" w:cs="仿宋"/>
          <w:color w:val="000000" w:themeColor="text1"/>
          <w:sz w:val="24"/>
          <w:szCs w:val="24"/>
          <w:lang w:val="en-US" w:eastAsia="zh-CN"/>
          <w14:textFill>
            <w14:solidFill>
              <w14:schemeClr w14:val="tx1"/>
            </w14:solidFill>
          </w14:textFill>
        </w:rPr>
        <w:t>或采取隔声处理。</w:t>
      </w:r>
    </w:p>
    <w:p w14:paraId="39F75213">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p>
    <w:p w14:paraId="2AF7CDA7">
      <w:pPr>
        <w:pStyle w:val="3"/>
        <w:ind w:firstLine="643"/>
        <w:jc w:val="center"/>
        <w:rPr>
          <w:rFonts w:hint="eastAsia" w:ascii="仿宋" w:hAnsi="仿宋" w:cs="仿宋"/>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6</w:t>
      </w:r>
      <w:r>
        <w:rPr>
          <w:rFonts w:hint="eastAsia"/>
          <w:color w:val="000000" w:themeColor="text1"/>
          <w:sz w:val="24"/>
          <w:szCs w:val="24"/>
          <w14:textFill>
            <w14:solidFill>
              <w14:schemeClr w14:val="tx1"/>
            </w14:solidFill>
          </w14:textFill>
        </w:rPr>
        <w:t xml:space="preserve"> </w:t>
      </w:r>
      <w:r>
        <w:rPr>
          <w:rFonts w:hint="eastAsia"/>
          <w:color w:val="000000" w:themeColor="text1"/>
          <w:sz w:val="24"/>
          <w:szCs w:val="24"/>
          <w:lang w:val="en-US" w:eastAsia="zh-CN"/>
          <w14:textFill>
            <w14:solidFill>
              <w14:schemeClr w14:val="tx1"/>
            </w14:solidFill>
          </w14:textFill>
        </w:rPr>
        <w:t>燃气</w:t>
      </w:r>
      <w:r>
        <w:rPr>
          <w:rFonts w:hint="eastAsia"/>
          <w:color w:val="000000" w:themeColor="text1"/>
          <w:sz w:val="24"/>
          <w:szCs w:val="24"/>
          <w14:textFill>
            <w14:solidFill>
              <w14:schemeClr w14:val="tx1"/>
            </w14:solidFill>
          </w14:textFill>
        </w:rPr>
        <w:t>设计</w:t>
      </w:r>
    </w:p>
    <w:p w14:paraId="47D39EFB">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6</w:t>
      </w:r>
      <w:r>
        <w:rPr>
          <w:rFonts w:hint="eastAsia" w:ascii="仿宋" w:hAnsi="仿宋" w:cs="仿宋"/>
          <w:color w:val="000000" w:themeColor="text1"/>
          <w:sz w:val="24"/>
          <w:szCs w:val="24"/>
          <w14:textFill>
            <w14:solidFill>
              <w14:schemeClr w14:val="tx1"/>
            </w14:solidFill>
          </w14:textFill>
        </w:rPr>
        <w:t xml:space="preserve">.1 </w:t>
      </w:r>
      <w:r>
        <w:rPr>
          <w:rFonts w:hint="eastAsia" w:ascii="仿宋" w:hAnsi="仿宋" w:cs="仿宋"/>
          <w:color w:val="000000" w:themeColor="text1"/>
          <w:sz w:val="24"/>
          <w:szCs w:val="24"/>
          <w:lang w:val="en-US" w:eastAsia="zh-CN"/>
          <w14:textFill>
            <w14:solidFill>
              <w14:schemeClr w14:val="tx1"/>
            </w14:solidFill>
          </w14:textFill>
        </w:rPr>
        <w:t>《城镇燃气设计规范》规定引入管的阀门宜设置在室内，根据现场调研，发现部分工程的燃气引入管阀门设置在套内，一方面对套内使用造成影响，另一方面管理上带来不便，存在安全隐患。</w:t>
      </w:r>
    </w:p>
    <w:p w14:paraId="1015A97B">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5.6.2 根据《城镇燃气设计规范》规定引入管不得在地面下水平敷设，根据现场调研，发现部分工程的燃气引入管在套内水平明装，带来使用和管理上的不便，该条文目的是要求建筑设计过程中要充分考虑燃气管的位置。</w:t>
      </w:r>
    </w:p>
    <w:p w14:paraId="3C5F1FF8">
      <w:pPr>
        <w:pStyle w:val="19"/>
        <w:ind w:firstLine="0" w:firstLineChars="0"/>
        <w:rPr>
          <w:rFonts w:hint="eastAsia" w:cs="黑体"/>
          <w:i/>
          <w:iCs/>
          <w:color w:val="000000" w:themeColor="text1"/>
          <w:sz w:val="24"/>
          <w:szCs w:val="24"/>
          <w14:textFill>
            <w14:solidFill>
              <w14:schemeClr w14:val="tx1"/>
            </w14:solidFill>
          </w14:textFill>
        </w:rPr>
      </w:pPr>
    </w:p>
    <w:p w14:paraId="090F439F">
      <w:pPr>
        <w:pStyle w:val="3"/>
        <w:ind w:firstLine="643"/>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7</w:t>
      </w:r>
      <w:r>
        <w:rPr>
          <w:rFonts w:hint="eastAsia"/>
          <w:color w:val="000000" w:themeColor="text1"/>
          <w:sz w:val="24"/>
          <w:szCs w:val="24"/>
          <w14:textFill>
            <w14:solidFill>
              <w14:schemeClr w14:val="tx1"/>
            </w14:solidFill>
          </w14:textFill>
        </w:rPr>
        <w:t xml:space="preserve"> 供配电设计</w:t>
      </w:r>
    </w:p>
    <w:p w14:paraId="3FF1FDC9">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7</w:t>
      </w:r>
      <w:r>
        <w:rPr>
          <w:rFonts w:hint="eastAsia" w:ascii="仿宋" w:hAnsi="仿宋" w:cs="仿宋"/>
          <w:color w:val="000000" w:themeColor="text1"/>
          <w:sz w:val="24"/>
          <w:szCs w:val="24"/>
          <w14:textFill>
            <w14:solidFill>
              <w14:schemeClr w14:val="tx1"/>
            </w14:solidFill>
          </w14:textFill>
        </w:rPr>
        <w:t xml:space="preserve">.1 </w:t>
      </w:r>
      <w:r>
        <w:rPr>
          <w:rFonts w:hint="eastAsia" w:ascii="仿宋" w:hAnsi="仿宋" w:cs="仿宋"/>
          <w:color w:val="000000" w:themeColor="text1"/>
          <w:sz w:val="24"/>
          <w:szCs w:val="24"/>
          <w:lang w:val="en-US" w:eastAsia="zh-CN"/>
          <w14:textFill>
            <w14:solidFill>
              <w14:schemeClr w14:val="tx1"/>
            </w14:solidFill>
          </w14:textFill>
        </w:rPr>
        <w:t>在发生突发事件时，救护顺畅非常重要，应在居住建筑的大堂设置应急救护插座。</w:t>
      </w:r>
    </w:p>
    <w:p w14:paraId="028E20A8">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7</w:t>
      </w:r>
      <w:r>
        <w:rPr>
          <w:rFonts w:hint="eastAsia" w:ascii="仿宋" w:hAnsi="仿宋" w:cs="仿宋"/>
          <w:color w:val="000000" w:themeColor="text1"/>
          <w:sz w:val="24"/>
          <w:szCs w:val="24"/>
          <w14:textFill>
            <w14:solidFill>
              <w14:schemeClr w14:val="tx1"/>
            </w14:solidFill>
          </w14:textFill>
        </w:rPr>
        <w:t>.</w:t>
      </w:r>
      <w:r>
        <w:rPr>
          <w:rFonts w:hint="eastAsia" w:ascii="仿宋" w:hAnsi="仿宋" w:cs="仿宋"/>
          <w:color w:val="000000" w:themeColor="text1"/>
          <w:sz w:val="24"/>
          <w:szCs w:val="24"/>
          <w:lang w:val="en-US" w:eastAsia="zh-CN"/>
          <w14:textFill>
            <w14:solidFill>
              <w14:schemeClr w14:val="tx1"/>
            </w14:solidFill>
          </w14:textFill>
        </w:rPr>
        <w:t>5 在每栋楼座设置楼栋编号标识电源，保证夜间时标识清晰可见，确保日常或紧急情况下能准确指示指定地点。</w:t>
      </w:r>
    </w:p>
    <w:p w14:paraId="714C565E">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7</w:t>
      </w:r>
      <w:r>
        <w:rPr>
          <w:rFonts w:hint="eastAsia" w:ascii="仿宋" w:hAnsi="仿宋" w:cs="仿宋"/>
          <w:color w:val="000000" w:themeColor="text1"/>
          <w:sz w:val="24"/>
          <w:szCs w:val="24"/>
          <w14:textFill>
            <w14:solidFill>
              <w14:schemeClr w14:val="tx1"/>
            </w14:solidFill>
          </w14:textFill>
        </w:rPr>
        <w:t>.</w:t>
      </w:r>
      <w:r>
        <w:rPr>
          <w:rFonts w:hint="eastAsia" w:ascii="仿宋" w:hAnsi="仿宋" w:cs="仿宋"/>
          <w:color w:val="000000" w:themeColor="text1"/>
          <w:sz w:val="24"/>
          <w:szCs w:val="24"/>
          <w:lang w:val="en-US" w:eastAsia="zh-CN"/>
          <w14:textFill>
            <w14:solidFill>
              <w14:schemeClr w14:val="tx1"/>
            </w14:solidFill>
          </w14:textFill>
        </w:rPr>
        <w:t>6</w:t>
      </w:r>
      <w:r>
        <w:rPr>
          <w:rFonts w:hint="eastAsia" w:ascii="仿宋" w:hAnsi="仿宋" w:cs="仿宋"/>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lang w:val="en-US" w:eastAsia="zh-CN"/>
          <w14:textFill>
            <w14:solidFill>
              <w14:schemeClr w14:val="tx1"/>
            </w14:solidFill>
          </w14:textFill>
        </w:rPr>
        <w:t>入户处应设置户内一般照明总开关，能够快速改变光环境，避免人员在黑暗中寻找开关而可能引起的伤害。</w:t>
      </w:r>
    </w:p>
    <w:p w14:paraId="1F025447">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7</w:t>
      </w:r>
      <w:r>
        <w:rPr>
          <w:rFonts w:hint="eastAsia" w:ascii="仿宋" w:hAnsi="仿宋" w:cs="仿宋"/>
          <w:color w:val="000000" w:themeColor="text1"/>
          <w:sz w:val="24"/>
          <w:szCs w:val="24"/>
          <w14:textFill>
            <w14:solidFill>
              <w14:schemeClr w14:val="tx1"/>
            </w14:solidFill>
          </w14:textFill>
        </w:rPr>
        <w:t>.</w:t>
      </w:r>
      <w:r>
        <w:rPr>
          <w:rFonts w:hint="eastAsia" w:ascii="仿宋" w:hAnsi="仿宋" w:cs="仿宋"/>
          <w:color w:val="000000" w:themeColor="text1"/>
          <w:sz w:val="24"/>
          <w:szCs w:val="24"/>
          <w:lang w:val="en-US" w:eastAsia="zh-CN"/>
          <w14:textFill>
            <w14:solidFill>
              <w14:schemeClr w14:val="tx1"/>
            </w14:solidFill>
          </w14:textFill>
        </w:rPr>
        <w:t>7 对于智慧住宅建筑的数字家庭，可设置数字家庭综合箱，为住户提供多种人机交互方式，实现对智慧家居的灵活监控，达到低碳节能的目的。数字家庭综合箱设置位置应考虑强、弱电管线敷设的空间，其配电单元的底边距地高度应符合《住宅项目规范》GB55038-2025中家居配电箱的相关规定。</w:t>
      </w:r>
    </w:p>
    <w:p w14:paraId="039A1007">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7</w:t>
      </w:r>
      <w:r>
        <w:rPr>
          <w:rFonts w:hint="eastAsia" w:ascii="仿宋" w:hAnsi="仿宋" w:cs="仿宋"/>
          <w:color w:val="000000" w:themeColor="text1"/>
          <w:sz w:val="24"/>
          <w:szCs w:val="24"/>
          <w14:textFill>
            <w14:solidFill>
              <w14:schemeClr w14:val="tx1"/>
            </w14:solidFill>
          </w14:textFill>
        </w:rPr>
        <w:t>.</w:t>
      </w:r>
      <w:r>
        <w:rPr>
          <w:rFonts w:hint="eastAsia" w:ascii="仿宋" w:hAnsi="仿宋" w:cs="仿宋"/>
          <w:color w:val="000000" w:themeColor="text1"/>
          <w:sz w:val="24"/>
          <w:szCs w:val="24"/>
          <w:lang w:val="en-US" w:eastAsia="zh-CN"/>
          <w14:textFill>
            <w14:solidFill>
              <w14:schemeClr w14:val="tx1"/>
            </w14:solidFill>
          </w14:textFill>
        </w:rPr>
        <w:t>8 可支持“零火”式智能开关的选择。</w:t>
      </w:r>
    </w:p>
    <w:p w14:paraId="2213764D">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p>
    <w:p w14:paraId="62BD2865">
      <w:pPr>
        <w:pStyle w:val="3"/>
        <w:ind w:firstLine="643"/>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8</w:t>
      </w:r>
      <w:r>
        <w:rPr>
          <w:rFonts w:hint="eastAsia"/>
          <w:color w:val="000000" w:themeColor="text1"/>
          <w:sz w:val="24"/>
          <w:szCs w:val="24"/>
          <w14:textFill>
            <w14:solidFill>
              <w14:schemeClr w14:val="tx1"/>
            </w14:solidFill>
          </w14:textFill>
        </w:rPr>
        <w:t xml:space="preserve"> 智能化设计</w:t>
      </w:r>
    </w:p>
    <w:p w14:paraId="7783599C">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5.8.1</w:t>
      </w:r>
      <w:r>
        <w:rPr>
          <w:rFonts w:hint="eastAsia" w:ascii="仿宋" w:hAnsi="仿宋" w:cs="仿宋"/>
          <w:color w:val="000000" w:themeColor="text1"/>
          <w:sz w:val="24"/>
          <w:lang w:val="en-US" w:eastAsia="zh-CN"/>
          <w14:textFill>
            <w14:solidFill>
              <w14:schemeClr w14:val="tx1"/>
            </w14:solidFill>
          </w14:textFill>
        </w:rPr>
        <w:t xml:space="preserve"> </w:t>
      </w:r>
      <w:r>
        <w:rPr>
          <w:rFonts w:hint="eastAsia" w:ascii="仿宋" w:hAnsi="仿宋" w:cs="仿宋"/>
          <w:color w:val="000000" w:themeColor="text1"/>
          <w:sz w:val="24"/>
          <w:szCs w:val="24"/>
          <w14:textFill>
            <w14:solidFill>
              <w14:schemeClr w14:val="tx1"/>
            </w14:solidFill>
          </w14:textFill>
        </w:rPr>
        <w:t>当住宅建筑设有多层单元大堂时，可根据需要只在首层单元大堂设置。</w:t>
      </w:r>
    </w:p>
    <w:p w14:paraId="0518F4DE">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5.8.3</w:t>
      </w:r>
      <w:r>
        <w:rPr>
          <w:rFonts w:hint="eastAsia" w:ascii="仿宋" w:hAnsi="仿宋" w:cs="仿宋"/>
          <w:color w:val="000000" w:themeColor="text1"/>
          <w:sz w:val="24"/>
          <w:szCs w:val="24"/>
          <w:lang w:val="en-US" w:eastAsia="zh-CN"/>
          <w14:textFill>
            <w14:solidFill>
              <w14:schemeClr w14:val="tx1"/>
            </w14:solidFill>
          </w14:textFill>
        </w:rPr>
        <w:t xml:space="preserve"> 利用无线对讲系统的群呼/单呼等功能，方便物业人员之间的沟通。系统宜采用蜂窝网络通信方式，以节省投资及无线电频谱。</w:t>
      </w:r>
    </w:p>
    <w:p w14:paraId="12E3A7FC">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5.8.4</w:t>
      </w:r>
      <w:r>
        <w:rPr>
          <w:rFonts w:hint="eastAsia" w:ascii="仿宋" w:hAnsi="仿宋" w:cs="仿宋"/>
          <w:color w:val="000000" w:themeColor="text1"/>
          <w:sz w:val="24"/>
          <w:szCs w:val="24"/>
          <w:lang w:val="en-US" w:eastAsia="zh-CN"/>
          <w14:textFill>
            <w14:solidFill>
              <w14:schemeClr w14:val="tx1"/>
            </w14:solidFill>
          </w14:textFill>
        </w:rPr>
        <w:t xml:space="preserve"> 无窗的重要设备间，如安装了出入口控制系统，可将门磁开关作为入侵探测装置。重要设备间包括水、电、气、热、通信等设备间。</w:t>
      </w:r>
    </w:p>
    <w:p w14:paraId="0AA42801">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5.8.5</w:t>
      </w:r>
      <w:bookmarkStart w:id="130" w:name="_Hlk120196246"/>
      <w:r>
        <w:rPr>
          <w:rFonts w:hint="eastAsia" w:ascii="仿宋" w:hAnsi="仿宋" w:cs="仿宋"/>
          <w:color w:val="000000" w:themeColor="text1"/>
          <w:sz w:val="24"/>
          <w:szCs w:val="24"/>
          <w:lang w:val="en-US" w:eastAsia="zh-CN"/>
          <w14:textFill>
            <w14:solidFill>
              <w14:schemeClr w14:val="tx1"/>
            </w14:solidFill>
          </w14:textFill>
        </w:rPr>
        <w:t xml:space="preserve"> 视频监控系统显示及回放图像应达到以下要求：停车库（场）内、非机动车集中停放区，能清晰显示人员活动和车辆停放情况；寄递物品存放区，能清晰显示人员体貌特征和活动情况；室外消防通道，能清晰显示通道畅通状况；</w:t>
      </w:r>
      <w:bookmarkStart w:id="131" w:name="_Hlk83802151"/>
      <w:r>
        <w:rPr>
          <w:rFonts w:hint="eastAsia" w:ascii="仿宋" w:hAnsi="仿宋" w:cs="仿宋"/>
          <w:color w:val="000000" w:themeColor="text1"/>
          <w:sz w:val="24"/>
          <w:szCs w:val="24"/>
          <w:lang w:val="en-US" w:eastAsia="zh-CN"/>
          <w14:textFill>
            <w14:solidFill>
              <w14:schemeClr w14:val="tx1"/>
            </w14:solidFill>
          </w14:textFill>
        </w:rPr>
        <w:t>生活饮用水水箱间，应能清晰显示水箱周边人员的体貌特征和活动情况；</w:t>
      </w:r>
      <w:bookmarkEnd w:id="131"/>
      <w:r>
        <w:rPr>
          <w:rFonts w:hint="eastAsia" w:ascii="仿宋" w:hAnsi="仿宋" w:cs="仿宋"/>
          <w:color w:val="000000" w:themeColor="text1"/>
          <w:sz w:val="24"/>
          <w:szCs w:val="24"/>
          <w:lang w:val="en-US" w:eastAsia="zh-CN"/>
          <w14:textFill>
            <w14:solidFill>
              <w14:schemeClr w14:val="tx1"/>
            </w14:solidFill>
          </w14:textFill>
        </w:rPr>
        <w:t>电梯轿厢内，</w:t>
      </w:r>
      <w:r>
        <w:rPr>
          <w:rFonts w:hint="eastAsia" w:ascii="仿宋" w:hAnsi="仿宋" w:cs="仿宋"/>
          <w:color w:val="000000" w:themeColor="text1"/>
          <w:sz w:val="24"/>
          <w:szCs w:val="24"/>
          <w:lang w:val="en-US" w:eastAsia="zh-CN"/>
          <w14:textFill>
            <w14:solidFill>
              <w14:schemeClr w14:val="tx1"/>
            </w14:solidFill>
          </w14:textFill>
        </w:rPr>
        <w:t>能清晰显示</w:t>
      </w:r>
      <w:r>
        <w:rPr>
          <w:rFonts w:hint="eastAsia" w:ascii="仿宋" w:hAnsi="仿宋" w:cs="仿宋"/>
          <w:color w:val="000000" w:themeColor="text1"/>
          <w:sz w:val="24"/>
          <w:szCs w:val="24"/>
          <w:lang w:val="en-US" w:eastAsia="zh-CN"/>
          <w14:textFill>
            <w14:solidFill>
              <w14:schemeClr w14:val="tx1"/>
            </w14:solidFill>
          </w14:textFill>
        </w:rPr>
        <w:t>人员乘梯情况和楼层信息</w:t>
      </w:r>
      <w:bookmarkEnd w:id="130"/>
      <w:r>
        <w:rPr>
          <w:rFonts w:hint="eastAsia" w:ascii="仿宋" w:hAnsi="仿宋" w:cs="仿宋"/>
          <w:color w:val="000000" w:themeColor="text1"/>
          <w:sz w:val="24"/>
          <w:szCs w:val="24"/>
          <w:lang w:val="en-US" w:eastAsia="zh-CN"/>
          <w14:textFill>
            <w14:solidFill>
              <w14:schemeClr w14:val="tx1"/>
            </w14:solidFill>
          </w14:textFill>
        </w:rPr>
        <w:t>；防高空抛物，能清晰显示抛物情况；其余部位按《安全防范工程通用规范》（GB55029）执行。</w:t>
      </w:r>
    </w:p>
    <w:p w14:paraId="41976ABB">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5.8.6</w:t>
      </w:r>
      <w:r>
        <w:rPr>
          <w:rFonts w:hint="eastAsia" w:ascii="仿宋" w:hAnsi="仿宋" w:cs="仿宋"/>
          <w:color w:val="000000" w:themeColor="text1"/>
          <w:sz w:val="24"/>
          <w:szCs w:val="24"/>
          <w:lang w:val="en-US" w:eastAsia="zh-CN"/>
          <w14:textFill>
            <w14:solidFill>
              <w14:schemeClr w14:val="tx1"/>
            </w14:solidFill>
          </w14:textFill>
        </w:rPr>
        <w:t xml:space="preserve"> 小区人员及非机动车</w:t>
      </w:r>
      <w:r>
        <w:rPr>
          <w:rFonts w:hint="eastAsia" w:ascii="仿宋" w:hAnsi="仿宋" w:cs="仿宋"/>
          <w:color w:val="000000" w:themeColor="text1"/>
          <w:sz w:val="24"/>
          <w:szCs w:val="24"/>
          <w:lang w:val="en-US" w:eastAsia="zh-CN"/>
          <w14:textFill>
            <w14:solidFill>
              <w14:schemeClr w14:val="tx1"/>
            </w14:solidFill>
          </w14:textFill>
        </w:rPr>
        <w:t>出入口</w:t>
      </w:r>
      <w:r>
        <w:rPr>
          <w:rFonts w:hint="eastAsia" w:ascii="仿宋" w:hAnsi="仿宋" w:cs="仿宋"/>
          <w:color w:val="000000" w:themeColor="text1"/>
          <w:sz w:val="24"/>
          <w:szCs w:val="24"/>
          <w:lang w:val="en-US" w:eastAsia="zh-CN"/>
          <w14:textFill>
            <w14:solidFill>
              <w14:schemeClr w14:val="tx1"/>
            </w14:solidFill>
          </w14:textFill>
        </w:rPr>
        <w:t>控制系统宜用</w:t>
      </w:r>
      <w:r>
        <w:rPr>
          <w:rFonts w:hint="eastAsia" w:ascii="仿宋" w:hAnsi="仿宋" w:cs="仿宋"/>
          <w:color w:val="000000" w:themeColor="text1"/>
          <w:sz w:val="24"/>
          <w:szCs w:val="24"/>
          <w:lang w:val="en-US" w:eastAsia="zh-CN"/>
          <w14:textFill>
            <w14:solidFill>
              <w14:schemeClr w14:val="tx1"/>
            </w14:solidFill>
          </w14:textFill>
        </w:rPr>
        <w:t>楼寓对讲</w:t>
      </w:r>
      <w:r>
        <w:rPr>
          <w:rFonts w:hint="eastAsia" w:ascii="仿宋" w:hAnsi="仿宋" w:cs="仿宋"/>
          <w:color w:val="000000" w:themeColor="text1"/>
          <w:sz w:val="24"/>
          <w:szCs w:val="24"/>
          <w:lang w:val="en-US" w:eastAsia="zh-CN"/>
          <w14:textFill>
            <w14:solidFill>
              <w14:schemeClr w14:val="tx1"/>
            </w14:solidFill>
          </w14:textFill>
        </w:rPr>
        <w:t>系统共用。小区人员 / 非机动车出入口、机动车停车库（场）独立人员出入口、电梯控制（楼层控制）应与</w:t>
      </w:r>
      <w:r>
        <w:rPr>
          <w:rFonts w:hint="eastAsia" w:ascii="仿宋" w:hAnsi="仿宋" w:cs="仿宋"/>
          <w:color w:val="000000" w:themeColor="text1"/>
          <w:sz w:val="24"/>
          <w:szCs w:val="24"/>
          <w:lang w:val="en-US" w:eastAsia="zh-CN"/>
          <w14:textFill>
            <w14:solidFill>
              <w14:schemeClr w14:val="tx1"/>
            </w14:solidFill>
          </w14:textFill>
        </w:rPr>
        <w:t>楼寓对讲</w:t>
      </w:r>
      <w:r>
        <w:rPr>
          <w:rFonts w:hint="eastAsia" w:ascii="仿宋" w:hAnsi="仿宋" w:cs="仿宋"/>
          <w:color w:val="000000" w:themeColor="text1"/>
          <w:sz w:val="24"/>
          <w:szCs w:val="24"/>
          <w:lang w:val="en-US" w:eastAsia="zh-CN"/>
          <w14:textFill>
            <w14:solidFill>
              <w14:schemeClr w14:val="tx1"/>
            </w14:solidFill>
          </w14:textFill>
        </w:rPr>
        <w:t>系统共用识别凭证。《人脸识别技术应用安全管理办法》规定“实现相同目的或者达到同等业务要求，存在其他非人脸识别技术方式的，不得将人脸识别技术作为唯一验证方式。个人不同意通过人脸信息进行身份验证的，应当提供其他合理、便捷的方式。”。带楼层控制的电梯控制系统，当遇到突发情况时，如被同梯人员骚扰、同梯宠物撕咬等情况，能及时逃脱，同时视频监控系统显示及回放图像应能清晰显示人员貌特征。独立组网可以是VLAN形式，与其他系统互通时应经过安全设备，所有开放API的系统可共用网络。</w:t>
      </w:r>
    </w:p>
    <w:p w14:paraId="21AEE874">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5.8.8</w:t>
      </w:r>
      <w:r>
        <w:rPr>
          <w:rFonts w:hint="eastAsia" w:ascii="仿宋" w:hAnsi="仿宋" w:cs="仿宋"/>
          <w:color w:val="000000" w:themeColor="text1"/>
          <w:sz w:val="24"/>
          <w:szCs w:val="24"/>
          <w:lang w:val="en-US" w:eastAsia="zh-CN"/>
          <w14:textFill>
            <w14:solidFill>
              <w14:schemeClr w14:val="tx1"/>
            </w14:solidFill>
          </w14:textFill>
        </w:rPr>
        <w:t xml:space="preserve"> 同时抓拍车辆号牌和驾驶员面部是为了有纠纷时有更多证据。收费窗口及闸机均不宜设置在坡道上，</w:t>
      </w:r>
      <w:r>
        <w:rPr>
          <w:rFonts w:hint="eastAsia" w:ascii="仿宋" w:hAnsi="仿宋" w:cs="仿宋"/>
          <w:color w:val="000000" w:themeColor="text1"/>
          <w:sz w:val="24"/>
          <w:szCs w:val="24"/>
          <w:lang w:val="en-US" w:eastAsia="zh-CN"/>
          <w14:textFill>
            <w14:solidFill>
              <w14:schemeClr w14:val="tx1"/>
            </w14:solidFill>
          </w14:textFill>
        </w:rPr>
        <w:t>避免坡道起步</w:t>
      </w:r>
      <w:r>
        <w:rPr>
          <w:rFonts w:hint="eastAsia" w:ascii="仿宋" w:hAnsi="仿宋" w:cs="仿宋"/>
          <w:color w:val="000000" w:themeColor="text1"/>
          <w:sz w:val="24"/>
          <w:szCs w:val="24"/>
          <w:lang w:val="en-US" w:eastAsia="zh-CN"/>
          <w14:textFill>
            <w14:solidFill>
              <w14:schemeClr w14:val="tx1"/>
            </w14:solidFill>
          </w14:textFill>
        </w:rPr>
        <w:t>。</w:t>
      </w:r>
    </w:p>
    <w:p w14:paraId="36DF95F2">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5.8.9</w:t>
      </w:r>
      <w:r>
        <w:rPr>
          <w:rFonts w:hint="eastAsia" w:ascii="仿宋" w:hAnsi="仿宋" w:cs="仿宋"/>
          <w:color w:val="000000" w:themeColor="text1"/>
          <w:sz w:val="24"/>
          <w:szCs w:val="24"/>
          <w:lang w:val="en-US" w:eastAsia="zh-CN"/>
          <w14:textFill>
            <w14:solidFill>
              <w14:schemeClr w14:val="tx1"/>
            </w14:solidFill>
          </w14:textFill>
        </w:rPr>
        <w:t xml:space="preserve"> 第8款，下列位置应安装入侵报警装置：封闭型小区一、二、顶层住宅与外界相通的窗户、非封闭型小区住宅与外界相通窗户、别墅住宅与外界相通窗户及与住宅相通私家停车库入口、住宅楼栋与外界平面高差在5m（含）以下建筑物顶层平台起一、二层住宅与外界相通的窗户、住户卧室、起居室。</w:t>
      </w:r>
    </w:p>
    <w:p w14:paraId="61117360">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第9款，应制定详细的入户钥匙保管及取用方案，取用时应同时验证不少于2 人的识别凭证。</w:t>
      </w:r>
    </w:p>
    <w:p w14:paraId="0AB24BA4">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5.8.12 </w:t>
      </w:r>
      <w:r>
        <w:rPr>
          <w:rFonts w:hint="eastAsia" w:ascii="仿宋" w:hAnsi="仿宋" w:cs="仿宋"/>
          <w:color w:val="000000" w:themeColor="text1"/>
          <w:sz w:val="24"/>
          <w:szCs w:val="24"/>
          <w:lang w:val="en-US" w:eastAsia="zh-CN"/>
          <w14:textFill>
            <w14:solidFill>
              <w14:schemeClr w14:val="tx1"/>
            </w14:solidFill>
          </w14:textFill>
        </w:rPr>
        <w:t>住户的水、电、暖等能耗应根据管理模式及各专业要求进行设置，公共区域的水、电、暖等能耗宜设置能效</w:t>
      </w:r>
      <w:r>
        <w:rPr>
          <w:rFonts w:hint="eastAsia" w:ascii="仿宋" w:hAnsi="仿宋" w:cs="仿宋"/>
          <w:color w:val="000000" w:themeColor="text1"/>
          <w:sz w:val="24"/>
          <w:szCs w:val="24"/>
          <w:lang w:val="en-US" w:eastAsia="zh-CN"/>
          <w14:textFill>
            <w14:solidFill>
              <w14:schemeClr w14:val="tx1"/>
            </w14:solidFill>
          </w14:textFill>
        </w:rPr>
        <w:t>监控系统</w:t>
      </w:r>
      <w:r>
        <w:rPr>
          <w:rFonts w:hint="eastAsia" w:ascii="仿宋" w:hAnsi="仿宋" w:cs="仿宋"/>
          <w:color w:val="000000" w:themeColor="text1"/>
          <w:sz w:val="24"/>
          <w:szCs w:val="24"/>
          <w:lang w:val="en-US" w:eastAsia="zh-CN"/>
          <w14:textFill>
            <w14:solidFill>
              <w14:schemeClr w14:val="tx1"/>
            </w14:solidFill>
          </w14:textFill>
        </w:rPr>
        <w:t>。</w:t>
      </w:r>
    </w:p>
    <w:p w14:paraId="24712E7D">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5.8.16 </w:t>
      </w:r>
      <w:r>
        <w:rPr>
          <w:rFonts w:hint="eastAsia" w:ascii="仿宋" w:hAnsi="仿宋" w:cs="仿宋"/>
          <w:color w:val="000000" w:themeColor="text1"/>
          <w:sz w:val="24"/>
          <w:szCs w:val="24"/>
          <w:lang w:val="en-US" w:eastAsia="zh-CN"/>
          <w14:textFill>
            <w14:solidFill>
              <w14:schemeClr w14:val="tx1"/>
            </w14:solidFill>
          </w14:textFill>
        </w:rPr>
        <w:t>系统APP 宜采用厂家成熟的云APP产品，以节省投资及快速部署，APP选型时应注意APP的安全特性及等保级别。</w:t>
      </w:r>
    </w:p>
    <w:p w14:paraId="474BAE03">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5.8.18 </w:t>
      </w:r>
      <w:r>
        <w:rPr>
          <w:rFonts w:hint="eastAsia" w:ascii="仿宋" w:hAnsi="仿宋" w:cs="仿宋"/>
          <w:color w:val="000000" w:themeColor="text1"/>
          <w:sz w:val="24"/>
          <w:szCs w:val="24"/>
          <w:lang w:val="en-US" w:eastAsia="zh-CN"/>
          <w14:textFill>
            <w14:solidFill>
              <w14:schemeClr w14:val="tx1"/>
            </w14:solidFill>
          </w14:textFill>
        </w:rPr>
        <w:t>智能化系统所采集的个人及其他信息，应保证安全，存储及交换信息的设备应保证其自身物理安全。</w:t>
      </w:r>
    </w:p>
    <w:p w14:paraId="73DA543F">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p>
    <w:p w14:paraId="29232B26">
      <w:pPr>
        <w:pStyle w:val="3"/>
        <w:ind w:firstLine="643"/>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9</w:t>
      </w:r>
      <w:r>
        <w:rPr>
          <w:rFonts w:hint="eastAsia"/>
          <w:color w:val="000000" w:themeColor="text1"/>
          <w:sz w:val="24"/>
          <w:szCs w:val="24"/>
          <w14:textFill>
            <w14:solidFill>
              <w14:schemeClr w14:val="tx1"/>
            </w14:solidFill>
          </w14:textFill>
        </w:rPr>
        <w:t xml:space="preserve"> 室内环境及装饰装修设计</w:t>
      </w:r>
    </w:p>
    <w:p w14:paraId="2052F9F3">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9</w:t>
      </w:r>
      <w:r>
        <w:rPr>
          <w:rFonts w:hint="eastAsia" w:ascii="仿宋" w:hAnsi="仿宋" w:cs="仿宋"/>
          <w:color w:val="000000" w:themeColor="text1"/>
          <w:sz w:val="24"/>
          <w:szCs w:val="24"/>
          <w14:textFill>
            <w14:solidFill>
              <w14:schemeClr w14:val="tx1"/>
            </w14:solidFill>
          </w14:textFill>
        </w:rPr>
        <w:t xml:space="preserve">.1 </w:t>
      </w:r>
      <w:r>
        <w:rPr>
          <w:rFonts w:hint="eastAsia" w:ascii="仿宋" w:hAnsi="仿宋" w:cs="仿宋"/>
          <w:color w:val="000000" w:themeColor="text1"/>
          <w:sz w:val="24"/>
          <w:szCs w:val="24"/>
          <w:lang w:val="en-US" w:eastAsia="zh-CN"/>
          <w14:textFill>
            <w14:solidFill>
              <w14:schemeClr w14:val="tx1"/>
            </w14:solidFill>
          </w14:textFill>
        </w:rPr>
        <w:t>新建住宅进行全装修，避免购房者收房后自行装修导致的二次污染、</w:t>
      </w:r>
      <w:r>
        <w:rPr>
          <w:rFonts w:hint="eastAsia" w:ascii="仿宋" w:hAnsi="仿宋" w:cs="仿宋"/>
          <w:color w:val="000000" w:themeColor="text1"/>
          <w:sz w:val="24"/>
          <w:szCs w:val="24"/>
          <w:lang w:val="en-US" w:eastAsia="zh-CN"/>
          <w14:textFill>
            <w14:solidFill>
              <w14:schemeClr w14:val="tx1"/>
            </w14:solidFill>
          </w14:textFill>
        </w:rPr>
        <w:t>噪声</w:t>
      </w:r>
      <w:r>
        <w:rPr>
          <w:rFonts w:hint="eastAsia" w:ascii="仿宋" w:hAnsi="仿宋" w:cs="仿宋"/>
          <w:color w:val="000000" w:themeColor="text1"/>
          <w:sz w:val="24"/>
          <w:szCs w:val="24"/>
          <w:lang w:val="en-US" w:eastAsia="zh-CN"/>
          <w14:textFill>
            <w14:solidFill>
              <w14:schemeClr w14:val="tx1"/>
            </w14:solidFill>
          </w14:textFill>
        </w:rPr>
        <w:t>干扰以及对建筑结构的破坏等问题。同时，全装修可以实现批量采购和施工，提高装修效率，保证装修质量，降低装修成本，促进住宅产业的标准化和产业化发展。</w:t>
      </w:r>
    </w:p>
    <w:p w14:paraId="0B1AFDD9">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9</w:t>
      </w:r>
      <w:r>
        <w:rPr>
          <w:rFonts w:hint="eastAsia" w:ascii="仿宋" w:hAnsi="仿宋" w:cs="仿宋"/>
          <w:color w:val="000000" w:themeColor="text1"/>
          <w:sz w:val="24"/>
          <w:szCs w:val="24"/>
          <w14:textFill>
            <w14:solidFill>
              <w14:schemeClr w14:val="tx1"/>
            </w14:solidFill>
          </w14:textFill>
        </w:rPr>
        <w:t xml:space="preserve">.2 </w:t>
      </w:r>
      <w:r>
        <w:rPr>
          <w:rFonts w:hint="eastAsia" w:ascii="仿宋" w:hAnsi="仿宋" w:cs="仿宋"/>
          <w:color w:val="000000" w:themeColor="text1"/>
          <w:sz w:val="24"/>
          <w:szCs w:val="24"/>
          <w:lang w:val="en-US" w:eastAsia="zh-CN"/>
          <w14:textFill>
            <w14:solidFill>
              <w14:schemeClr w14:val="tx1"/>
            </w14:solidFill>
          </w14:textFill>
        </w:rPr>
        <w:t>《绿色建筑评价标准》GB/T 50378-2019（2024年版）5.1.1规定：室内空气中的氨、甲醛、苯、总挥发性有机物、氡等污染物浓度应符合现行国家标准《室内空气质量标准》GB/T 18883的有关规定。考虑到舒适性的要求，比规定限值</w:t>
      </w:r>
      <w:r>
        <w:rPr>
          <w:rFonts w:hint="default" w:ascii="仿宋" w:hAnsi="仿宋" w:cs="仿宋"/>
          <w:color w:val="000000" w:themeColor="text1"/>
          <w:sz w:val="24"/>
          <w:szCs w:val="24"/>
          <w:lang w:val="en-US" w:eastAsia="zh-CN"/>
          <w14:textFill>
            <w14:solidFill>
              <w14:schemeClr w14:val="tx1"/>
            </w14:solidFill>
          </w14:textFill>
        </w:rPr>
        <w:t>降低</w:t>
      </w:r>
      <w:r>
        <w:rPr>
          <w:rFonts w:hint="eastAsia" w:ascii="仿宋" w:hAnsi="仿宋" w:cs="仿宋"/>
          <w:color w:val="000000" w:themeColor="text1"/>
          <w:sz w:val="24"/>
          <w:szCs w:val="24"/>
          <w:lang w:val="en-US" w:eastAsia="zh-CN"/>
          <w14:textFill>
            <w14:solidFill>
              <w14:schemeClr w14:val="tx1"/>
            </w14:solidFill>
          </w14:textFill>
        </w:rPr>
        <w:t>2</w:t>
      </w:r>
      <w:r>
        <w:rPr>
          <w:rFonts w:hint="default" w:ascii="仿宋" w:hAnsi="仿宋" w:cs="仿宋"/>
          <w:color w:val="000000" w:themeColor="text1"/>
          <w:sz w:val="24"/>
          <w:szCs w:val="24"/>
          <w:lang w:val="en-US" w:eastAsia="zh-CN"/>
          <w14:textFill>
            <w14:solidFill>
              <w14:schemeClr w14:val="tx1"/>
            </w14:solidFill>
          </w14:textFill>
        </w:rPr>
        <w:t>0％</w:t>
      </w:r>
      <w:r>
        <w:rPr>
          <w:rFonts w:hint="eastAsia" w:ascii="仿宋" w:hAnsi="仿宋" w:cs="仿宋"/>
          <w:color w:val="000000" w:themeColor="text1"/>
          <w:sz w:val="24"/>
          <w:szCs w:val="24"/>
          <w:lang w:val="en-US" w:eastAsia="zh-CN"/>
          <w14:textFill>
            <w14:solidFill>
              <w14:schemeClr w14:val="tx1"/>
            </w14:solidFill>
          </w14:textFill>
        </w:rPr>
        <w:t>；本条文通过降低污染物浓度限值、强制安装监测系统，确保室内空气质量长期稳定达标，保障居住者的健康安全。</w:t>
      </w:r>
    </w:p>
    <w:p w14:paraId="3BBBFD26">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9</w:t>
      </w:r>
      <w:r>
        <w:rPr>
          <w:rFonts w:hint="eastAsia" w:ascii="仿宋" w:hAnsi="仿宋" w:cs="仿宋"/>
          <w:color w:val="000000" w:themeColor="text1"/>
          <w:sz w:val="24"/>
          <w:szCs w:val="24"/>
          <w14:textFill>
            <w14:solidFill>
              <w14:schemeClr w14:val="tx1"/>
            </w14:solidFill>
          </w14:textFill>
        </w:rPr>
        <w:t xml:space="preserve">.3 </w:t>
      </w:r>
      <w:r>
        <w:rPr>
          <w:rFonts w:hint="eastAsia" w:ascii="仿宋" w:hAnsi="仿宋" w:cs="仿宋"/>
          <w:color w:val="000000" w:themeColor="text1"/>
          <w:sz w:val="24"/>
          <w:szCs w:val="24"/>
          <w:lang w:val="en-US" w:eastAsia="zh-CN"/>
          <w14:textFill>
            <w14:solidFill>
              <w14:schemeClr w14:val="tx1"/>
            </w14:solidFill>
          </w14:textFill>
        </w:rPr>
        <w:t>第1款，</w:t>
      </w:r>
      <w:r>
        <w:rPr>
          <w:rFonts w:hint="default" w:ascii="仿宋" w:hAnsi="仿宋" w:cs="仿宋"/>
          <w:color w:val="000000" w:themeColor="text1"/>
          <w:sz w:val="24"/>
          <w:szCs w:val="24"/>
          <w:lang w:val="en-US" w:eastAsia="zh-CN"/>
          <w14:textFill>
            <w14:solidFill>
              <w14:schemeClr w14:val="tx1"/>
            </w14:solidFill>
          </w14:textFill>
        </w:rPr>
        <w:t>《住宅项目规范》对新建住宅的隔声性能提出了要求。</w:t>
      </w:r>
    </w:p>
    <w:p w14:paraId="438842BD">
      <w:pPr>
        <w:snapToGrid w:val="0"/>
        <w:spacing w:line="360" w:lineRule="auto"/>
        <w:ind w:firstLine="480" w:firstLineChars="200"/>
        <w:rPr>
          <w:rFonts w:hint="default"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第2款，</w:t>
      </w:r>
      <w:r>
        <w:rPr>
          <w:rFonts w:hint="default" w:ascii="仿宋" w:hAnsi="仿宋" w:cs="仿宋"/>
          <w:color w:val="000000" w:themeColor="text1"/>
          <w:sz w:val="24"/>
          <w:szCs w:val="24"/>
          <w:lang w:val="en-US" w:eastAsia="zh-CN"/>
          <w14:textFill>
            <w14:solidFill>
              <w14:schemeClr w14:val="tx1"/>
            </w14:solidFill>
          </w14:textFill>
        </w:rPr>
        <w:t>防止墙体因设备安装而形成“声桥”，导致隔声性能下降避免墙体结构受损，影响其隔声、防火等性能。</w:t>
      </w:r>
    </w:p>
    <w:p w14:paraId="38BA8CEA">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第3款，</w:t>
      </w:r>
      <w:r>
        <w:rPr>
          <w:rFonts w:hint="default" w:ascii="仿宋" w:hAnsi="仿宋" w:cs="仿宋"/>
          <w:color w:val="000000" w:themeColor="text1"/>
          <w:sz w:val="24"/>
          <w:szCs w:val="24"/>
          <w:lang w:val="en-US" w:eastAsia="zh-CN"/>
          <w14:textFill>
            <w14:solidFill>
              <w14:schemeClr w14:val="tx1"/>
            </w14:solidFill>
          </w14:textFill>
        </w:rPr>
        <w:t>防止声音通过孔洞传播（如上下楼层之间的生活噪声）；防止火灾、烟气、潮气通过孔洞蔓延，兼顾防火、防水功能。</w:t>
      </w:r>
    </w:p>
    <w:p w14:paraId="1A496C89">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第4款，</w:t>
      </w:r>
      <w:r>
        <w:rPr>
          <w:rFonts w:hint="default" w:ascii="仿宋" w:hAnsi="仿宋" w:cs="仿宋"/>
          <w:color w:val="000000" w:themeColor="text1"/>
          <w:sz w:val="24"/>
          <w:szCs w:val="24"/>
          <w:lang w:val="en-US" w:eastAsia="zh-CN"/>
          <w14:textFill>
            <w14:solidFill>
              <w14:schemeClr w14:val="tx1"/>
            </w14:solidFill>
          </w14:textFill>
        </w:rPr>
        <w:t>隔声吸声材料是提高住宅隔声降噪性能的重要手段之一。防火性能是确保住宅消防安全的重要指标，防止材料在火灾发生时助长火势或释放有毒气体；防水、防腐性能可以保证材料在潮湿、有腐蚀性物质的环境中正常使用，延长其使用寿命；环保性能要求材料不释放有害物质，避免对室内环境和人体健康造成危害；同时，材料还应满足装修效果的要求，与住宅的整体装修风格相协调，不影响住宅的美观性。</w:t>
      </w:r>
    </w:p>
    <w:p w14:paraId="53CCED49">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9</w:t>
      </w:r>
      <w:r>
        <w:rPr>
          <w:rFonts w:hint="eastAsia" w:ascii="仿宋" w:hAnsi="仿宋" w:cs="仿宋"/>
          <w:color w:val="000000" w:themeColor="text1"/>
          <w:sz w:val="24"/>
          <w:szCs w:val="24"/>
          <w14:textFill>
            <w14:solidFill>
              <w14:schemeClr w14:val="tx1"/>
            </w14:solidFill>
          </w14:textFill>
        </w:rPr>
        <w:t xml:space="preserve">.4 </w:t>
      </w:r>
      <w:r>
        <w:rPr>
          <w:rFonts w:hint="eastAsia" w:ascii="仿宋" w:hAnsi="仿宋" w:cs="仿宋"/>
          <w:color w:val="000000" w:themeColor="text1"/>
          <w:sz w:val="24"/>
          <w:szCs w:val="24"/>
          <w:lang w:val="en-US" w:eastAsia="zh-CN"/>
          <w14:textFill>
            <w14:solidFill>
              <w14:schemeClr w14:val="tx1"/>
            </w14:solidFill>
          </w14:textFill>
        </w:rPr>
        <w:t>第1款，住宅建筑应遵循《建筑照明设计标准》GB/T50034的相关要求，采取有效措施提高室内光环境质量，例如合理选择照明光源、灯具及其布置方式，以确保室内照度、照度均匀度等指标符合标准，为居住者提供舒适、健康的光环境。</w:t>
      </w:r>
    </w:p>
    <w:p w14:paraId="524198E1">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第2款，在现行国家标准《建筑照明设计标准》GB/T 50034 的基础上，对住宅室内眩光控制提出了更严格、更具体的要求。</w:t>
      </w:r>
    </w:p>
    <w:p w14:paraId="6C4D6817">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第3款，室内宜设置照明、色温可调节的照明设备，这是为了满足不同场景和不同时间段的照明需求。</w:t>
      </w:r>
    </w:p>
    <w:p w14:paraId="2DE5C0A4">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4款，主要是为了方便居住者在夜间起床去卫生间时的安全通行。人体感应开关可以在人经过时自动开启照明，人离开后一段时间自动关闭，既提供了必要的照明，又能节省能源，避免夜间长时间亮灯造成能源浪费和对睡眠的干扰。</w:t>
      </w:r>
    </w:p>
    <w:p w14:paraId="7D0ED471">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第5款，选用高效节能的光源，核心是在满足室内照明需求的前提下，优先选择光效高、能耗低、寿命长且环保的产品，这既符合国家节能减排要求，也能降低住宅长期使用成本。</w:t>
      </w:r>
    </w:p>
    <w:p w14:paraId="279EA853">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6款，因为高反射材料可能会导致光线反射过于强烈，增加眩光的可能性，同时也可能会使室内光环境显得过于刺眼和不舒适。选择反射率适中的材料，可以使光线在室内更加均匀地分布，营造出柔和、舒适的光环境。</w:t>
      </w:r>
    </w:p>
    <w:p w14:paraId="10E997B2">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9</w:t>
      </w:r>
      <w:r>
        <w:rPr>
          <w:rFonts w:hint="eastAsia" w:ascii="仿宋" w:hAnsi="仿宋" w:cs="仿宋"/>
          <w:color w:val="000000" w:themeColor="text1"/>
          <w:sz w:val="24"/>
          <w:szCs w:val="24"/>
          <w14:textFill>
            <w14:solidFill>
              <w14:schemeClr w14:val="tx1"/>
            </w14:solidFill>
          </w14:textFill>
        </w:rPr>
        <w:t xml:space="preserve">.5 </w:t>
      </w:r>
      <w:r>
        <w:rPr>
          <w:rFonts w:hint="eastAsia" w:ascii="仿宋" w:hAnsi="仿宋" w:cs="仿宋"/>
          <w:color w:val="000000" w:themeColor="text1"/>
          <w:sz w:val="24"/>
          <w:szCs w:val="24"/>
          <w:lang w:val="en-US" w:eastAsia="zh-CN"/>
          <w14:textFill>
            <w14:solidFill>
              <w14:schemeClr w14:val="tx1"/>
            </w14:solidFill>
          </w14:textFill>
        </w:rPr>
        <w:t>第1款，由于夏季的室内气温低于室外气温，不能形成自然通风所需的作用力，无外窗或无机械通风设施的卫生间无法进行有效通风。对于有外窗的卫生间，考虑到冬季室外气温较低，也不适合进行开窗通风换气。因此，本条文要求设置</w:t>
      </w:r>
      <w:r>
        <w:rPr>
          <w:rFonts w:hint="eastAsia" w:ascii="仿宋" w:hAnsi="仿宋" w:cs="仿宋"/>
          <w:color w:val="000000" w:themeColor="text1"/>
          <w:sz w:val="24"/>
          <w:szCs w:val="24"/>
          <w:lang w:val="en-US" w:eastAsia="zh-CN"/>
          <w14:textFill>
            <w14:solidFill>
              <w14:schemeClr w14:val="tx1"/>
            </w14:solidFill>
          </w14:textFill>
        </w:rPr>
        <w:t>机械排风系统</w:t>
      </w:r>
      <w:r>
        <w:rPr>
          <w:rFonts w:hint="eastAsia" w:ascii="仿宋" w:hAnsi="仿宋" w:cs="仿宋"/>
          <w:color w:val="000000" w:themeColor="text1"/>
          <w:sz w:val="24"/>
          <w:szCs w:val="24"/>
          <w:lang w:val="en-US" w:eastAsia="zh-CN"/>
          <w14:textFill>
            <w14:solidFill>
              <w14:schemeClr w14:val="tx1"/>
            </w14:solidFill>
          </w14:textFill>
        </w:rPr>
        <w:t>。厨房会产生油烟、燃气废气，卫生间会产生湿气、异味，这些污浊空气若不及时排出或发生倒灌，会扩散至客厅、卧室等区域。该措施通过机械排风 + 防倒灌设计，形成定向排气通道。</w:t>
      </w:r>
    </w:p>
    <w:p w14:paraId="25E5CA79">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2款，将厨房水槽、卫生间洗手池、淋浴区等用水点集中，可缩短排水管道长度，减少管道接口数量，从源头降低密封失效的概率。使用良好密封材料连接存水弯与排水管，可避免接口处漏气；便器自带水封（如马桶的 S 型弯），能直接阻断便器与排水管道的气体连通，防止异味外溢。</w:t>
      </w:r>
    </w:p>
    <w:p w14:paraId="46208BB2">
      <w:pPr>
        <w:snapToGrid w:val="0"/>
        <w:spacing w:line="360" w:lineRule="auto"/>
        <w:ind w:firstLine="480" w:firstLineChars="20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第3款，卫生间地面易有积水，且使用频率高，需同时防 “反溢”（管道内污水因压力倒灌至地面）和 “防异味”（管道气体通过地漏缝隙溢出），通常通过深水封或密封阀结构实现。洗衣机排水量大且瞬间水压高，普通地漏易出现污水反溢；同时洗衣机可能间隔使用，地漏内的水封易干涸，导致异味泄漏。专用地漏通过大口径排水设计防反溢，通过特殊密封结构（如硅胶芯）防干涸，确保非使用状态下也能阻断气体。</w:t>
      </w:r>
    </w:p>
    <w:p w14:paraId="49DED737">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p>
    <w:p w14:paraId="33D8345F">
      <w:pPr>
        <w:pStyle w:val="3"/>
        <w:ind w:firstLine="643"/>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 xml:space="preserve">10 </w:t>
      </w:r>
      <w:r>
        <w:rPr>
          <w:rFonts w:hint="eastAsia"/>
          <w:color w:val="000000" w:themeColor="text1"/>
          <w:sz w:val="24"/>
          <w:szCs w:val="24"/>
          <w14:textFill>
            <w14:solidFill>
              <w14:schemeClr w14:val="tx1"/>
            </w14:solidFill>
          </w14:textFill>
        </w:rPr>
        <w:t>可再生能源利用</w:t>
      </w:r>
    </w:p>
    <w:p w14:paraId="4AA9E539">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10</w:t>
      </w:r>
      <w:r>
        <w:rPr>
          <w:rFonts w:hint="eastAsia" w:ascii="仿宋" w:hAnsi="仿宋" w:cs="仿宋"/>
          <w:color w:val="000000" w:themeColor="text1"/>
          <w:sz w:val="24"/>
          <w:szCs w:val="24"/>
          <w14:textFill>
            <w14:solidFill>
              <w14:schemeClr w14:val="tx1"/>
            </w14:solidFill>
          </w14:textFill>
        </w:rPr>
        <w:t xml:space="preserve">.2 </w:t>
      </w:r>
      <w:r>
        <w:rPr>
          <w:rFonts w:hint="eastAsia" w:ascii="仿宋" w:hAnsi="仿宋" w:cs="仿宋"/>
          <w:color w:val="000000" w:themeColor="text1"/>
          <w:sz w:val="24"/>
          <w:szCs w:val="24"/>
          <w:lang w:val="en-US" w:eastAsia="zh-CN"/>
          <w14:textFill>
            <w14:solidFill>
              <w14:schemeClr w14:val="tx1"/>
            </w14:solidFill>
          </w14:textFill>
        </w:rPr>
        <w:t>太阳能设备和管道应结合建筑布局、立面要求、周围环境，使用功能和设备安装条件等进行一体化设计，在满足建筑用能的同时，确保美观和安全。</w:t>
      </w:r>
    </w:p>
    <w:p w14:paraId="5C0C1DDB">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住房需要通过技术可行、经济合理分析，合理利用太阳能系统制备生活热水。光伏组件应选用光反射较低的材料，避免自身引起的太阳光二次辐射对本栋建筑及周围建筑造成光污染。</w:t>
      </w:r>
    </w:p>
    <w:p w14:paraId="6906B679">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10</w:t>
      </w:r>
      <w:r>
        <w:rPr>
          <w:rFonts w:hint="eastAsia" w:ascii="仿宋" w:hAnsi="仿宋" w:cs="仿宋"/>
          <w:color w:val="000000" w:themeColor="text1"/>
          <w:sz w:val="24"/>
          <w:szCs w:val="24"/>
          <w14:textFill>
            <w14:solidFill>
              <w14:schemeClr w14:val="tx1"/>
            </w14:solidFill>
          </w14:textFill>
        </w:rPr>
        <w:t xml:space="preserve">.3 </w:t>
      </w:r>
      <w:r>
        <w:rPr>
          <w:rFonts w:hint="eastAsia" w:ascii="仿宋" w:hAnsi="仿宋" w:cs="仿宋"/>
          <w:color w:val="000000" w:themeColor="text1"/>
          <w:sz w:val="24"/>
          <w:szCs w:val="24"/>
          <w:lang w:val="en-US" w:eastAsia="zh-CN"/>
          <w14:textFill>
            <w14:solidFill>
              <w14:schemeClr w14:val="tx1"/>
            </w14:solidFill>
          </w14:textFill>
        </w:rPr>
        <w:t>空气源热泵的技术发展迅速，COP等技术指标也在不断更新，须按照现行最新标准中的技术指标选用。</w:t>
      </w:r>
    </w:p>
    <w:p w14:paraId="1BCADFAF">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5.</w:t>
      </w:r>
      <w:r>
        <w:rPr>
          <w:rFonts w:hint="eastAsia" w:ascii="仿宋" w:hAnsi="仿宋" w:cs="仿宋"/>
          <w:color w:val="000000" w:themeColor="text1"/>
          <w:sz w:val="24"/>
          <w:szCs w:val="24"/>
          <w:lang w:val="en-US" w:eastAsia="zh-CN"/>
          <w14:textFill>
            <w14:solidFill>
              <w14:schemeClr w14:val="tx1"/>
            </w14:solidFill>
          </w14:textFill>
        </w:rPr>
        <w:t>10</w:t>
      </w:r>
      <w:r>
        <w:rPr>
          <w:rFonts w:hint="eastAsia" w:ascii="仿宋" w:hAnsi="仿宋" w:cs="仿宋"/>
          <w:color w:val="000000" w:themeColor="text1"/>
          <w:sz w:val="24"/>
          <w:szCs w:val="24"/>
          <w14:textFill>
            <w14:solidFill>
              <w14:schemeClr w14:val="tx1"/>
            </w14:solidFill>
          </w14:textFill>
        </w:rPr>
        <w:t xml:space="preserve">.4 </w:t>
      </w:r>
      <w:r>
        <w:rPr>
          <w:rFonts w:hint="eastAsia" w:ascii="仿宋" w:hAnsi="仿宋" w:cs="仿宋"/>
          <w:color w:val="000000" w:themeColor="text1"/>
          <w:sz w:val="24"/>
          <w:szCs w:val="24"/>
          <w:lang w:val="en-US" w:eastAsia="zh-CN"/>
          <w14:textFill>
            <w14:solidFill>
              <w14:schemeClr w14:val="tx1"/>
            </w14:solidFill>
          </w14:textFill>
        </w:rPr>
        <w:t>山西具有丰富的地热资源，但地热的开发利用受区域、地质特点的影响，在推进可再生能源利用的同时需“因地制宜”，经分析后确定是否合理。</w:t>
      </w:r>
    </w:p>
    <w:p w14:paraId="306383C6">
      <w:pPr>
        <w:widowControl/>
        <w:shd w:val="clear" w:color="auto" w:fill="FFFFFF"/>
        <w:spacing w:line="390" w:lineRule="atLeast"/>
        <w:ind w:firstLine="0" w:firstLineChars="0"/>
        <w:jc w:val="left"/>
        <w:textAlignment w:val="baseline"/>
        <w:rPr>
          <w:rFonts w:ascii="仿宋" w:hAnsi="仿宋" w:cs="仿宋"/>
          <w:color w:val="000000" w:themeColor="text1"/>
          <w:sz w:val="24"/>
          <w:szCs w:val="24"/>
          <w14:textFill>
            <w14:solidFill>
              <w14:schemeClr w14:val="tx1"/>
            </w14:solidFill>
          </w14:textFill>
        </w:rPr>
      </w:pPr>
    </w:p>
    <w:p w14:paraId="6A65753B">
      <w:pPr>
        <w:snapToGrid w:val="0"/>
        <w:spacing w:line="360" w:lineRule="auto"/>
        <w:ind w:firstLine="0" w:firstLineChars="0"/>
        <w:rPr>
          <w:rFonts w:ascii="仿宋" w:hAnsi="仿宋"/>
          <w:color w:val="000000" w:themeColor="text1"/>
          <w:sz w:val="24"/>
          <w:szCs w:val="24"/>
          <w14:textFill>
            <w14:solidFill>
              <w14:schemeClr w14:val="tx1"/>
            </w14:solidFill>
          </w14:textFill>
        </w:rPr>
      </w:pPr>
      <w:r>
        <w:rPr>
          <w:rFonts w:ascii="仿宋" w:hAnsi="仿宋"/>
          <w:color w:val="000000" w:themeColor="text1"/>
          <w:sz w:val="24"/>
          <w:szCs w:val="24"/>
          <w14:textFill>
            <w14:solidFill>
              <w14:schemeClr w14:val="tx1"/>
            </w14:solidFill>
          </w14:textFill>
        </w:rPr>
        <w:br w:type="page"/>
      </w:r>
    </w:p>
    <w:p w14:paraId="56FF3639">
      <w:pPr>
        <w:pStyle w:val="2"/>
        <w:ind w:firstLine="643"/>
        <w:jc w:val="center"/>
        <w:rPr>
          <w:rFonts w:hint="default"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6 建造</w:t>
      </w:r>
      <w:r>
        <w:rPr>
          <w:rFonts w:hint="eastAsia" w:ascii="黑体" w:hAnsi="黑体" w:eastAsia="黑体" w:cs="黑体"/>
          <w:color w:val="000000" w:themeColor="text1"/>
          <w:sz w:val="24"/>
          <w:szCs w:val="24"/>
          <w:lang w:val="en-US" w:eastAsia="zh-CN"/>
          <w14:textFill>
            <w14:solidFill>
              <w14:schemeClr w14:val="tx1"/>
            </w14:solidFill>
          </w14:textFill>
        </w:rPr>
        <w:t>与验收</w:t>
      </w:r>
    </w:p>
    <w:p w14:paraId="33E4D56E">
      <w:pPr>
        <w:pStyle w:val="3"/>
        <w:ind w:firstLine="643"/>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6.1 一般规定</w:t>
      </w:r>
    </w:p>
    <w:p w14:paraId="1FE31458">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6.1.1</w:t>
      </w:r>
      <w:r>
        <w:rPr>
          <w:rFonts w:hint="eastAsia" w:ascii="仿宋" w:hAnsi="仿宋" w:cs="仿宋"/>
          <w:color w:val="000000" w:themeColor="text1"/>
          <w:sz w:val="24"/>
          <w:szCs w:val="24"/>
          <w:lang w:val="en-US" w:eastAsia="zh-CN" w:bidi="ar"/>
          <w14:textFill>
            <w14:solidFill>
              <w14:schemeClr w14:val="tx1"/>
            </w14:solidFill>
          </w14:textFill>
        </w:rPr>
        <w:t>优先选用获得绿色建材评价认证标识的材料‌。优先采用高强、高性能材料（如高性能混凝土、轻质高强钢材），具有节能功能的产品（如低辐射镀膜玻璃、断桥隔热门窗），实现降低材料用量、提升建筑的耐久性。</w:t>
      </w:r>
    </w:p>
    <w:p w14:paraId="74FF9F65">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6.1.2</w:t>
      </w:r>
      <w:r>
        <w:rPr>
          <w:rFonts w:hint="eastAsia" w:ascii="仿宋" w:hAnsi="仿宋" w:cs="仿宋"/>
          <w:color w:val="000000" w:themeColor="text1"/>
          <w:sz w:val="24"/>
          <w:szCs w:val="24"/>
          <w:lang w:val="en-US" w:eastAsia="zh-CN" w:bidi="ar"/>
          <w14:textFill>
            <w14:solidFill>
              <w14:schemeClr w14:val="tx1"/>
            </w14:solidFill>
          </w14:textFill>
        </w:rPr>
        <w:t>本条文所强调内部全专业协同、外部多部门协同是推动建筑业走向精细化、信息化、工业化发展的核心管理原则，在项目管理的全生命周期中严格执行。</w:t>
      </w:r>
    </w:p>
    <w:p w14:paraId="50B19A4C">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6.1.3</w:t>
      </w:r>
      <w:r>
        <w:rPr>
          <w:rFonts w:hint="eastAsia" w:ascii="仿宋" w:hAnsi="仿宋" w:cs="仿宋"/>
          <w:color w:val="000000" w:themeColor="text1"/>
          <w:sz w:val="24"/>
          <w:szCs w:val="24"/>
          <w:lang w:val="en-US" w:eastAsia="zh-CN" w:bidi="ar"/>
          <w14:textFill>
            <w14:solidFill>
              <w14:schemeClr w14:val="tx1"/>
            </w14:solidFill>
          </w14:textFill>
        </w:rPr>
        <w:t>推行一体化设计与施工、全装修交付，鼓励装配式装修技术，可以显著提升建筑整体质量与性能，提高效率与节约工期，避免毛坯交付后引发的住户自行装修造成的结构破坏。</w:t>
      </w:r>
    </w:p>
    <w:p w14:paraId="121BE45C">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6.1.4</w:t>
      </w:r>
      <w:r>
        <w:rPr>
          <w:rFonts w:hint="eastAsia" w:ascii="仿宋" w:hAnsi="仿宋" w:cs="仿宋"/>
          <w:color w:val="000000" w:themeColor="text1"/>
          <w:sz w:val="24"/>
          <w:szCs w:val="24"/>
          <w:lang w:val="en-US" w:eastAsia="zh-CN" w:bidi="ar"/>
          <w14:textFill>
            <w14:solidFill>
              <w14:schemeClr w14:val="tx1"/>
            </w14:solidFill>
          </w14:textFill>
        </w:rPr>
        <w:t>鼓励采用先进的功能性材料，提升建筑的可持续性和环境适应性。高耐久性材料可有效延长建筑外立面和内部装修的使用寿命，减少翻新次数。自洁功能通过“光催化”（如TiO2二氧化钛）分解表面有机物污染物，或“超疏水”（荷叶效应）使水珠滚落并带走灰尘两种技术路径实现。此类涂料可有效减缓外立面因积灰、雨渍造成的污染，降低外墙清洗频率和用水量，有助建筑长期保持洁净外观。</w:t>
      </w:r>
    </w:p>
    <w:p w14:paraId="558706D5">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6.1.5</w:t>
      </w:r>
      <w:r>
        <w:rPr>
          <w:rFonts w:hint="eastAsia" w:ascii="仿宋" w:hAnsi="仿宋" w:cs="仿宋"/>
          <w:color w:val="000000" w:themeColor="text1"/>
          <w:sz w:val="24"/>
          <w:szCs w:val="24"/>
          <w:lang w:val="en-US" w:eastAsia="zh-CN" w:bidi="ar"/>
          <w14:textFill>
            <w14:solidFill>
              <w14:schemeClr w14:val="tx1"/>
            </w14:solidFill>
          </w14:textFill>
        </w:rPr>
        <w:t xml:space="preserve"> 结合现场情况进行动态优化施工组织与方案，优先采用绿色施工技术和措施，通过技术和管理手段减少资源消耗，保护环境和减少污染，实现对工程现场及其周边环境的最小化干扰。</w:t>
      </w:r>
    </w:p>
    <w:p w14:paraId="267BA4D3">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6.1.6</w:t>
      </w:r>
      <w:r>
        <w:rPr>
          <w:rFonts w:hint="eastAsia" w:ascii="仿宋" w:hAnsi="仿宋" w:cs="仿宋"/>
          <w:color w:val="000000" w:themeColor="text1"/>
          <w:sz w:val="24"/>
          <w:szCs w:val="24"/>
          <w:lang w:val="en-US" w:eastAsia="zh-CN" w:bidi="ar"/>
          <w14:textFill>
            <w14:solidFill>
              <w14:schemeClr w14:val="tx1"/>
            </w14:solidFill>
          </w14:textFill>
        </w:rPr>
        <w:t xml:space="preserve"> 安装过程必须严格遵循设计文件、国家现行施工验收规范及产品技术标准，确保安装牢固、位置准确、接口严密、运行平稳。系统安装调试后，其性能参数（如流量、压力、温度、湿度、照度、网络速率等）必须达到设计预期。电气安全、防水防火、防雷接地、机械防护等，安全要求必须绝对可靠。</w:t>
      </w:r>
    </w:p>
    <w:p w14:paraId="412F3131">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考虑设备达到使用寿命或因技术更新需要整体拆旧换新时，必须具备必要的搬运通道、吊装空间和操作距离。对于安装在吊顶内、管廊内或装饰罩内的设备（如阀门、风机盘管、接线盒、控制器），必须在对应位置的装饰面上设置尺寸足够的、可开启的检修口，其位置应有明显标识。设备前方需预留不少于600mm的操作空间。对于大型设备，其维护侧净空不宜小于800mm，并需考虑工具操作所需空间。从设备安装位置到建筑出口或运输通道，应预留设备整体进出所需的水平和垂直空间。</w:t>
      </w:r>
    </w:p>
    <w:p w14:paraId="762AF940">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6.1.7</w:t>
      </w:r>
      <w:r>
        <w:rPr>
          <w:rFonts w:hint="eastAsia" w:ascii="仿宋" w:hAnsi="仿宋" w:cs="仿宋"/>
          <w:color w:val="000000" w:themeColor="text1"/>
          <w:sz w:val="24"/>
          <w:szCs w:val="24"/>
          <w:lang w:val="en-US" w:eastAsia="zh-CN" w:bidi="ar"/>
          <w14:textFill>
            <w14:solidFill>
              <w14:schemeClr w14:val="tx1"/>
            </w14:solidFill>
          </w14:textFill>
        </w:rPr>
        <w:t xml:space="preserve"> 通过样板制作，验证施工方案的可行性，优化工艺流程、节点处理和各专业工种之间的配合。大面积施工的最终成果在观感质量、实测实量数据、使用功能等所有方面，必须以样板房为最低标准，鼓励超越。</w:t>
      </w:r>
    </w:p>
    <w:p w14:paraId="0384FE2B">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6.1.8</w:t>
      </w:r>
      <w:r>
        <w:rPr>
          <w:rFonts w:hint="eastAsia" w:ascii="仿宋" w:hAnsi="仿宋" w:cs="仿宋"/>
          <w:color w:val="000000" w:themeColor="text1"/>
          <w:sz w:val="24"/>
          <w:szCs w:val="24"/>
          <w:lang w:val="en-US" w:eastAsia="zh-CN" w:bidi="ar"/>
          <w14:textFill>
            <w14:solidFill>
              <w14:schemeClr w14:val="tx1"/>
            </w14:solidFill>
          </w14:textFill>
        </w:rPr>
        <w:t xml:space="preserve"> 通过有效的监督、检查和验收，及时发现并纠正施工过程中的质量偏差，所有质量检查与验收活动必须形成书面记录（如验收表格、会议纪要、整改通知单等），并纳入工程技术档案妥善保存，实现质量责任的可追溯性。</w:t>
      </w:r>
    </w:p>
    <w:p w14:paraId="7752C68D">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6.1.9</w:t>
      </w:r>
      <w:r>
        <w:rPr>
          <w:rFonts w:hint="eastAsia" w:ascii="仿宋" w:hAnsi="仿宋" w:cs="仿宋"/>
          <w:color w:val="000000" w:themeColor="text1"/>
          <w:sz w:val="24"/>
          <w:szCs w:val="24"/>
          <w:lang w:val="en-US" w:eastAsia="zh-CN" w:bidi="ar"/>
          <w14:textFill>
            <w14:solidFill>
              <w14:schemeClr w14:val="tx1"/>
            </w14:solidFill>
          </w14:textFill>
        </w:rPr>
        <w:t xml:space="preserve"> 本条明确了施工质量必须同时满足法规强制性、设计符合性及合同契约的三重约束原则。经审查合格并正式出具的工程地质勘察报告、全套施工图纸、设计说明、设计变更及技术洽商记录等文件是基于项目具体条件，施工单位必须按图施工。未经原设计单位正式同意或出具设计变更文件，不得擅自修改工程设计。</w:t>
      </w:r>
    </w:p>
    <w:p w14:paraId="1DC45B62">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6.1.10</w:t>
      </w:r>
      <w:r>
        <w:rPr>
          <w:rFonts w:hint="eastAsia" w:ascii="仿宋" w:hAnsi="仿宋" w:cs="仿宋"/>
          <w:color w:val="000000" w:themeColor="text1"/>
          <w:sz w:val="24"/>
          <w:szCs w:val="24"/>
          <w:lang w:val="en-US" w:eastAsia="zh-CN" w:bidi="ar"/>
          <w14:textFill>
            <w14:solidFill>
              <w14:schemeClr w14:val="tx1"/>
            </w14:solidFill>
          </w14:textFill>
        </w:rPr>
        <w:t xml:space="preserve"> 室内装饰装修工程按设计文件及合同约定的施工完成所有装饰面层、固定家具、设备末端，施工现场清理整洁，无任何剩余工程或重大瑕疵。所有系统的设备、管线、控制器均按设计安装就绪。各系统设备必须完成单机试运行和系统联动调试，达到设计功能及国家现行有关施工验收规范的要求。按照《民用建筑工程室内环境污染控制标准》GB 50325等国家现行标准的规定，对甲醛、苯、氨、氡、TVOC（总挥发性有机化合物）等关键污染物浓度进行抽样检测，并出具正式检测报告。</w:t>
      </w:r>
    </w:p>
    <w:p w14:paraId="010F0F7B">
      <w:pPr>
        <w:snapToGrid w:val="0"/>
        <w:spacing w:line="360" w:lineRule="auto"/>
        <w:ind w:firstLine="0" w:firstLineChars="0"/>
        <w:rPr>
          <w:rFonts w:hint="eastAsia"/>
          <w:i/>
          <w:iCs/>
          <w:color w:val="000000" w:themeColor="text1"/>
          <w:sz w:val="24"/>
          <w:lang w:val="en-US" w:eastAsia="zh-CN"/>
          <w14:textFill>
            <w14:solidFill>
              <w14:schemeClr w14:val="tx1"/>
            </w14:solidFill>
          </w14:textFill>
        </w:rPr>
      </w:pPr>
    </w:p>
    <w:p w14:paraId="7AC38288">
      <w:pPr>
        <w:pStyle w:val="3"/>
        <w:ind w:left="0" w:leftChars="0" w:firstLine="0" w:firstLineChars="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6.2材料与设备</w:t>
      </w:r>
    </w:p>
    <w:p w14:paraId="08190DDE">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w:t>
      </w:r>
      <w:r>
        <w:rPr>
          <w:rFonts w:hint="eastAsia" w:ascii="仿宋" w:hAnsi="仿宋" w:cs="仿宋"/>
          <w:color w:val="000000" w:themeColor="text1"/>
          <w:sz w:val="24"/>
          <w:szCs w:val="24"/>
          <w:lang w:bidi="ar"/>
          <w14:textFill>
            <w14:solidFill>
              <w14:schemeClr w14:val="tx1"/>
            </w14:solidFill>
          </w14:textFill>
        </w:rPr>
        <w:t>2</w:t>
      </w:r>
      <w:r>
        <w:rPr>
          <w:rFonts w:ascii="仿宋" w:hAnsi="仿宋" w:cs="仿宋"/>
          <w:color w:val="000000" w:themeColor="text1"/>
          <w:sz w:val="24"/>
          <w:szCs w:val="24"/>
          <w:lang w:bidi="ar"/>
          <w14:textFill>
            <w14:solidFill>
              <w14:schemeClr w14:val="tx1"/>
            </w14:solidFill>
          </w14:textFill>
        </w:rPr>
        <w:t>.1</w:t>
      </w:r>
      <w:r>
        <w:rPr>
          <w:rFonts w:hint="eastAsia" w:ascii="仿宋" w:hAnsi="仿宋" w:cs="仿宋"/>
          <w:color w:val="000000" w:themeColor="text1"/>
          <w:sz w:val="24"/>
          <w:szCs w:val="24"/>
          <w:lang w:val="en-US" w:eastAsia="zh-CN" w:bidi="ar"/>
          <w14:textFill>
            <w14:solidFill>
              <w14:schemeClr w14:val="tx1"/>
            </w14:solidFill>
          </w14:textFill>
        </w:rPr>
        <w:t xml:space="preserve"> 相关材料进场时，必须核查其型式检验报告、出厂合格证等质量证明文件，核验报告中的燃烧性能等级是否与设计要求一致。必要时，应进行抽样送检。</w:t>
      </w:r>
    </w:p>
    <w:p w14:paraId="1B8FA53D">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6.2.2</w:t>
      </w:r>
      <w:r>
        <w:rPr>
          <w:rFonts w:hint="eastAsia" w:ascii="仿宋" w:hAnsi="仿宋" w:cs="仿宋"/>
          <w:color w:val="000000" w:themeColor="text1"/>
          <w:sz w:val="24"/>
          <w:szCs w:val="24"/>
          <w:lang w:val="en-US" w:eastAsia="zh-CN" w:bidi="ar"/>
          <w14:textFill>
            <w14:solidFill>
              <w14:schemeClr w14:val="tx1"/>
            </w14:solidFill>
          </w14:textFill>
        </w:rPr>
        <w:t xml:space="preserve"> 撑架体必须具备足够的强度、刚度和整体稳定性，能可靠承受混凝土浇筑时的各项荷载（竖向压力、侧向压力、施工荷载等），有效控制沉降与变形，确保施工安全与结构尺寸准确。 </w:t>
      </w:r>
    </w:p>
    <w:p w14:paraId="74F3C5E0">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6.2.3</w:t>
      </w:r>
      <w:r>
        <w:rPr>
          <w:rFonts w:hint="eastAsia" w:ascii="仿宋" w:hAnsi="仿宋" w:cs="仿宋"/>
          <w:color w:val="000000" w:themeColor="text1"/>
          <w:sz w:val="24"/>
          <w:szCs w:val="24"/>
          <w:lang w:val="en-US" w:eastAsia="zh-CN" w:bidi="ar"/>
          <w14:textFill>
            <w14:solidFill>
              <w14:schemeClr w14:val="tx1"/>
            </w14:solidFill>
          </w14:textFill>
        </w:rPr>
        <w:t xml:space="preserve"> 将架体、驱动系统、防坠系统、控制系统集成于一体，与主体结构施工同步进行、能提供模板支撑和操作平台功能的集成化架体，与附着式升降脚手架技术结合使用。管件合一的脚手架其代表为承插型盘扣式脚手架，整体稳定性与承载力远胜于依赖扣件摩擦力的传统脚手架。</w:t>
      </w:r>
    </w:p>
    <w:p w14:paraId="197B3C3E">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6.2.4</w:t>
      </w:r>
      <w:r>
        <w:rPr>
          <w:rFonts w:hint="eastAsia" w:ascii="仿宋" w:hAnsi="仿宋" w:cs="仿宋"/>
          <w:color w:val="000000" w:themeColor="text1"/>
          <w:sz w:val="24"/>
          <w:szCs w:val="24"/>
          <w:lang w:val="en-US" w:eastAsia="zh-CN" w:bidi="ar"/>
          <w14:textFill>
            <w14:solidFill>
              <w14:schemeClr w14:val="tx1"/>
            </w14:solidFill>
          </w14:textFill>
        </w:rPr>
        <w:t xml:space="preserve"> 通过对用能设备的精准监控与优化调度，提升能源利用效率，节能型设备选择具有“中国能效标识”二级及以上或达到同类能效标准的设备。多台并联运行的同类设备（如多台施工电梯、多台塔吊、多台空气压缩机）采用智能控制系统，通过安装智能电表、油表、传感器等监测装置，对重点设备的实时能耗数据（如用电量、功率、运行时长）进行采集、传输、存储与分析，根据实时负载需求进行协同调度与优化运行。系统应具备数据自动采集、远程传输、动态显示、统计分析和超标预警等功能。</w:t>
      </w:r>
    </w:p>
    <w:p w14:paraId="72628F2D">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6.2.5</w:t>
      </w:r>
      <w:r>
        <w:rPr>
          <w:rFonts w:hint="eastAsia" w:ascii="仿宋" w:hAnsi="仿宋" w:cs="仿宋"/>
          <w:color w:val="000000" w:themeColor="text1"/>
          <w:sz w:val="24"/>
          <w:szCs w:val="24"/>
          <w:lang w:val="en-US" w:eastAsia="zh-CN" w:bidi="ar"/>
          <w14:textFill>
            <w14:solidFill>
              <w14:schemeClr w14:val="tx1"/>
            </w14:solidFill>
          </w14:textFill>
        </w:rPr>
        <w:t xml:space="preserve"> 高性能混凝土应采用高效减水剂和性能调节剂，使新拌混凝土具有优异的流动性、粘聚性和保水性，满足泵送、自密实等施工工艺要求，在配合比设计中最大限度地减少水泥用量，利用工业固体废弃物，降低资源和能源消耗。优化骨料级配，增加粗骨料用量，采用收缩补偿剂、减缩剂等外加剂，提升其抗裂性能。</w:t>
      </w:r>
    </w:p>
    <w:p w14:paraId="1D751255">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6.2.6</w:t>
      </w:r>
      <w:r>
        <w:rPr>
          <w:rFonts w:hint="eastAsia" w:ascii="仿宋" w:hAnsi="仿宋" w:cs="仿宋"/>
          <w:color w:val="000000" w:themeColor="text1"/>
          <w:sz w:val="24"/>
          <w:szCs w:val="24"/>
          <w:lang w:val="en-US" w:eastAsia="zh-CN" w:bidi="ar"/>
          <w14:textFill>
            <w14:solidFill>
              <w14:schemeClr w14:val="tx1"/>
            </w14:solidFill>
          </w14:textFill>
        </w:rPr>
        <w:t xml:space="preserve"> 钢结构安装过程中，应优先采用螺栓连接、铆接等干式作业连接方式，最大限度地避免或减少在现场进行焊接作业。耐久性设计需综合考虑环境腐蚀性等级（按《建筑结构防腐设计标准》GB/T 50046划分）、设计使用年限、维护周期等因素。高性能防腐涂料</w:t>
      </w:r>
      <w:r>
        <w:rPr>
          <w:rFonts w:hint="eastAsia" w:ascii="仿宋" w:hAnsi="仿宋" w:cs="仿宋"/>
          <w:color w:val="000000" w:themeColor="text1"/>
          <w:sz w:val="24"/>
          <w:szCs w:val="24"/>
          <w:lang w:val="en-US" w:eastAsia="zh-CN" w:bidi="ar"/>
          <w14:textFill>
            <w14:solidFill>
              <w14:schemeClr w14:val="tx1"/>
            </w14:solidFill>
          </w14:textFill>
        </w:rPr>
        <w:t>体系通常包</w:t>
      </w:r>
      <w:r>
        <w:rPr>
          <w:rFonts w:hint="eastAsia" w:ascii="仿宋" w:hAnsi="仿宋" w:cs="仿宋"/>
          <w:color w:val="000000" w:themeColor="text1"/>
          <w:sz w:val="24"/>
          <w:szCs w:val="24"/>
          <w:lang w:val="en-US" w:eastAsia="zh-CN" w:bidi="ar"/>
          <w14:textFill>
            <w14:solidFill>
              <w14:schemeClr w14:val="tx1"/>
            </w14:solidFill>
          </w14:textFill>
        </w:rPr>
        <w:t>括富锌底漆（提供阴极保护）、中间漆增加漆膜厚度，屏蔽腐蚀）和耐候面漆（抵抗老化，提供颜色和最终保护）。面漆宜采用丙烯酸聚氨酯、氟碳树脂等高性能涂料。具有优异的耐紫外线老化、耐腐蚀介质、耐湿热的性能，并能与基材牢固附着，长期保持防护效果。</w:t>
      </w:r>
    </w:p>
    <w:p w14:paraId="4757574B">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6.2.7</w:t>
      </w:r>
      <w:r>
        <w:rPr>
          <w:rFonts w:hint="eastAsia" w:ascii="仿宋" w:hAnsi="仿宋" w:cs="仿宋"/>
          <w:color w:val="000000" w:themeColor="text1"/>
          <w:sz w:val="24"/>
          <w:szCs w:val="24"/>
          <w:lang w:val="en-US" w:eastAsia="zh-CN" w:bidi="ar"/>
          <w14:textFill>
            <w14:solidFill>
              <w14:schemeClr w14:val="tx1"/>
            </w14:solidFill>
          </w14:textFill>
        </w:rPr>
        <w:t xml:space="preserve"> 闭门器的闭合力量（力矩）根据门的重量、使用频率和环境需求进行多档位调节的装置。在开启后的一定角度内（如90°-65°），闭门器控制门扇保持开启或极慢速关闭，便于人员或设备安全通过。在门扇关闭至最终段时（如15°-0°），加大闭合力度，确保门扇能克服阻力紧密关闭，直至压紧门锁。 </w:t>
      </w:r>
    </w:p>
    <w:p w14:paraId="2BFE83B6">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6.2.8</w:t>
      </w:r>
      <w:r>
        <w:rPr>
          <w:rFonts w:hint="eastAsia" w:ascii="仿宋" w:hAnsi="仿宋" w:cs="仿宋"/>
          <w:color w:val="000000" w:themeColor="text1"/>
          <w:sz w:val="24"/>
          <w:szCs w:val="24"/>
          <w:lang w:val="en-US" w:eastAsia="zh-CN" w:bidi="ar"/>
          <w14:textFill>
            <w14:solidFill>
              <w14:schemeClr w14:val="tx1"/>
            </w14:solidFill>
          </w14:textFill>
        </w:rPr>
        <w:t xml:space="preserve"> 外墙涂料按耐人工气候老化性分为Ⅰ、Ⅱ、Ⅲ三个等级，Ⅲ级为最高等级。具体要求为：白色和浅色涂料：耐人工气候老化性不少于​​1500小时（粉化≤1级，变色≤2级）。适用于对建筑外立面风貌和耐久性要求高的建筑。</w:t>
      </w:r>
    </w:p>
    <w:p w14:paraId="51C7FB35">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内墙涂料首先必须满足国家标准《合成树脂乳液内墙涂料》GB/T 9756规定的基本性能要求，如对比率（遮盖力）、低温稳定性、干燥时间、耐碱性等，达到优等品的相应指标，优等品耐洗刷性≥6000次。</w:t>
      </w:r>
    </w:p>
    <w:p w14:paraId="4A5905B6">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6.2.9</w:t>
      </w:r>
      <w:r>
        <w:rPr>
          <w:rFonts w:hint="eastAsia" w:ascii="仿宋" w:hAnsi="仿宋" w:cs="仿宋"/>
          <w:color w:val="000000" w:themeColor="text1"/>
          <w:sz w:val="24"/>
          <w:szCs w:val="24"/>
          <w:lang w:val="en-US" w:eastAsia="zh-CN" w:bidi="ar"/>
          <w14:textFill>
            <w14:solidFill>
              <w14:schemeClr w14:val="tx1"/>
            </w14:solidFill>
          </w14:textFill>
        </w:rPr>
        <w:t xml:space="preserve"> 陶瓷砖耐磨性依据“耐磨深度”或“可见磨损下的转数”分为0至5共六个等级。4级适用于卧房、书房、客厅、餐厅、阳台、走廊等居住空间中摩擦程度中的场所。是住宅及一般公共建筑地砖的推荐性最低标准。</w:t>
      </w:r>
    </w:p>
    <w:p w14:paraId="444045CD">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​​建筑材料放射性核素限量分为A、B、C三类：A类：放射性水平最低，其产销与使用范围不受限制，其放射水平需被严格控制，必须满足《建筑材料放射性核素限量》GB 6566的强制性国家标准要求。</w:t>
      </w:r>
    </w:p>
    <w:p w14:paraId="22657F39">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6.2.10</w:t>
      </w:r>
      <w:r>
        <w:rPr>
          <w:rFonts w:hint="eastAsia" w:ascii="仿宋" w:hAnsi="仿宋" w:cs="仿宋"/>
          <w:color w:val="000000" w:themeColor="text1"/>
          <w:sz w:val="24"/>
          <w:szCs w:val="24"/>
          <w:lang w:val="en-US" w:eastAsia="zh-CN" w:bidi="ar"/>
          <w14:textFill>
            <w14:solidFill>
              <w14:schemeClr w14:val="tx1"/>
            </w14:solidFill>
          </w14:textFill>
        </w:rPr>
        <w:t xml:space="preserve"> 第1款，强调配电箱（柜）作为低压成套开关设备和控制设备，其设计、制造、试验和性能必须满足国家强制性标准GB7251.3的要求。针对由非专业人员（即“一般人员”，如用户、业主、物业管理人员等）操作的配电板（DBO）配置要求。</w:t>
      </w:r>
    </w:p>
    <w:p w14:paraId="4A105882">
      <w:pPr>
        <w:snapToGrid w:val="0"/>
        <w:spacing w:line="360" w:lineRule="auto"/>
        <w:ind w:firstLine="480" w:firstLineChars="20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第2款，GB/T17215系列标准详细规定了电能表的性能要求：</w:t>
      </w:r>
    </w:p>
    <w:p w14:paraId="4D0C0D72">
      <w:pPr>
        <w:snapToGrid w:val="0"/>
        <w:spacing w:line="360" w:lineRule="auto"/>
        <w:ind w:firstLine="480" w:firstLineChars="20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1）计量性能：包括基本误差限、启动电流、潜动、环境温度影响等，确保在各种规定的工作条件下，电能表都能准确计量电能消耗。</w:t>
      </w:r>
    </w:p>
    <w:p w14:paraId="33989A58">
      <w:pPr>
        <w:snapToGrid w:val="0"/>
        <w:spacing w:line="360" w:lineRule="auto"/>
        <w:ind w:firstLine="480" w:firstLineChars="20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2）电气性能：如电压范围、频率范围、功率消耗、短时过电流影响、抗电磁干扰（EMC）能力等，保证电表在电网波动和干扰环境下稳定可靠工作。</w:t>
      </w:r>
    </w:p>
    <w:p w14:paraId="5A233A56">
      <w:pPr>
        <w:snapToGrid w:val="0"/>
        <w:spacing w:line="360" w:lineRule="auto"/>
        <w:ind w:firstLine="480" w:firstLineChars="20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3）机械性能与安全：包括结构、外壳防护等级（通常要求IP等级，如IP51）、标志、端子、防篡改（封印）等，确保设备物理安全和防止非法操作。</w:t>
      </w:r>
    </w:p>
    <w:p w14:paraId="77E1B9DD">
      <w:pPr>
        <w:snapToGrid w:val="0"/>
        <w:spacing w:line="360" w:lineRule="auto"/>
        <w:ind w:firstLine="480" w:firstLineChars="20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4）气候适应性：对温度、湿度等环境因素的耐受能力。</w:t>
      </w:r>
    </w:p>
    <w:p w14:paraId="1A5981F7">
      <w:pPr>
        <w:snapToGrid w:val="0"/>
        <w:spacing w:line="360" w:lineRule="auto"/>
        <w:ind w:firstLine="480" w:firstLineChars="20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5）通信接口（基础）：虽然标准可能包含通信接口的物理层和链路层要求，但具体的高级功能（如远程抄表的具体协议）通常由其他标准或规范规定。</w:t>
      </w:r>
    </w:p>
    <w:p w14:paraId="6EF2FFC9">
      <w:pPr>
        <w:snapToGrid w:val="0"/>
        <w:spacing w:line="360" w:lineRule="auto"/>
        <w:ind w:firstLine="480" w:firstLineChars="20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第3款，每层桥架穿越楼板处应采用防火包封堵，与防火桥架形成连续防火分隔，防止桥架垮塌造成电缆机械损伤，确保电缆线路耐火完整性，避免短路引发二次灾害。</w:t>
      </w:r>
    </w:p>
    <w:p w14:paraId="74E31FB6">
      <w:pPr>
        <w:snapToGrid w:val="0"/>
        <w:spacing w:line="360" w:lineRule="auto"/>
        <w:ind w:firstLine="480" w:firstLineChars="20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火灾发生时电缆线路能在规定时间内维持供电功能，并为人员疏散和消防救援创造有利条件。桥架安装前提供有资质检测机构出具的防火型式试验报告，一般要求锌层测厚仪检测≥65μm，喷塑层附着力划格试验。</w:t>
      </w:r>
    </w:p>
    <w:p w14:paraId="72FFC08E">
      <w:pPr>
        <w:snapToGrid w:val="0"/>
        <w:spacing w:line="360" w:lineRule="auto"/>
        <w:ind w:firstLine="480" w:firstLineChars="20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第4款，预制装配式综合支架符合“设计标准化→工厂预制化→现场装配化”的技术路线。</w:t>
      </w:r>
    </w:p>
    <w:p w14:paraId="2AE04E6A">
      <w:pPr>
        <w:snapToGrid w:val="0"/>
        <w:spacing w:line="360" w:lineRule="auto"/>
        <w:ind w:firstLine="0" w:firstLineChars="0"/>
        <w:jc w:val="center"/>
        <w:rPr>
          <w:rFonts w:ascii="仿宋" w:hAnsi="仿宋" w:cs="仿宋"/>
          <w:b/>
          <w:bCs/>
          <w:color w:val="000000" w:themeColor="text1"/>
          <w:sz w:val="24"/>
          <w:szCs w:val="24"/>
          <w:lang w:bidi="ar"/>
          <w14:textFill>
            <w14:solidFill>
              <w14:schemeClr w14:val="tx1"/>
            </w14:solidFill>
          </w14:textFill>
        </w:rPr>
      </w:pPr>
    </w:p>
    <w:p w14:paraId="55675BF9">
      <w:pPr>
        <w:pStyle w:val="3"/>
        <w:ind w:firstLine="643"/>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6.3施工管理</w:t>
      </w:r>
    </w:p>
    <w:p w14:paraId="2631226C">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6.3.1</w:t>
      </w:r>
      <w:r>
        <w:rPr>
          <w:rFonts w:hint="eastAsia" w:ascii="仿宋" w:hAnsi="仿宋" w:cs="仿宋"/>
          <w:color w:val="000000" w:themeColor="text1"/>
          <w:sz w:val="24"/>
          <w:szCs w:val="24"/>
          <w:lang w:val="en-US" w:eastAsia="zh-CN" w:bidi="ar"/>
          <w14:textFill>
            <w14:solidFill>
              <w14:schemeClr w14:val="tx1"/>
            </w14:solidFill>
          </w14:textFill>
        </w:rPr>
        <w:t>施工组织设计的编制应基于真实的现场条件、合同文件、设计图纸和国家现行有关标准规范。充分考虑施工单位的自身技术、装备和管理能力，结合当地气候、水文、地质条件及周边环境因素，确保资源配置（劳动力、材料、机械设备等）的计划与供应能力相匹配。编制具有逻辑关系的总体进度计划（总控计划）和具有可操作性的阶段性（年、季、月、周）实施计划。明确关键线路、关键工作、里程碑节点及工序衔接逻辑。明确单位工程、分部、分项工程，特别是重点、难点及危险性较大的分部分项工程所采用的具体施工方法、工艺流程、技术参数、操作要点及采用的施工机械设备。明确质量目标和标准，制定具体、可追溯的质量预控措施、过程控制措施和检验程序。明确专项安全管理措施，如重大危险源辨识、安全技术措施、应急预案与救援演练计划及安全投入计划。</w:t>
      </w:r>
    </w:p>
    <w:p w14:paraId="2D208C5E">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6.3.2</w:t>
      </w:r>
      <w:r>
        <w:rPr>
          <w:rFonts w:hint="eastAsia" w:ascii="仿宋" w:hAnsi="仿宋" w:cs="仿宋"/>
          <w:color w:val="000000" w:themeColor="text1"/>
          <w:sz w:val="24"/>
          <w:szCs w:val="24"/>
          <w:lang w:val="en-US" w:eastAsia="zh-CN" w:bidi="ar"/>
          <w14:textFill>
            <w14:solidFill>
              <w14:schemeClr w14:val="tx1"/>
            </w14:solidFill>
          </w14:textFill>
        </w:rPr>
        <w:t>在设计阶段充分考虑建筑最终的使用需求与内部装饰装修的深化方案。以建筑的最终交付状态和用户体验为目标进行回溯推演。通过事前优化，消除各专业设计中结构、建筑、给排水、暖通、电气、智能化等与装饰装修之间的冲突，通过定期协调会议、联合审图、利用BIM（建筑信息模型）进行合模与碰撞检测等方式实现。</w:t>
      </w:r>
    </w:p>
    <w:p w14:paraId="661219AC">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6.3.3</w:t>
      </w:r>
      <w:r>
        <w:rPr>
          <w:rFonts w:hint="eastAsia" w:ascii="仿宋" w:hAnsi="仿宋" w:cs="仿宋"/>
          <w:color w:val="000000" w:themeColor="text1"/>
          <w:sz w:val="24"/>
          <w:szCs w:val="24"/>
          <w:lang w:val="en-US" w:eastAsia="zh-CN" w:bidi="ar"/>
          <w14:textFill>
            <w14:solidFill>
              <w14:schemeClr w14:val="tx1"/>
            </w14:solidFill>
          </w14:textFill>
        </w:rPr>
        <w:t>对拟采用的“四新”技术，要明确技术要求、性能参数、构造措施、验收标准。全面提升工程的施工效率、技术含量、绿色建造水平和实体质量。“山西省建筑业10项新技术”是在住建部发布的《建筑业10项新技术》基础上，结合本省地理气候、产业特点、工程常见问题和技术发展水平而遴选和推广的地方性推荐技术目录。对重大、“四新”技术应用项目，专门组织技术专家进行论证，确保其应用方案的安全性与可行性。应用过程中，加强现场巡视、监测和记录，及时收集数据，确保施工过程符合既定方案和技术要求。应用完成后，及时进行技术经济效果分析，总结应用经验，形成技术成果。</w:t>
      </w:r>
    </w:p>
    <w:p w14:paraId="39082196">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6.3.4</w:t>
      </w:r>
      <w:r>
        <w:rPr>
          <w:rFonts w:hint="eastAsia" w:ascii="仿宋" w:hAnsi="仿宋" w:cs="仿宋"/>
          <w:color w:val="000000" w:themeColor="text1"/>
          <w:sz w:val="24"/>
          <w:szCs w:val="24"/>
          <w:lang w:val="en-US" w:eastAsia="zh-CN" w:bidi="ar"/>
          <w14:textFill>
            <w14:solidFill>
              <w14:schemeClr w14:val="tx1"/>
            </w14:solidFill>
          </w14:textFill>
        </w:rPr>
        <w:t>要求BIM技术的应用包括三个阶段：</w:t>
      </w:r>
    </w:p>
    <w:p w14:paraId="18899914">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​​施工准备阶段：模型会审、深化设计、施工方案模拟、工程量辅助计算等。</w:t>
      </w:r>
    </w:p>
    <w:p w14:paraId="2B457286">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​​施工实施阶段：数字化技术交底、施工进度模拟、成本管理、质量与安全管理、变更管理等。</w:t>
      </w:r>
    </w:p>
    <w:p w14:paraId="3D7A1857">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​​竣工验收阶段：模型与实体一致性核查、竣工模型交付、运维信息录入与交付。</w:t>
      </w:r>
    </w:p>
    <w:p w14:paraId="19A5115A">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6.3.5</w:t>
      </w:r>
      <w:r>
        <w:rPr>
          <w:rFonts w:hint="eastAsia" w:ascii="仿宋" w:hAnsi="仿宋" w:cs="仿宋"/>
          <w:color w:val="000000" w:themeColor="text1"/>
          <w:sz w:val="24"/>
          <w:szCs w:val="24"/>
          <w:lang w:val="en-US" w:eastAsia="zh-CN" w:bidi="ar"/>
          <w14:textFill>
            <w14:solidFill>
              <w14:schemeClr w14:val="tx1"/>
            </w14:solidFill>
          </w14:textFill>
        </w:rPr>
        <w:t>无人机结合测量土方：利用无人机航拍快速获取现场高清正射影像，通过三维建模软件自动生成高精度地形实景模型，实现对土方工程量快速、精确计算，施工进度监控、场地布置规划等。</w:t>
      </w:r>
    </w:p>
    <w:p w14:paraId="6031CBAE">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实测实量机器人：采用基于激光扫描或摄影测量技术的移动机器人，自动对已完成的结构实体进行尺寸、标高、平整度、垂直度等指标的测量与记录。数据自动上传至云端平台，生成分析报告，实现质量检查的数字化、智能化，避免人为误差。</w:t>
      </w:r>
    </w:p>
    <w:p w14:paraId="47737710">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​​混凝土施工机器人：主要包括混凝土整平机器人、抹平机器人和抹光机器人。适用于大面积地坪施工。</w:t>
      </w:r>
    </w:p>
    <w:p w14:paraId="5790ED8A">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​​墙面抹灰施工机器人：通过机械臂自动完成墙面的砂浆喷涂、刮平等工序。通过参数化控制砂浆厚度与平整度。</w:t>
      </w:r>
    </w:p>
    <w:p w14:paraId="572FAD2D">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​​砌筑机器人：根据BIM模型信息，自动识别砌块位置，进行砌块搬运、铺浆、定位和安装。实现自动化、高精度的砌体工程作业。</w:t>
      </w:r>
    </w:p>
    <w:p w14:paraId="5C84D798">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​​智能施工电梯：集成人脸识别或物联网卡智能启动、荷载监测、智能呼梯、无人化运行、运行状态远程监控等功能，杜绝无证操作。</w:t>
      </w:r>
    </w:p>
    <w:p w14:paraId="4BF2CC3E">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6.3.6</w:t>
      </w:r>
      <w:r>
        <w:rPr>
          <w:rFonts w:hint="eastAsia" w:ascii="仿宋" w:hAnsi="仿宋" w:cs="仿宋"/>
          <w:color w:val="000000" w:themeColor="text1"/>
          <w:sz w:val="24"/>
          <w:szCs w:val="24"/>
          <w:lang w:val="en-US" w:eastAsia="zh-CN" w:bidi="ar"/>
          <w14:textFill>
            <w14:solidFill>
              <w14:schemeClr w14:val="tx1"/>
            </w14:solidFill>
          </w14:textFill>
        </w:rPr>
        <w:t>节能型施工机具主要包含：变频塔式起重机、变频施工电梯、节能焊机、节能水泵等机具；</w:t>
      </w:r>
    </w:p>
    <w:p w14:paraId="5461F07D">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​​临时设施节能技术主要包含：节能照明、临时建筑保温、节水器具；</w:t>
      </w:r>
    </w:p>
    <w:p w14:paraId="35790664">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​​清洁能源利用技术主要包含：太阳能光伏发电、太阳能热水器、空气源热泵、风力发电、地源热泵等技术。</w:t>
      </w:r>
    </w:p>
    <w:p w14:paraId="2C0395B9">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6.3.7</w:t>
      </w:r>
      <w:r>
        <w:rPr>
          <w:rFonts w:hint="eastAsia" w:ascii="仿宋" w:hAnsi="仿宋" w:cs="仿宋"/>
          <w:color w:val="000000" w:themeColor="text1"/>
          <w:sz w:val="24"/>
          <w:szCs w:val="24"/>
          <w:lang w:val="en-US" w:eastAsia="zh-CN" w:bidi="ar"/>
          <w14:textFill>
            <w14:solidFill>
              <w14:schemeClr w14:val="tx1"/>
            </w14:solidFill>
          </w14:textFill>
        </w:rPr>
        <w:t>节材型施工方法主要包含：模板数字化配模技术、短木方接长再利用技术、基于BIM的管线综合与预留预埋技术、高强建材应用技术、混凝土余料回收利用技术等。</w:t>
      </w:r>
    </w:p>
    <w:p w14:paraId="156E6311">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6.3.9</w:t>
      </w:r>
      <w:r>
        <w:rPr>
          <w:rFonts w:hint="eastAsia" w:ascii="仿宋" w:hAnsi="仿宋" w:cs="仿宋"/>
          <w:color w:val="000000" w:themeColor="text1"/>
          <w:sz w:val="24"/>
          <w:szCs w:val="24"/>
          <w:lang w:val="en-US" w:eastAsia="zh-CN" w:bidi="ar"/>
          <w14:textFill>
            <w14:solidFill>
              <w14:schemeClr w14:val="tx1"/>
            </w14:solidFill>
          </w14:textFill>
        </w:rPr>
        <w:t>对于易出现质量问题的部位和工序验收时应制作统一的、包含关键信息的验收牌。牌上至少应清晰注明：工程名称、验收部位（或桩号、轴线）、验收内容、验收时间、验收结论，并留有参建单位责任人签字栏。在验收合格的同时，由监理单位（或建设单位）组织，施工单位的质量检查员、班组长（或技术负责人）及监理工程师等关键责任人必须共同持牌。照片能同时看清验收牌上的全部信息、所有持牌责任人的面部以及所验收部位的背景特征。影像资料作为《隐蔽工程验收记录</w:t>
      </w:r>
      <w:r>
        <w:rPr>
          <w:rFonts w:hint="eastAsia" w:ascii="仿宋" w:hAnsi="仿宋" w:cs="仿宋"/>
          <w:color w:val="000000" w:themeColor="text1"/>
          <w:sz w:val="24"/>
          <w:szCs w:val="24"/>
          <w:lang w:val="en-US" w:eastAsia="zh-CN" w:bidi="ar"/>
          <w14:textFill>
            <w14:solidFill>
              <w14:schemeClr w14:val="tx1"/>
            </w14:solidFill>
          </w14:textFill>
        </w:rPr>
        <w:t>》《</w:t>
      </w:r>
      <w:r>
        <w:rPr>
          <w:rFonts w:hint="eastAsia" w:ascii="仿宋" w:hAnsi="仿宋" w:cs="仿宋"/>
          <w:color w:val="000000" w:themeColor="text1"/>
          <w:sz w:val="24"/>
          <w:szCs w:val="24"/>
          <w:lang w:val="en-US" w:eastAsia="zh-CN" w:bidi="ar"/>
          <w14:textFill>
            <w14:solidFill>
              <w14:schemeClr w14:val="tx1"/>
            </w14:solidFill>
          </w14:textFill>
        </w:rPr>
        <w:t>检验批质量验收记录》等书面文件的必备附件，一同归档保存。</w:t>
      </w:r>
    </w:p>
    <w:p w14:paraId="48B0EE8B">
      <w:pPr>
        <w:snapToGrid w:val="0"/>
        <w:spacing w:line="360" w:lineRule="auto"/>
        <w:ind w:left="0" w:leftChars="0" w:firstLine="0" w:firstLineChars="0"/>
        <w:rPr>
          <w:rFonts w:hint="eastAsia"/>
          <w:i/>
          <w:iCs/>
          <w:color w:val="000000" w:themeColor="text1"/>
          <w:sz w:val="24"/>
          <w:lang w:val="en-US" w:eastAsia="zh-CN"/>
          <w14:textFill>
            <w14:solidFill>
              <w14:schemeClr w14:val="tx1"/>
            </w14:solidFill>
          </w14:textFill>
        </w:rPr>
      </w:pPr>
    </w:p>
    <w:p w14:paraId="525E9EA5">
      <w:pPr>
        <w:pStyle w:val="3"/>
        <w:ind w:left="0" w:leftChars="0" w:firstLine="0" w:firstLineChars="0"/>
        <w:jc w:val="center"/>
        <w:rPr>
          <w:color w:val="000000" w:themeColor="text1"/>
          <w:sz w:val="24"/>
          <w:szCs w:val="24"/>
          <w:lang w:val="en-US" w:eastAsia="zh-CN"/>
          <w14:textFill>
            <w14:solidFill>
              <w14:schemeClr w14:val="tx1"/>
            </w14:solidFill>
          </w14:textFill>
        </w:rPr>
      </w:pPr>
      <w:r>
        <w:rPr>
          <w:color w:val="000000" w:themeColor="text1"/>
          <w:sz w:val="24"/>
          <w:szCs w:val="24"/>
          <w:lang w:val="en-US" w:eastAsia="zh-CN"/>
          <w14:textFill>
            <w14:solidFill>
              <w14:schemeClr w14:val="tx1"/>
            </w14:solidFill>
          </w14:textFill>
        </w:rPr>
        <w:t>6.4绿色施工</w:t>
      </w:r>
    </w:p>
    <w:p w14:paraId="459ADF0B">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6.4.2</w:t>
      </w:r>
      <w:r>
        <w:rPr>
          <w:rFonts w:hint="eastAsia" w:ascii="仿宋" w:hAnsi="仿宋" w:cs="仿宋"/>
          <w:color w:val="000000" w:themeColor="text1"/>
          <w:sz w:val="24"/>
          <w:szCs w:val="24"/>
          <w:lang w:val="en-US" w:eastAsia="zh-CN" w:bidi="ar"/>
          <w14:textFill>
            <w14:solidFill>
              <w14:schemeClr w14:val="tx1"/>
            </w14:solidFill>
          </w14:textFill>
        </w:rPr>
        <w:t xml:space="preserve"> 本条规定是基于山西省作为能源重化工基地的情况，进一步细化了适用于山西省气候、环境、资源条件及产业发展政策的施工质量验收标准。施工单位应进行绿色施工策划及应用，指导全过程施工的操作，内容需涵盖“五节一环保”的具体技术路径、保障措施和责任人。明确减碳目标，并制定针对性的技术和管理措施。建立一套覆盖计量、监测、分析和改进的碳排放管理体系。</w:t>
      </w:r>
    </w:p>
    <w:p w14:paraId="565EFDB0">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6.4.3</w:t>
      </w:r>
      <w:r>
        <w:rPr>
          <w:rFonts w:hint="eastAsia" w:ascii="仿宋" w:hAnsi="仿宋" w:cs="仿宋"/>
          <w:color w:val="000000" w:themeColor="text1"/>
          <w:sz w:val="24"/>
          <w:szCs w:val="24"/>
          <w:lang w:val="en-US" w:eastAsia="zh-CN" w:bidi="ar"/>
          <w14:textFill>
            <w14:solidFill>
              <w14:schemeClr w14:val="tx1"/>
            </w14:solidFill>
          </w14:textFill>
        </w:rPr>
        <w:t xml:space="preserve"> “优良”级别，必须同时满足以下三个条件：评价总得分 ≥ 85 分；所有“控制项”必须全部满足要求（一票否决项）；每个评价要素（如“环境保护</w:t>
      </w:r>
      <w:r>
        <w:rPr>
          <w:rFonts w:hint="eastAsia" w:ascii="仿宋" w:hAnsi="仿宋" w:cs="仿宋"/>
          <w:color w:val="000000" w:themeColor="text1"/>
          <w:sz w:val="24"/>
          <w:szCs w:val="24"/>
          <w:lang w:val="en-US" w:eastAsia="zh-CN" w:bidi="ar"/>
          <w14:textFill>
            <w14:solidFill>
              <w14:schemeClr w14:val="tx1"/>
            </w14:solidFill>
          </w14:textFill>
        </w:rPr>
        <w:t>”“</w:t>
      </w:r>
      <w:r>
        <w:rPr>
          <w:rFonts w:hint="eastAsia" w:ascii="仿宋" w:hAnsi="仿宋" w:cs="仿宋"/>
          <w:color w:val="000000" w:themeColor="text1"/>
          <w:sz w:val="24"/>
          <w:szCs w:val="24"/>
          <w:lang w:val="en-US" w:eastAsia="zh-CN" w:bidi="ar"/>
          <w14:textFill>
            <w14:solidFill>
              <w14:schemeClr w14:val="tx1"/>
            </w14:solidFill>
          </w14:textFill>
        </w:rPr>
        <w:t>节材与材料资源利用”等）的得分率不应小于85%。</w:t>
      </w:r>
    </w:p>
    <w:p w14:paraId="1BEFE5CF">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6.4.4</w:t>
      </w:r>
      <w:r>
        <w:rPr>
          <w:rFonts w:hint="eastAsia" w:ascii="仿宋" w:hAnsi="仿宋" w:cs="仿宋"/>
          <w:color w:val="000000" w:themeColor="text1"/>
          <w:sz w:val="24"/>
          <w:szCs w:val="24"/>
          <w:lang w:val="en-US" w:eastAsia="zh-CN" w:bidi="ar"/>
          <w14:textFill>
            <w14:solidFill>
              <w14:schemeClr w14:val="tx1"/>
            </w14:solidFill>
          </w14:textFill>
        </w:rPr>
        <w:t xml:space="preserve"> 建筑信息模型 </w:t>
      </w:r>
      <w:r>
        <w:rPr>
          <w:rFonts w:hint="eastAsia" w:ascii="仿宋" w:hAnsi="仿宋" w:cs="仿宋"/>
          <w:color w:val="000000" w:themeColor="text1"/>
          <w:sz w:val="24"/>
          <w:szCs w:val="24"/>
          <w:lang w:val="en-US" w:eastAsia="zh-CN" w:bidi="ar"/>
          <w14:textFill>
            <w14:solidFill>
              <w14:schemeClr w14:val="tx1"/>
            </w14:solidFill>
          </w14:textFill>
        </w:rPr>
        <w:t>（BIM）</w:t>
      </w:r>
      <w:r>
        <w:rPr>
          <w:rFonts w:hint="eastAsia" w:ascii="仿宋" w:hAnsi="仿宋" w:cs="仿宋"/>
          <w:color w:val="000000" w:themeColor="text1"/>
          <w:sz w:val="24"/>
          <w:szCs w:val="24"/>
          <w:lang w:val="en-US" w:eastAsia="zh-CN" w:bidi="ar"/>
          <w14:textFill>
            <w14:solidFill>
              <w14:schemeClr w14:val="tx1"/>
            </w14:solidFill>
          </w14:textFill>
        </w:rPr>
        <w:t>作为核心的数字载体，在施工前进行虚拟建造，对施工方案、场地布置、大型设备安装路径等进行可视化模拟和优化，减少返工和浪费。进行采光、通风、能耗等建筑性能模拟，优化绿色施工方案。实现精确算量，为节材控制提供精准数据基础。</w:t>
      </w:r>
    </w:p>
    <w:p w14:paraId="70B53E16">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 xml:space="preserve">​​物联网 </w:t>
      </w:r>
      <w:r>
        <w:rPr>
          <w:rFonts w:hint="eastAsia" w:ascii="仿宋" w:hAnsi="仿宋" w:cs="仿宋"/>
          <w:color w:val="000000" w:themeColor="text1"/>
          <w:sz w:val="24"/>
          <w:szCs w:val="24"/>
          <w:lang w:val="en-US" w:eastAsia="zh-CN" w:bidi="ar"/>
          <w14:textFill>
            <w14:solidFill>
              <w14:schemeClr w14:val="tx1"/>
            </w14:solidFill>
          </w14:textFill>
        </w:rPr>
        <w:t>（IoT）</w:t>
      </w:r>
      <w:r>
        <w:rPr>
          <w:rFonts w:hint="eastAsia" w:ascii="仿宋" w:hAnsi="仿宋" w:cs="仿宋"/>
          <w:color w:val="000000" w:themeColor="text1"/>
          <w:sz w:val="24"/>
          <w:szCs w:val="24"/>
          <w:lang w:val="en-US" w:eastAsia="zh-CN" w:bidi="ar"/>
          <w14:textFill>
            <w14:solidFill>
              <w14:schemeClr w14:val="tx1"/>
            </w14:solidFill>
          </w14:textFill>
        </w:rPr>
        <w:t>负责数据采集，实时监测能耗（水、电、油）、环境指标（PM2.5、PM10、噪声、风速）、大型设备运行状态等。对塔吊、施工电梯等进行智能监控，保障安全与能效。</w:t>
      </w:r>
    </w:p>
    <w:p w14:paraId="5C23BBA9">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​​大数据与云计算负责数据处理与存储。云平台汇聚物联网、BIM、人工录入等多源数据，进行海量存储和关联分析。</w:t>
      </w:r>
    </w:p>
    <w:p w14:paraId="6F9E18DD">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​​移动通讯作为信息交互的通道，通过手机APP、移动终端等，实现现场质量安全巡检、隐患整改、图纸查阅、进度上报的实时联动。</w:t>
      </w:r>
    </w:p>
    <w:p w14:paraId="30316DAA">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6.4.5</w:t>
      </w:r>
      <w:r>
        <w:rPr>
          <w:rFonts w:hint="eastAsia" w:ascii="仿宋" w:hAnsi="仿宋" w:cs="仿宋"/>
          <w:color w:val="000000" w:themeColor="text1"/>
          <w:sz w:val="24"/>
          <w:szCs w:val="24"/>
          <w:lang w:val="en-US" w:eastAsia="zh-CN" w:bidi="ar"/>
          <w14:textFill>
            <w14:solidFill>
              <w14:schemeClr w14:val="tx1"/>
            </w14:solidFill>
          </w14:textFill>
        </w:rPr>
        <w:t xml:space="preserve"> 第1款，在采购合同和技术规格书中明确要求材料不得含有石棉和苯。供应商必须提供由具备CMA或CNAS资质的第三方检测机构出具的有害物质含量检测报告，报告中关于石棉和苯的指标应为“未检出”或低于方法检出限。进场时，监理和施工单位必须核验检测报告原件，并进行存档。</w:t>
      </w:r>
    </w:p>
    <w:p w14:paraId="6555C1AE">
      <w:pPr>
        <w:snapToGrid w:val="0"/>
        <w:spacing w:line="360" w:lineRule="auto"/>
        <w:ind w:firstLine="480" w:firstLineChars="20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第2款，在设计说明和材料选用表中，必须明确禁止使用沥青类防腐材料。供应商必须提供由具备CMA或CNAS资质的第三方检测机构出具的、针对本批次产品的有害物质含量检测报告。报告中的“铅含量”项目检测结果必须明确显示 ≤ 90mg/kg。</w:t>
      </w:r>
    </w:p>
    <w:p w14:paraId="0907DF47">
      <w:pPr>
        <w:snapToGrid w:val="0"/>
        <w:spacing w:line="360" w:lineRule="auto"/>
        <w:ind w:firstLine="480" w:firstLineChars="200"/>
        <w:rPr>
          <w:rFonts w:hint="eastAsia" w:ascii="仿宋" w:hAnsi="仿宋" w:cs="仿宋"/>
          <w:color w:val="000000" w:themeColor="text1"/>
          <w:sz w:val="24"/>
          <w:szCs w:val="24"/>
          <w:lang w:bidi="ar"/>
          <w14:textFill>
            <w14:solidFill>
              <w14:schemeClr w14:val="tx1"/>
            </w14:solidFill>
          </w14:textFill>
        </w:rPr>
      </w:pPr>
      <w:r>
        <w:rPr>
          <w:rFonts w:hint="eastAsia" w:ascii="仿宋" w:hAnsi="仿宋" w:cs="仿宋"/>
          <w:color w:val="000000" w:themeColor="text1"/>
          <w:sz w:val="24"/>
          <w:szCs w:val="24"/>
          <w:lang w:val="en-US" w:eastAsia="zh-CN" w:bidi="ar"/>
          <w14:textFill>
            <w14:solidFill>
              <w14:schemeClr w14:val="tx1"/>
            </w14:solidFill>
          </w14:textFill>
        </w:rPr>
        <w:t>第3款，所用材料具备CMA或CNAS资质的第三方检测机构出具的甲醛释放量检测报告（如显示为“未检出”或远优于ENF级标准），严格核验证明文件的原件，并留存复印件归档。对关键材料进行抽样送检。</w:t>
      </w:r>
    </w:p>
    <w:p w14:paraId="5611198F">
      <w:pPr>
        <w:snapToGrid w:val="0"/>
        <w:spacing w:line="360" w:lineRule="auto"/>
        <w:ind w:firstLine="0" w:firstLineChars="0"/>
        <w:rPr>
          <w:rFonts w:hint="eastAsia" w:ascii="仿宋" w:hAnsi="仿宋" w:cs="仿宋"/>
          <w:color w:val="000000" w:themeColor="text1"/>
          <w:sz w:val="24"/>
          <w:szCs w:val="24"/>
          <w:lang w:val="en-US" w:eastAsia="zh-CN" w:bidi="ar"/>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6.4.6</w:t>
      </w:r>
      <w:r>
        <w:rPr>
          <w:rFonts w:hint="eastAsia" w:ascii="仿宋" w:hAnsi="仿宋" w:cs="仿宋"/>
          <w:color w:val="000000" w:themeColor="text1"/>
          <w:sz w:val="24"/>
          <w:szCs w:val="24"/>
          <w:lang w:val="en-US" w:eastAsia="zh-CN" w:bidi="ar"/>
          <w14:textFill>
            <w14:solidFill>
              <w14:schemeClr w14:val="tx1"/>
            </w14:solidFill>
          </w14:textFill>
        </w:rPr>
        <w:t>在工地场界及内部重点区域（如主干道、基坑周边、材料加工区）安装在线监测终端，实时采集PM2.5、PM10、噪声、风速、风向、温度、湿度等数据，并通过无线网络传输至云平台和现场显示屏。一旦数据超标，自动报警，与智能监测系统联动，可设定触发阈值（如PM10浓度超过150μg/m³时），实现自动启停。包括塔吊喷淋、围墙喷淋、高空雾炮、基坑降水喷淋等。</w:t>
      </w:r>
    </w:p>
    <w:p w14:paraId="0395395D">
      <w:pPr>
        <w:snapToGrid w:val="0"/>
        <w:spacing w:line="360" w:lineRule="auto"/>
        <w:ind w:firstLine="560"/>
        <w:rPr>
          <w:rFonts w:ascii="仿宋" w:hAnsi="仿宋" w:cs="仿宋"/>
          <w:color w:val="000000" w:themeColor="text1"/>
          <w:sz w:val="24"/>
          <w:szCs w:val="24"/>
          <w:lang w:bidi="ar"/>
          <w14:textFill>
            <w14:solidFill>
              <w14:schemeClr w14:val="tx1"/>
            </w14:solidFill>
          </w14:textFill>
        </w:rPr>
      </w:pPr>
    </w:p>
    <w:p w14:paraId="5F1EF1A6">
      <w:pPr>
        <w:pStyle w:val="3"/>
        <w:ind w:firstLine="643"/>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6.5质量控制与验收</w:t>
      </w:r>
    </w:p>
    <w:p w14:paraId="323FCB95">
      <w:pPr>
        <w:snapToGrid w:val="0"/>
        <w:spacing w:line="360" w:lineRule="auto"/>
        <w:ind w:left="0" w:leftChars="0"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ascii="仿宋" w:hAnsi="仿宋" w:cs="仿宋"/>
          <w:color w:val="000000" w:themeColor="text1"/>
          <w:sz w:val="24"/>
          <w:szCs w:val="24"/>
          <w:lang w:bidi="ar"/>
          <w14:textFill>
            <w14:solidFill>
              <w14:schemeClr w14:val="tx1"/>
            </w14:solidFill>
          </w14:textFill>
        </w:rPr>
        <w:t>6.5.2</w:t>
      </w:r>
      <w:r>
        <w:rPr>
          <w:rFonts w:hint="eastAsia" w:ascii="仿宋" w:hAnsi="仿宋" w:cs="仿宋"/>
          <w:color w:val="000000" w:themeColor="text1"/>
          <w:sz w:val="24"/>
          <w:szCs w:val="24"/>
          <w:lang w:val="en-US" w:eastAsia="zh-CN" w:bidi="ar"/>
          <w14:textFill>
            <w14:solidFill>
              <w14:schemeClr w14:val="tx1"/>
            </w14:solidFill>
          </w14:textFill>
        </w:rPr>
        <w:t xml:space="preserve"> </w:t>
      </w:r>
      <w:r>
        <w:rPr>
          <w:rFonts w:hint="eastAsia" w:ascii="仿宋" w:hAnsi="仿宋" w:cs="仿宋"/>
          <w:color w:val="000000" w:themeColor="text1"/>
          <w:sz w:val="24"/>
          <w:szCs w:val="24"/>
          <w:lang w:val="en-US" w:eastAsia="zh-CN"/>
          <w14:textFill>
            <w14:solidFill>
              <w14:schemeClr w14:val="tx1"/>
            </w14:solidFill>
          </w14:textFill>
        </w:rPr>
        <w:t>在±0.00结构板或基础承台上，精确测设出建筑物的矩形控制轴线和各大角控制点，并做好永久或半永久标记。每施工完一层，采用激光铅垂仪或经纬仪等精密仪器，将底层的大角控制点精确向上投测至施工层，作为该层放线的基准。投测到施工层的控制点必须进行闭合复核，确保投测点的准确性后方可进行该层的细部放线。</w:t>
      </w:r>
    </w:p>
    <w:p w14:paraId="19DA5E9B">
      <w:pPr>
        <w:snapToGrid w:val="0"/>
        <w:spacing w:line="360" w:lineRule="auto"/>
        <w:ind w:left="0" w:leftChars="0"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6.5.3</w:t>
      </w:r>
      <w:r>
        <w:rPr>
          <w:rFonts w:hint="eastAsia" w:ascii="仿宋" w:hAnsi="仿宋" w:cs="仿宋"/>
          <w:color w:val="000000" w:themeColor="text1"/>
          <w:sz w:val="24"/>
          <w:szCs w:val="24"/>
          <w:lang w:val="en-US" w:eastAsia="zh-CN"/>
          <w14:textFill>
            <w14:solidFill>
              <w14:schemeClr w14:val="tx1"/>
            </w14:solidFill>
          </w14:textFill>
        </w:rPr>
        <w:t xml:space="preserve"> 第1款，配合比必须保证混凝土的配制强度高于其设计强度等级，以满足强度保证率要求。通过试配试验，测定混凝土在不同龄期的抗压强度。在试验室和现场，通过坍落度试验、目测观察等方式进行验证。对于设计有耐久性要求（如抗冻、抗渗、抗氯离子侵蚀）的混凝土，配合比必须通过控制水胶比、胶凝材料用量、掺合料比例和引气剂等来满足相应指标。</w:t>
      </w:r>
    </w:p>
    <w:p w14:paraId="5CC4BFFC">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3款，泵送混凝土浇筑宜根据结构形状及尺寸、混凝土供应、混凝土浇筑设备、场地内外条件等划分每台输送泵的浇筑区域及浇筑顺序；采用输送管浇筑混凝土时，宜由远而近浇筑；采用多根输送管同时浇筑时，其浇筑速度宜保持一致；混凝土泵送浇筑应连续进行；当混凝土不能及时供应时，应采取间歇泵送方式。</w:t>
      </w:r>
    </w:p>
    <w:p w14:paraId="6986B0FE">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8款，10MPa是一个经验性的临界值。达到此强度时，混凝土已初步具备一定的抗荷载能力，其内部结构已形成到足以抵抗一般施工活动产生的轻微应力，由于混凝土结构尚未充分形成，混凝土与钢筋之间的粘结力也较弱，仍不足以承受大型集中荷载。</w:t>
      </w:r>
    </w:p>
    <w:p w14:paraId="55D15E8A">
      <w:pPr>
        <w:snapToGrid w:val="0"/>
        <w:spacing w:line="360" w:lineRule="auto"/>
        <w:ind w:left="0" w:leftChars="0"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6.5.4</w:t>
      </w:r>
      <w:r>
        <w:rPr>
          <w:rFonts w:hint="eastAsia" w:ascii="仿宋" w:hAnsi="仿宋" w:cs="仿宋"/>
          <w:color w:val="000000" w:themeColor="text1"/>
          <w:sz w:val="24"/>
          <w:szCs w:val="24"/>
          <w:lang w:val="en-US" w:eastAsia="zh-CN"/>
          <w14:textFill>
            <w14:solidFill>
              <w14:schemeClr w14:val="tx1"/>
            </w14:solidFill>
          </w14:textFill>
        </w:rPr>
        <w:t xml:space="preserve"> 灌浆套筒连接是竖向受力构件（如剪力墙、柱）钢筋连接的主要形式，在现浇楼层混凝土施工前，使用一个根据预制构件底部套筒分布图​​精准加工的孔位定位钢板（即定位模具），将预留插筋预先固定在设计位置。其上的开孔位置、孔径与预制构件底部的灌浆套筒位置完全一致，控制插筋的平面位置、垂直度和外露长度。定位模具须由专业厂家根据施工图深化设计并数控加工制作，开孔位置偏差应小于±1.0mm。模具进场后需进行全数验收，核对孔位、孔径及模具平整度。</w:t>
      </w:r>
    </w:p>
    <w:p w14:paraId="54E681C9">
      <w:pPr>
        <w:snapToGrid w:val="0"/>
        <w:spacing w:line="360" w:lineRule="auto"/>
        <w:ind w:firstLine="56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微重力补浆观测灌浆采用专用电动灌浆机，“</w:t>
      </w:r>
      <w:r>
        <w:rPr>
          <w:rFonts w:hint="eastAsia" w:ascii="仿宋" w:hAnsi="仿宋" w:cs="仿宋"/>
          <w:color w:val="000000" w:themeColor="text1"/>
          <w:sz w:val="24"/>
          <w:szCs w:val="24"/>
          <w:lang w:val="en-US" w:eastAsia="zh-CN"/>
          <w14:textFill>
            <w14:solidFill>
              <w14:schemeClr w14:val="tx1"/>
            </w14:solidFill>
          </w14:textFill>
        </w:rPr>
        <w:t>观测－反馈－补偿</w:t>
      </w:r>
      <w:r>
        <w:rPr>
          <w:rFonts w:hint="eastAsia" w:ascii="仿宋" w:hAnsi="仿宋" w:cs="仿宋"/>
          <w:color w:val="000000" w:themeColor="text1"/>
          <w:sz w:val="24"/>
          <w:szCs w:val="24"/>
          <w:lang w:val="en-US" w:eastAsia="zh-CN"/>
          <w14:textFill>
            <w14:solidFill>
              <w14:schemeClr w14:val="tx1"/>
            </w14:solidFill>
          </w14:textFill>
        </w:rPr>
        <w:t>”机制，以较低且稳定的压力进行灌浆。低压可避免因压力过高导致灌浆管爆裂或密封不严处漏浆，也能让浆体在套筒内平稳流动，有效排出空气。在出浆口普遍见浆后，并不立即封堵出浆孔，而是保持灌浆持续一段时间（</w:t>
      </w:r>
      <w:r>
        <w:rPr>
          <w:rFonts w:hint="eastAsia" w:ascii="仿宋" w:hAnsi="仿宋" w:cs="仿宋"/>
          <w:color w:val="000000" w:themeColor="text1"/>
          <w:sz w:val="24"/>
          <w:szCs w:val="24"/>
          <w:lang w:val="en-US" w:eastAsia="zh-CN"/>
          <w14:textFill>
            <w14:solidFill>
              <w14:schemeClr w14:val="tx1"/>
            </w14:solidFill>
          </w14:textFill>
        </w:rPr>
        <w:t>通常3～5秒）</w:t>
      </w:r>
      <w:r>
        <w:rPr>
          <w:rFonts w:hint="eastAsia" w:ascii="仿宋" w:hAnsi="仿宋" w:cs="仿宋"/>
          <w:color w:val="000000" w:themeColor="text1"/>
          <w:sz w:val="24"/>
          <w:szCs w:val="24"/>
          <w:lang w:val="en-US" w:eastAsia="zh-CN"/>
          <w14:textFill>
            <w14:solidFill>
              <w14:schemeClr w14:val="tx1"/>
            </w14:solidFill>
          </w14:textFill>
        </w:rPr>
        <w:t>，将流经套筒过程中夹带的少量气泡和部分水分继续排出。逐一​​用橡胶塞封堵。</w:t>
      </w:r>
    </w:p>
    <w:p w14:paraId="64B478E4">
      <w:pPr>
        <w:snapToGrid w:val="0"/>
        <w:spacing w:line="360" w:lineRule="auto"/>
        <w:ind w:left="0" w:leftChars="0"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6.5.5</w:t>
      </w:r>
      <w:r>
        <w:rPr>
          <w:rFonts w:hint="eastAsia" w:ascii="仿宋" w:hAnsi="仿宋" w:cs="仿宋"/>
          <w:color w:val="000000" w:themeColor="text1"/>
          <w:sz w:val="24"/>
          <w:szCs w:val="24"/>
          <w:lang w:val="en-US" w:eastAsia="zh-CN"/>
          <w14:textFill>
            <w14:solidFill>
              <w14:schemeClr w14:val="tx1"/>
            </w14:solidFill>
          </w14:textFill>
        </w:rPr>
        <w:t xml:space="preserve"> 第2款，宽度小于240mm的墙垛，通过设置竖向钢筋混凝土柱（通常称为“构造柱”或“边框柱”），使其与过梁、水平系梁及主体结构可靠拉结，增强洞口的整体性和抗侧移能力。混凝土柱的宽度宜同墙厚，高度（即沿墙长方向的尺寸）应根据结构计算或构造要求确定，但不宜小于120mm，且不应大于墙厚。</w:t>
      </w:r>
    </w:p>
    <w:p w14:paraId="1CCBA11E">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第4款，同一墙体截面交叉开槽埋设多根导管，会严重削弱墙体有效截面，过长水平槽会严重影响其抗剪承载力。300mm是经验性的临界控制值。</w:t>
      </w:r>
      <w:r>
        <w:rPr>
          <w:rFonts w:hint="eastAsia" w:ascii="仿宋" w:hAnsi="仿宋" w:cs="仿宋"/>
          <w:color w:val="000000" w:themeColor="text1"/>
          <w:sz w:val="24"/>
          <w:szCs w:val="24"/>
          <w:lang w:val="en-US" w:eastAsia="zh-CN"/>
          <w14:textFill>
            <w14:solidFill>
              <w14:schemeClr w14:val="tx1"/>
            </w14:solidFill>
          </w14:textFill>
        </w:rPr>
        <w:t>若因特殊情</w:t>
      </w:r>
      <w:r>
        <w:rPr>
          <w:rFonts w:hint="eastAsia" w:ascii="仿宋" w:hAnsi="仿宋" w:cs="仿宋"/>
          <w:color w:val="000000" w:themeColor="text1"/>
          <w:sz w:val="24"/>
          <w:szCs w:val="24"/>
          <w:lang w:val="en-US" w:eastAsia="zh-CN"/>
          <w14:textFill>
            <w14:solidFill>
              <w14:schemeClr w14:val="tx1"/>
            </w14:solidFill>
          </w14:textFill>
        </w:rPr>
        <w:t>况确需交叉埋设或开凿长于300mm的水平槽，需提交原设计单位进行结构安全验算。设计单位根据验算结果，出具书面处理意见。对于钢筋混凝土剪力墙，原则上应尽量避免后期开槽。若必须开槽，通常只允许开竖向浅槽，且不得损伤主体钢筋。</w:t>
      </w:r>
    </w:p>
    <w:p w14:paraId="170300AB">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第5款，预留洞背面的抹灰层满挂钢丝网片应覆盖整个预留洞口背面及周边区域，并向四周完整墙面延伸不少于150mm。网片应牢固固定（如采用射钉或粘结剂），置于抹灰层的中部或外侧（紧靠抹灰层）。</w:t>
      </w:r>
    </w:p>
    <w:p w14:paraId="2037B45C">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第6款，填充板材墙体安装时，板缝宽度应控制在</w:t>
      </w:r>
      <w:r>
        <w:rPr>
          <w:rFonts w:hint="eastAsia" w:ascii="仿宋" w:hAnsi="仿宋" w:cs="仿宋"/>
          <w:color w:val="000000" w:themeColor="text1"/>
          <w:sz w:val="24"/>
          <w:szCs w:val="24"/>
          <w:lang w:val="en-US" w:eastAsia="zh-CN"/>
          <w14:textFill>
            <w14:solidFill>
              <w14:schemeClr w14:val="tx1"/>
            </w14:solidFill>
          </w14:textFill>
        </w:rPr>
        <w:t>3～5mm</w:t>
      </w:r>
      <w:r>
        <w:rPr>
          <w:rFonts w:hint="eastAsia" w:ascii="仿宋" w:hAnsi="仿宋" w:cs="仿宋"/>
          <w:color w:val="000000" w:themeColor="text1"/>
          <w:sz w:val="24"/>
          <w:szCs w:val="24"/>
          <w:lang w:val="en-US" w:eastAsia="zh-CN"/>
          <w14:textFill>
            <w14:solidFill>
              <w14:schemeClr w14:val="tx1"/>
            </w14:solidFill>
          </w14:textFill>
        </w:rPr>
        <w:t>以内。每安装完一块板，均需用2m靠尺和激光仪检查其垂直度和平整度，允许偏差应≤3mm/2m。板与板之间的榫卯/凹凸槽口应咬合紧密。</w:t>
      </w:r>
    </w:p>
    <w:p w14:paraId="53B8D706">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嵌缝材料使用板材厂家配套产品（如弹性腻子、嵌缝石膏、砂浆等），其柔韧性、收缩率和粘结强度与板材性能相匹配。</w:t>
      </w:r>
    </w:p>
    <w:p w14:paraId="7FD3422A">
      <w:pPr>
        <w:snapToGrid w:val="0"/>
        <w:spacing w:line="360" w:lineRule="auto"/>
        <w:ind w:left="0" w:leftChars="0"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6.5.6</w:t>
      </w:r>
      <w:r>
        <w:rPr>
          <w:rFonts w:hint="eastAsia" w:ascii="仿宋" w:hAnsi="仿宋" w:cs="仿宋"/>
          <w:color w:val="000000" w:themeColor="text1"/>
          <w:sz w:val="24"/>
          <w:szCs w:val="24"/>
          <w:lang w:val="en-US" w:eastAsia="zh-CN"/>
          <w14:textFill>
            <w14:solidFill>
              <w14:schemeClr w14:val="tx1"/>
            </w14:solidFill>
          </w14:textFill>
        </w:rPr>
        <w:t>地下室底板施工不宜设置变形缝，优先采用跳仓法，分块最大单向尺寸≤40m，接缝按施工缝处理，跳仓间隔时间≥7d，分层浇筑厚度</w:t>
      </w:r>
      <w:r>
        <w:rPr>
          <w:rFonts w:hint="eastAsia" w:ascii="仿宋" w:hAnsi="仿宋" w:cs="仿宋"/>
          <w:color w:val="000000" w:themeColor="text1"/>
          <w:sz w:val="24"/>
          <w:szCs w:val="24"/>
          <w:lang w:val="en-US" w:eastAsia="zh-CN"/>
          <w14:textFill>
            <w14:solidFill>
              <w14:schemeClr w14:val="tx1"/>
            </w14:solidFill>
          </w14:textFill>
        </w:rPr>
        <w:t>250～400mm；</w:t>
      </w:r>
      <w:r>
        <w:rPr>
          <w:rFonts w:hint="eastAsia" w:ascii="仿宋" w:hAnsi="仿宋" w:cs="仿宋"/>
          <w:color w:val="000000" w:themeColor="text1"/>
          <w:sz w:val="24"/>
          <w:szCs w:val="24"/>
          <w:lang w:val="en-US" w:eastAsia="zh-CN"/>
          <w14:textFill>
            <w14:solidFill>
              <w14:schemeClr w14:val="tx1"/>
            </w14:solidFill>
          </w14:textFill>
        </w:rPr>
        <w:t>大体积混凝土内外温差应≤25℃，表面与大气温差应≤20℃，浇筑后12h内启动保温养护，优先采用覆膜+覆盖联合措施，拆模后应及时回填土，利用覆土减缓降温速率。</w:t>
      </w:r>
    </w:p>
    <w:p w14:paraId="4202D554">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同一部位使用的多种防水材料（如卷材、涂料、密封膏、止水带等）之间应具有相容性，避免因化学或物理作用相互侵蚀。</w:t>
      </w:r>
    </w:p>
    <w:p w14:paraId="664BAE7E">
      <w:pPr>
        <w:snapToGrid w:val="0"/>
        <w:spacing w:line="360" w:lineRule="auto"/>
        <w:ind w:left="0" w:leftChars="0"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6.5.7</w:t>
      </w:r>
      <w:bookmarkStart w:id="132" w:name="OLE_LINK23"/>
      <w:r>
        <w:rPr>
          <w:rFonts w:hint="eastAsia" w:ascii="仿宋" w:hAnsi="仿宋" w:cs="仿宋"/>
          <w:color w:val="000000" w:themeColor="text1"/>
          <w:sz w:val="24"/>
          <w:szCs w:val="24"/>
          <w:lang w:val="en-US" w:eastAsia="zh-CN"/>
          <w14:textFill>
            <w14:solidFill>
              <w14:schemeClr w14:val="tx1"/>
            </w14:solidFill>
          </w14:textFill>
        </w:rPr>
        <w:t xml:space="preserve"> 第2款，落水口杯的上口必须低于周边防水层完成面，且应是该排水区域内的最低点。通常建议落水口周围直径500mm范围内的排水坡度应适当增大至5%。</w:t>
      </w:r>
    </w:p>
    <w:p w14:paraId="330F243B">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3款，将卷材末端牢牢压紧在基层上，有效抵抗风荷载、热胀冷缩等引起的剥离力，防止卷材张口、翘边。压条宜为型材制品，常见形状可为“L”形或“T”形，优先采用奥氏体不锈钢（如304、316牌号）或铝合金（需进行阳极氧化等表面硬化处理），具有优异的耐大气腐蚀能力。采用带有密封垫圈的金属螺钉或机械锚栓进行固定。固定点间距应根据压条刚度、基层材料和风压确定，但不宜大于300mm。在压条端头及接缝处，固定点应距离端部适当距离</w:t>
      </w:r>
      <w:r>
        <w:rPr>
          <w:rFonts w:hint="eastAsia" w:ascii="仿宋" w:hAnsi="仿宋" w:cs="仿宋"/>
          <w:color w:val="000000" w:themeColor="text1"/>
          <w:sz w:val="24"/>
          <w:szCs w:val="24"/>
          <w:lang w:val="en-US" w:eastAsia="zh-CN"/>
          <w14:textFill>
            <w14:solidFill>
              <w14:schemeClr w14:val="tx1"/>
            </w14:solidFill>
          </w14:textFill>
        </w:rPr>
        <w:t>（如20～30mm）</w:t>
      </w:r>
      <w:r>
        <w:rPr>
          <w:rFonts w:hint="eastAsia" w:ascii="仿宋" w:hAnsi="仿宋" w:cs="仿宋"/>
          <w:color w:val="000000" w:themeColor="text1"/>
          <w:sz w:val="24"/>
          <w:szCs w:val="24"/>
          <w:lang w:val="en-US" w:eastAsia="zh-CN"/>
          <w14:textFill>
            <w14:solidFill>
              <w14:schemeClr w14:val="tx1"/>
            </w14:solidFill>
          </w14:textFill>
        </w:rPr>
        <w:t>，并适当加密。密封处理采用耐候性优异的硅酮、改性硅酮或聚氨酯密封胶进行连续的、饱满的嵌缝密封，形成最后一道防水屏障。</w:t>
      </w:r>
    </w:p>
    <w:p w14:paraId="33C1BC5F">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第4款，在混凝土保护层中配置直径不小于4mm、间距不大于150mm×150mm的钢筋网片。钢筋网应位于保护层厚度的中央偏上位置（建议距表面</w:t>
      </w:r>
      <w:r>
        <w:rPr>
          <w:rFonts w:hint="eastAsia" w:ascii="仿宋" w:hAnsi="仿宋" w:cs="仿宋"/>
          <w:color w:val="000000" w:themeColor="text1"/>
          <w:sz w:val="24"/>
          <w:szCs w:val="24"/>
          <w:lang w:val="en-US" w:eastAsia="zh-CN"/>
          <w14:textFill>
            <w14:solidFill>
              <w14:schemeClr w14:val="tx1"/>
            </w14:solidFill>
          </w14:textFill>
        </w:rPr>
        <w:t>20～30mm）</w:t>
      </w:r>
      <w:r>
        <w:rPr>
          <w:rFonts w:hint="eastAsia" w:ascii="仿宋" w:hAnsi="仿宋" w:cs="仿宋"/>
          <w:color w:val="000000" w:themeColor="text1"/>
          <w:sz w:val="24"/>
          <w:szCs w:val="24"/>
          <w:lang w:val="en-US" w:eastAsia="zh-CN"/>
          <w14:textFill>
            <w14:solidFill>
              <w14:schemeClr w14:val="tx1"/>
            </w14:solidFill>
          </w14:textFill>
        </w:rPr>
        <w:t>，抵抗混凝土收缩和温度应力产生的裂缝。</w:t>
      </w:r>
    </w:p>
    <w:p w14:paraId="1D091718">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第6款，将排气帽设置在屋面排水坡度的最高处（即分水线附近），从根本上防止雨水通过排气帽倒灌入排气系统。</w:t>
      </w:r>
    </w:p>
    <w:bookmarkEnd w:id="132"/>
    <w:p w14:paraId="184207FC">
      <w:pPr>
        <w:snapToGrid w:val="0"/>
        <w:spacing w:line="360" w:lineRule="auto"/>
        <w:ind w:left="0" w:leftChars="0"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6.5.8</w:t>
      </w:r>
      <w:r>
        <w:rPr>
          <w:rFonts w:hint="eastAsia" w:ascii="仿宋" w:hAnsi="仿宋" w:cs="仿宋"/>
          <w:color w:val="000000" w:themeColor="text1"/>
          <w:sz w:val="24"/>
          <w:szCs w:val="24"/>
          <w:lang w:val="en-US" w:eastAsia="zh-CN"/>
          <w14:textFill>
            <w14:solidFill>
              <w14:schemeClr w14:val="tx1"/>
            </w14:solidFill>
          </w14:textFill>
        </w:rPr>
        <w:t xml:space="preserve"> 第3款，通过</w:t>
      </w:r>
      <w:r>
        <w:rPr>
          <w:rFonts w:hint="eastAsia" w:ascii="仿宋" w:hAnsi="仿宋" w:cs="仿宋"/>
          <w:color w:val="000000" w:themeColor="text1"/>
          <w:sz w:val="24"/>
          <w:szCs w:val="24"/>
          <w:lang w:val="en-US" w:eastAsia="zh-CN"/>
          <w14:textFill>
            <w14:solidFill>
              <w14:schemeClr w14:val="tx1"/>
            </w14:solidFill>
          </w14:textFill>
        </w:rPr>
        <w:t>“扩孔”“专用材料封堵”</w:t>
      </w:r>
      <w:r>
        <w:rPr>
          <w:rFonts w:hint="eastAsia" w:ascii="仿宋" w:hAnsi="仿宋" w:cs="仿宋"/>
          <w:color w:val="000000" w:themeColor="text1"/>
          <w:sz w:val="24"/>
          <w:szCs w:val="24"/>
          <w:lang w:val="en-US" w:eastAsia="zh-CN"/>
          <w14:textFill>
            <w14:solidFill>
              <w14:schemeClr w14:val="tx1"/>
            </w14:solidFill>
          </w14:textFill>
        </w:rPr>
        <w:t>和“三道防水加强”三道核心工序，形成一个由内而外、多层次、系统性的密封体系，确保封堵的密实性、耐久性和绝对的水密性。清除孔洞周边松动的混凝土和脱模剂，扩孔深度宜为</w:t>
      </w:r>
      <w:r>
        <w:rPr>
          <w:rFonts w:hint="eastAsia" w:ascii="仿宋" w:hAnsi="仿宋" w:cs="仿宋"/>
          <w:color w:val="000000" w:themeColor="text1"/>
          <w:sz w:val="24"/>
          <w:szCs w:val="24"/>
          <w:lang w:val="en-US" w:eastAsia="zh-CN"/>
          <w14:textFill>
            <w14:solidFill>
              <w14:schemeClr w14:val="tx1"/>
            </w14:solidFill>
          </w14:textFill>
        </w:rPr>
        <w:t>20～30mm</w:t>
      </w:r>
      <w:r>
        <w:rPr>
          <w:rFonts w:hint="eastAsia" w:ascii="仿宋" w:hAnsi="仿宋" w:cs="仿宋"/>
          <w:color w:val="000000" w:themeColor="text1"/>
          <w:sz w:val="24"/>
          <w:szCs w:val="24"/>
          <w:lang w:val="en-US" w:eastAsia="zh-CN"/>
          <w14:textFill>
            <w14:solidFill>
              <w14:schemeClr w14:val="tx1"/>
            </w14:solidFill>
          </w14:textFill>
        </w:rPr>
        <w:t>，直径应比原螺杆孔直径扩大</w:t>
      </w:r>
      <w:r>
        <w:rPr>
          <w:rFonts w:hint="eastAsia" w:ascii="仿宋" w:hAnsi="仿宋" w:cs="仿宋"/>
          <w:color w:val="000000" w:themeColor="text1"/>
          <w:sz w:val="24"/>
          <w:szCs w:val="24"/>
          <w:lang w:val="en-US" w:eastAsia="zh-CN"/>
          <w14:textFill>
            <w14:solidFill>
              <w14:schemeClr w14:val="tx1"/>
            </w14:solidFill>
          </w14:textFill>
        </w:rPr>
        <w:t>20～30mm</w:t>
      </w:r>
      <w:r>
        <w:rPr>
          <w:rFonts w:hint="eastAsia" w:ascii="仿宋" w:hAnsi="仿宋" w:cs="仿宋"/>
          <w:color w:val="000000" w:themeColor="text1"/>
          <w:sz w:val="24"/>
          <w:szCs w:val="24"/>
          <w:lang w:val="en-US" w:eastAsia="zh-CN"/>
          <w14:textFill>
            <w14:solidFill>
              <w14:schemeClr w14:val="tx1"/>
            </w14:solidFill>
          </w14:textFill>
        </w:rPr>
        <w:t>，形成内大外小的漏斗形。使用防水砂浆（通常为聚合物防水砂浆或微膨胀防水砂浆）封堵。防水砂浆的强度等级不应低于原结构混凝土强度等级。砂浆表面应略低于墙面，为后续防水加强层提供操作空间。</w:t>
      </w:r>
    </w:p>
    <w:p w14:paraId="36A76673">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外墙表面增加的三道柔性防水涂层，第一遍防水其作用是密封防水砂浆可能存在的微观毛细孔。第二遍防水利用纤维网分散应力，形成一道有胎体增强的柔性防水层。宜采用柔性优异的聚合物水泥防水涂料（JJ）或聚氨酯防水涂料。涂刷范围应比第一遍涂刷范围每边宽出50mm以上。第三遍防水是确保加强层的整体厚度均匀、无缺陷，并与前两道涂层共同形成一道连续、完整、具有足够厚度和延展性的弹性防水膜。</w:t>
      </w:r>
    </w:p>
    <w:p w14:paraId="44C0564C">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第4款，凿毛处理在预制构件脱模后、安装前进行，以凿毛处理后骨料露出面积不应小于总面积的45%。凿毛深度宜为</w:t>
      </w:r>
      <w:r>
        <w:rPr>
          <w:rFonts w:hint="eastAsia" w:ascii="仿宋" w:hAnsi="仿宋" w:cs="仿宋"/>
          <w:color w:val="000000" w:themeColor="text1"/>
          <w:sz w:val="24"/>
          <w:szCs w:val="24"/>
          <w:lang w:val="en-US" w:eastAsia="zh-CN"/>
          <w14:textFill>
            <w14:solidFill>
              <w14:schemeClr w14:val="tx1"/>
            </w14:solidFill>
          </w14:textFill>
        </w:rPr>
        <w:t>3～5mm</w:t>
      </w:r>
      <w:r>
        <w:rPr>
          <w:rFonts w:hint="eastAsia" w:ascii="仿宋" w:hAnsi="仿宋" w:cs="仿宋"/>
          <w:color w:val="000000" w:themeColor="text1"/>
          <w:sz w:val="24"/>
          <w:szCs w:val="24"/>
          <w:lang w:val="en-US" w:eastAsia="zh-CN"/>
          <w14:textFill>
            <w14:solidFill>
              <w14:schemeClr w14:val="tx1"/>
            </w14:solidFill>
          </w14:textFill>
        </w:rPr>
        <w:t>。</w:t>
      </w:r>
    </w:p>
    <w:p w14:paraId="3755D26D">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​​预制构件安装就位后，与现浇部分之间形成的建筑接缝。接缝外侧设置“一基三强”防水加强系统：</w:t>
      </w:r>
    </w:p>
    <w:p w14:paraId="0BB593FB">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基层增强层：在接缝处的基层表面涂刷一道</w:t>
      </w:r>
      <w:r>
        <w:rPr>
          <w:rFonts w:hint="eastAsia" w:ascii="仿宋" w:hAnsi="仿宋" w:cs="仿宋"/>
          <w:color w:val="000000" w:themeColor="text1"/>
          <w:sz w:val="24"/>
          <w:szCs w:val="24"/>
          <w:lang w:val="en-US" w:eastAsia="zh-CN"/>
          <w14:textFill>
            <w14:solidFill>
              <w14:schemeClr w14:val="tx1"/>
            </w14:solidFill>
          </w14:textFill>
        </w:rPr>
        <w:t>基层处理剂或高渗透性界面剂，以增强密封材料与基层的粘结</w:t>
      </w:r>
      <w:r>
        <w:rPr>
          <w:rFonts w:hint="eastAsia" w:ascii="仿宋" w:hAnsi="仿宋" w:cs="仿宋"/>
          <w:color w:val="000000" w:themeColor="text1"/>
          <w:sz w:val="24"/>
          <w:szCs w:val="24"/>
          <w:lang w:val="en-US" w:eastAsia="zh-CN"/>
          <w14:textFill>
            <w14:solidFill>
              <w14:schemeClr w14:val="tx1"/>
            </w14:solidFill>
          </w14:textFill>
        </w:rPr>
        <w:t>。在接缝内预先嵌填背衬材料（如聚乙烯泡沫棒）和耐候密封胶（如硅酮、MS、聚氨酯密封胶），形成第一道弹性密封线。</w:t>
      </w:r>
    </w:p>
    <w:p w14:paraId="66CFD1EE">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防水加强层：在接缝表面涂刷一道</w:t>
      </w:r>
      <w:r>
        <w:rPr>
          <w:rFonts w:hint="eastAsia" w:ascii="仿宋" w:hAnsi="仿宋" w:cs="仿宋"/>
          <w:color w:val="000000" w:themeColor="text1"/>
          <w:sz w:val="24"/>
          <w:szCs w:val="24"/>
          <w:lang w:val="en-US" w:eastAsia="zh-CN"/>
          <w14:textFill>
            <w14:solidFill>
              <w14:schemeClr w14:val="tx1"/>
            </w14:solidFill>
          </w14:textFill>
        </w:rPr>
        <w:t>弹性优异的防水涂料（如聚氨酯防水涂料、聚合物水泥防水涂料JJ），或铺设一道自粘型防水卷材条。此层是主要的柔性防水屏障，其宽度应覆盖接缝并向两侧延伸，每边不少于100mm。</w:t>
      </w:r>
    </w:p>
    <w:p w14:paraId="667AA013">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增强抗裂层：对于涂料防水层，宜在涂料中铺覆耐碱玻纤网格布等增强材料，以分散应力，防止涂膜因基层开裂而破坏。</w:t>
      </w:r>
    </w:p>
    <w:p w14:paraId="3714277C">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防水加强保护层：涂刷第二道防水涂料，确保设计厚度，形成完整的防水膜。或进行卷材的满粘施工。</w:t>
      </w:r>
    </w:p>
    <w:p w14:paraId="7FACBA62">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第5款，挡水坎主要设置于窗洞口下口，与主体结构（如剪力墙、构造柱）一次整体浇筑完成。高度应高出外窗台装饰面层不小于50mm。坎台表面应向外出泛水，坡度不小于10%。</w:t>
      </w:r>
    </w:p>
    <w:p w14:paraId="57C45880">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企口设置于窗洞口的全部四周。企口宽度宜为</w:t>
      </w:r>
      <w:r>
        <w:rPr>
          <w:rFonts w:hint="eastAsia" w:ascii="仿宋" w:hAnsi="仿宋" w:cs="仿宋"/>
          <w:color w:val="000000" w:themeColor="text1"/>
          <w:sz w:val="24"/>
          <w:szCs w:val="24"/>
          <w:lang w:val="en-US" w:eastAsia="zh-CN"/>
          <w14:textFill>
            <w14:solidFill>
              <w14:schemeClr w14:val="tx1"/>
            </w14:solidFill>
          </w14:textFill>
        </w:rPr>
        <w:t>50～100mm。</w:t>
      </w:r>
      <w:r>
        <w:rPr>
          <w:rFonts w:hint="eastAsia" w:ascii="仿宋" w:hAnsi="仿宋" w:cs="仿宋"/>
          <w:color w:val="000000" w:themeColor="text1"/>
          <w:sz w:val="24"/>
          <w:szCs w:val="24"/>
          <w:lang w:val="en-US" w:eastAsia="zh-CN"/>
          <w14:textFill>
            <w14:solidFill>
              <w14:schemeClr w14:val="tx1"/>
            </w14:solidFill>
          </w14:textFill>
        </w:rPr>
        <w:t>可采用预制混凝土构件，或在砌体施工时通过不同排砖方式形成，也可通过后期抹灰成型。</w:t>
      </w:r>
    </w:p>
    <w:p w14:paraId="32681E0C">
      <w:pPr>
        <w:snapToGrid w:val="0"/>
        <w:spacing w:line="360" w:lineRule="auto"/>
        <w:ind w:left="0" w:leftChars="0"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6.5.9</w:t>
      </w:r>
      <w:r>
        <w:rPr>
          <w:rFonts w:hint="eastAsia" w:ascii="仿宋" w:hAnsi="仿宋" w:cs="仿宋"/>
          <w:color w:val="000000" w:themeColor="text1"/>
          <w:sz w:val="24"/>
          <w:szCs w:val="24"/>
          <w:lang w:val="en-US" w:eastAsia="zh-CN"/>
          <w14:textFill>
            <w14:solidFill>
              <w14:schemeClr w14:val="tx1"/>
            </w14:solidFill>
          </w14:textFill>
        </w:rPr>
        <w:t xml:space="preserve"> 第5款，止水节是一个带翼缘（止水环）的预制管件（通常为PVC-U或HDPE材质），翼缘位于管件中部。在楼板混凝土浇筑前，将止水节按设计位置预先固定在模板上。浇筑混凝土时，混凝土包裹住翼缘及管件下部，形成一次性整体结构。防水效果更可靠、更持久。</w:t>
      </w:r>
    </w:p>
    <w:p w14:paraId="6462ABAA">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第6款，在房间门口用砂浆或砖块砌筑高度不低于150mm的挡水坎，蓄水深度最浅处不应小于20mm。在墙面标注水位线。 蓄水时间不应少于24小时。对于有争议或重要部位，可延长至48小时。</w:t>
      </w:r>
    </w:p>
    <w:p w14:paraId="7B948259">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对渗漏点进行专项治理。应根据渗漏情况（如裂缝、点漏）采取凿槽、压力注浆（环氧树脂或聚氨酯浆液）等方法进行结构性修补。所有渗漏点修补完成后，重新进行闭水试验，直至完全无渗漏为止。</w:t>
      </w:r>
    </w:p>
    <w:p w14:paraId="397E236D">
      <w:pPr>
        <w:snapToGrid w:val="0"/>
        <w:spacing w:line="360" w:lineRule="auto"/>
        <w:ind w:left="0" w:leftChars="0"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6.5.11</w:t>
      </w:r>
      <w:r>
        <w:rPr>
          <w:rFonts w:hint="eastAsia" w:ascii="仿宋" w:hAnsi="仿宋" w:cs="仿宋"/>
          <w:color w:val="000000" w:themeColor="text1"/>
          <w:sz w:val="24"/>
          <w:szCs w:val="24"/>
          <w:lang w:val="en-US" w:eastAsia="zh-CN"/>
          <w14:textFill>
            <w14:solidFill>
              <w14:schemeClr w14:val="tx1"/>
            </w14:solidFill>
          </w14:textFill>
        </w:rPr>
        <w:t xml:space="preserve"> 第2款，密封材料的选择应根据设计要求、环境条件和使用部位，选择合适的密封材料。通常采用组合使用的方式：</w:t>
      </w:r>
    </w:p>
    <w:p w14:paraId="277F8023">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​​室外侧采用耐候性、弹性和</w:t>
      </w:r>
      <w:r>
        <w:rPr>
          <w:rFonts w:hint="eastAsia" w:ascii="仿宋" w:hAnsi="仿宋" w:cs="仿宋"/>
          <w:color w:val="000000" w:themeColor="text1"/>
          <w:sz w:val="24"/>
          <w:szCs w:val="24"/>
          <w:lang w:val="en-US" w:eastAsia="zh-CN"/>
          <w14:textFill>
            <w14:solidFill>
              <w14:schemeClr w14:val="tx1"/>
            </w14:solidFill>
          </w14:textFill>
        </w:rPr>
        <w:t>粘结性</w:t>
      </w:r>
      <w:r>
        <w:rPr>
          <w:rFonts w:hint="eastAsia" w:ascii="仿宋" w:hAnsi="仿宋" w:cs="仿宋"/>
          <w:color w:val="000000" w:themeColor="text1"/>
          <w:sz w:val="24"/>
          <w:szCs w:val="24"/>
          <w:lang w:val="en-US" w:eastAsia="zh-CN"/>
          <w14:textFill>
            <w14:solidFill>
              <w14:schemeClr w14:val="tx1"/>
            </w14:solidFill>
          </w14:textFill>
        </w:rPr>
        <w:t>俱佳的材料。推荐中性硅酮耐候密封胶或改性硅酮密封胶。缝隙填充通常采用发泡聚氨酯（现场成型硬质聚氨酯发泡剂）进行填充。</w:t>
      </w:r>
    </w:p>
    <w:p w14:paraId="02E3E3C4">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室内侧：选用弹性密封胶或密封膏进行密封，主要起气密和美观作用。在潮湿房间，室内侧密封应具有防霉性能。</w:t>
      </w:r>
    </w:p>
    <w:p w14:paraId="2346F10F">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3款，机械连接点的数量、位置和间距应经过计算或根据规范确定，确保荷载有效传递。连接件应固定于墙体结构层（如混凝土、实心砖砌体等），固定点间距不应大于500mm。距角部的距离不应大于150mm。固定点应均匀分布，避免产生局部应力集中。</w:t>
      </w:r>
    </w:p>
    <w:p w14:paraId="584957D4">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附框的连接采用可调节的柔性连接，门窗框通过螺钉穿过附框上的安装孔进行固定。安装孔应为长圆形孔，便于在最终固定前进行微调，确保门窗的水平和垂直度。固定后，连接点应能承受门窗扇的反复启闭力和风压。</w:t>
      </w:r>
    </w:p>
    <w:p w14:paraId="3A1C5718">
      <w:pPr>
        <w:snapToGrid w:val="0"/>
        <w:spacing w:line="360" w:lineRule="auto"/>
        <w:ind w:left="0" w:leftChars="0" w:firstLine="0" w:firstLineChars="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6.5.12</w:t>
      </w:r>
      <w:r>
        <w:rPr>
          <w:rFonts w:hint="eastAsia" w:ascii="仿宋" w:hAnsi="仿宋" w:cs="仿宋"/>
          <w:color w:val="000000" w:themeColor="text1"/>
          <w:sz w:val="24"/>
          <w:szCs w:val="24"/>
          <w:lang w:val="en-US" w:eastAsia="zh-CN"/>
          <w14:textFill>
            <w14:solidFill>
              <w14:schemeClr w14:val="tx1"/>
            </w14:solidFill>
          </w14:textFill>
        </w:rPr>
        <w:t>《近零能耗建筑技术标准》GB/T51350第7.1.16条规定：伸出屋面外的管道应设置套管进行保护，套管与管道间应填充保温材料</w:t>
      </w:r>
      <w:r>
        <w:rPr>
          <w:rFonts w:ascii="仿宋" w:hAnsi="仿宋" w:cs="仿宋"/>
          <w:color w:val="000000" w:themeColor="text1"/>
          <w:sz w:val="24"/>
          <w:szCs w:val="24"/>
          <w14:textFill>
            <w14:solidFill>
              <w14:schemeClr w14:val="tx1"/>
            </w14:solidFill>
          </w14:textFill>
        </w:rPr>
        <w:t>。</w:t>
      </w:r>
    </w:p>
    <w:p w14:paraId="6AC1986E">
      <w:pPr>
        <w:snapToGrid w:val="0"/>
        <w:spacing w:line="360" w:lineRule="auto"/>
        <w:ind w:left="0" w:leftChars="0"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6.5.14</w:t>
      </w:r>
      <w:r>
        <w:rPr>
          <w:rFonts w:hint="eastAsia" w:ascii="仿宋" w:hAnsi="仿宋" w:cs="仿宋"/>
          <w:color w:val="000000" w:themeColor="text1"/>
          <w:sz w:val="24"/>
          <w:szCs w:val="24"/>
          <w:lang w:val="en-US" w:eastAsia="zh-CN"/>
          <w14:textFill>
            <w14:solidFill>
              <w14:schemeClr w14:val="tx1"/>
            </w14:solidFill>
          </w14:textFill>
        </w:rPr>
        <w:t xml:space="preserve"> 第1款，在设备底座与支撑基础之间设置弹簧或橡胶的弹性元件，形成“</w:t>
      </w:r>
      <w:r>
        <w:rPr>
          <w:rFonts w:hint="eastAsia" w:ascii="仿宋" w:hAnsi="仿宋" w:cs="仿宋"/>
          <w:color w:val="000000" w:themeColor="text1"/>
          <w:sz w:val="24"/>
          <w:szCs w:val="24"/>
          <w:lang w:val="en-US" w:eastAsia="zh-CN"/>
          <w14:textFill>
            <w14:solidFill>
              <w14:schemeClr w14:val="tx1"/>
            </w14:solidFill>
          </w14:textFill>
        </w:rPr>
        <w:t>质量（设备）－弹簧（减震器）－基础”</w:t>
      </w:r>
      <w:r>
        <w:rPr>
          <w:rFonts w:hint="eastAsia" w:ascii="仿宋" w:hAnsi="仿宋" w:cs="仿宋"/>
          <w:color w:val="000000" w:themeColor="text1"/>
          <w:sz w:val="24"/>
          <w:szCs w:val="24"/>
          <w:lang w:val="en-US" w:eastAsia="zh-CN"/>
          <w14:textFill>
            <w14:solidFill>
              <w14:schemeClr w14:val="tx1"/>
            </w14:solidFill>
          </w14:textFill>
        </w:rPr>
        <w:t>系统。该系统的固有频率远低于设备扰动频率，从而大幅降低传递到建筑结构的振动能量（振动传递率T&lt;1，实现隔振）。所选减震器的额定载荷必须大于或等于设备分配到该减震器支点上的实际载荷（考虑设备总重、惰性块重及动载荷系数），严禁超载使用。</w:t>
      </w:r>
    </w:p>
    <w:p w14:paraId="4014FEFF">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静态压缩</w:t>
      </w:r>
      <w:r>
        <w:rPr>
          <w:rFonts w:hint="eastAsia" w:ascii="仿宋" w:hAnsi="仿宋" w:cs="仿宋"/>
          <w:color w:val="000000" w:themeColor="text1"/>
          <w:sz w:val="24"/>
          <w:szCs w:val="24"/>
          <w:lang w:val="en-US" w:eastAsia="zh-CN"/>
          <w14:textFill>
            <w14:solidFill>
              <w14:schemeClr w14:val="tx1"/>
            </w14:solidFill>
          </w14:textFill>
        </w:rPr>
        <w:t>量（δst）</w:t>
      </w:r>
      <w:r>
        <w:rPr>
          <w:rFonts w:hint="eastAsia" w:ascii="仿宋" w:hAnsi="仿宋" w:cs="仿宋"/>
          <w:color w:val="000000" w:themeColor="text1"/>
          <w:sz w:val="24"/>
          <w:szCs w:val="24"/>
          <w:lang w:val="en-US" w:eastAsia="zh-CN"/>
          <w14:textFill>
            <w14:solidFill>
              <w14:schemeClr w14:val="tx1"/>
            </w14:solidFill>
          </w14:textFill>
        </w:rPr>
        <w:t>是指设备（含惰性块）自重作用下，减震器产生的静态变形量。δst =W/k，其中W为作用在减震器上的静载荷，k为减震器刚度。各减震器实际δst的偏差应尽可能小（如≤±10%），以保证设备载荷均匀分布，所有减震器协同工作。</w:t>
      </w:r>
    </w:p>
    <w:p w14:paraId="7CF98422">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第2款，水平管道设置弹性支吊架，管道与支撑结构之间引入弹性元件（如橡胶隔振垫、弹簧），切断固体传声路径。</w:t>
      </w:r>
    </w:p>
    <w:p w14:paraId="0BF3975F">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垂直管道穿楼板处推荐加装减震套管，通常为橡胶或柔性高分子材料制成的套管或环状垫，能切断振动传递路径。</w:t>
      </w:r>
    </w:p>
    <w:p w14:paraId="6E5F14FE">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中央空调冷媒管（尤其是高压气体管）、给排水主管道（如水泵房出水管主干管、高层建筑供水立管总管）等关键主干管道，必须选用隔震托架或减震吊架进行支撑，采用隔震托架/减震吊架，能提供比普通弹性支吊架更强的隔振能力（尤其对低频振动）和更大的载荷支撑能力。</w:t>
      </w:r>
    </w:p>
    <w:p w14:paraId="78DA6FC2">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第3款，风管支架</w:t>
      </w:r>
      <w:r>
        <w:rPr>
          <w:rFonts w:hint="eastAsia" w:ascii="仿宋" w:hAnsi="仿宋" w:cs="仿宋"/>
          <w:color w:val="000000" w:themeColor="text1"/>
          <w:sz w:val="24"/>
          <w:szCs w:val="24"/>
          <w:lang w:val="en-US" w:eastAsia="zh-CN"/>
          <w14:textFill>
            <w14:solidFill>
              <w14:schemeClr w14:val="tx1"/>
            </w14:solidFill>
          </w14:textFill>
        </w:rPr>
        <w:t>在吊杆根部</w:t>
      </w:r>
      <w:r>
        <w:rPr>
          <w:rFonts w:hint="eastAsia" w:ascii="仿宋" w:hAnsi="仿宋" w:cs="仿宋"/>
          <w:color w:val="000000" w:themeColor="text1"/>
          <w:sz w:val="24"/>
          <w:szCs w:val="24"/>
          <w:lang w:val="en-US" w:eastAsia="zh-CN"/>
          <w14:textFill>
            <w14:solidFill>
              <w14:schemeClr w14:val="tx1"/>
            </w14:solidFill>
          </w14:textFill>
        </w:rPr>
        <w:t>、横担与结构连接处与建筑结构之间加装橡胶隔震垫，利用橡胶的弹性阻尼特性，吸收和衰减风管传递至支架的振动能量，显著降低传递到建筑结构的振动和噪声。</w:t>
      </w:r>
    </w:p>
    <w:p w14:paraId="1F2250AF">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风管是具有一定刚度的连续体。该间距要求基于工程经验和理论计算（考虑常见风管尺寸、壁厚、刚度、振动特性），能在保证风管稳定性的前提下，提供足够的支撑点数量，使隔振垫均匀受力并有效抑制振动传递。</w:t>
      </w:r>
    </w:p>
    <w:p w14:paraId="32665DE3">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4款，柔性保温材料包裹的保温材料（如橡塑海绵、PEF、玻璃棉/岩棉保温管壳）的多孔结构具有良好的吸声性能，能吸收管壁辐射出的部分声能，转化为热能；材料本身及其外护层（如铝箔）形成一层隔声屏障，阻碍噪声向周围空间传播。</w:t>
      </w:r>
    </w:p>
    <w:p w14:paraId="6D2CA0D2">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静音管主要优化了管材自身的隔声性能（空气声），但对结构传声（固体声）的抑制效果有限，尤其当管道受到强烈冲击振动时。排水系统大量废水（尤其是含有固体物）高速冲入水平主管段，冲击管壁底部，容易产生强烈噪声和振动。在水平排水管道的支吊架与建筑结构之间引入弹性元件（如橡胶隔振垫、弹簧隔振器），切断振动通过支架传递至结构的路径，有效阻止固体传声。</w:t>
      </w:r>
    </w:p>
    <w:p w14:paraId="5C9E94E5">
      <w:pPr>
        <w:snapToGrid w:val="0"/>
        <w:spacing w:line="360" w:lineRule="auto"/>
        <w:ind w:firstLine="56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第5款，室内机内部的风机和压缩机（部分机型）是主要振动源。弹簧减震钩是一种专用的隔振吊架，通常由上连接板、高强度压缩弹簧、下连接钩（或环）及阻尼元件（如橡胶垫）组成。弹簧具有较低的刚度，能提供较大的静态压缩量（δst）；内置的橡胶阻尼垫或液体阻尼器能吸收振动能量，抑制弹簧共振峰，防止在启动/停止时通过共振区产生过大振幅。</w:t>
      </w:r>
    </w:p>
    <w:p w14:paraId="337743F4">
      <w:pPr>
        <w:snapToGrid w:val="0"/>
        <w:spacing w:line="360" w:lineRule="auto"/>
        <w:ind w:firstLine="0" w:firstLineChars="0"/>
        <w:rPr>
          <w:i/>
          <w:iCs/>
          <w:color w:val="000000" w:themeColor="text1"/>
          <w:sz w:val="24"/>
          <w:szCs w:val="24"/>
          <w14:textFill>
            <w14:solidFill>
              <w14:schemeClr w14:val="tx1"/>
            </w14:solidFill>
          </w14:textFill>
        </w:rPr>
      </w:pPr>
    </w:p>
    <w:p w14:paraId="76694D37">
      <w:pPr>
        <w:snapToGrid w:val="0"/>
        <w:spacing w:line="360" w:lineRule="auto"/>
        <w:ind w:firstLine="0" w:firstLineChars="0"/>
        <w:rPr>
          <w:rFonts w:hint="eastAsia" w:ascii="仿宋" w:hAnsi="仿宋" w:cs="仿宋"/>
          <w:color w:val="000000" w:themeColor="text1"/>
          <w:sz w:val="24"/>
          <w:szCs w:val="24"/>
          <w:lang w:bidi="ar"/>
          <w14:textFill>
            <w14:solidFill>
              <w14:schemeClr w14:val="tx1"/>
            </w14:solidFill>
          </w14:textFill>
        </w:rPr>
      </w:pPr>
    </w:p>
    <w:p w14:paraId="783CA097">
      <w:pPr>
        <w:snapToGrid w:val="0"/>
        <w:spacing w:line="360" w:lineRule="auto"/>
        <w:ind w:firstLine="640"/>
        <w:rPr>
          <w:rFonts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br w:type="page"/>
      </w:r>
    </w:p>
    <w:p w14:paraId="15D87005">
      <w:pPr>
        <w:pStyle w:val="2"/>
        <w:ind w:firstLine="643"/>
        <w:jc w:val="center"/>
        <w:rPr>
          <w:rFonts w:hint="eastAsia" w:ascii="仿宋" w:hAnsi="仿宋" w:eastAsia="黑体" w:cs="仿宋"/>
          <w:b/>
          <w:bCs/>
          <w:color w:val="000000" w:themeColor="text1"/>
          <w:sz w:val="24"/>
          <w:szCs w:val="24"/>
          <w:lang w:eastAsia="zh-CN"/>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7 运</w:t>
      </w:r>
      <w:r>
        <w:rPr>
          <w:rFonts w:hint="eastAsia" w:ascii="黑体" w:hAnsi="黑体" w:eastAsia="黑体" w:cs="黑体"/>
          <w:color w:val="000000" w:themeColor="text1"/>
          <w:sz w:val="24"/>
          <w:szCs w:val="24"/>
          <w:lang w:val="en-US" w:eastAsia="zh-CN"/>
          <w14:textFill>
            <w14:solidFill>
              <w14:schemeClr w14:val="tx1"/>
            </w14:solidFill>
          </w14:textFill>
        </w:rPr>
        <w:t>维</w:t>
      </w:r>
    </w:p>
    <w:p w14:paraId="575E251C">
      <w:pPr>
        <w:pStyle w:val="3"/>
        <w:ind w:firstLine="643"/>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7.1 一般规定</w:t>
      </w:r>
    </w:p>
    <w:p w14:paraId="7F208C81">
      <w:pPr>
        <w:snapToGrid w:val="0"/>
        <w:spacing w:line="360" w:lineRule="auto"/>
        <w:ind w:left="0" w:leftChars="0"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7.1.1 此条文参考《山西省物业管理条例》第五章第37条，物业管理用房所有权属于业主，不得买卖或者抵押；未经业主大会同意，任何单位和个人不得占用或者改变其用途。</w:t>
      </w:r>
    </w:p>
    <w:p w14:paraId="77697C63">
      <w:pPr>
        <w:snapToGrid w:val="0"/>
        <w:spacing w:line="360" w:lineRule="auto"/>
        <w:ind w:left="0" w:leftChars="0"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7.1.2 此条文中各类设施配置要求应满足《完整社区设施服务指南》GB/T45581-2025要求。</w:t>
      </w:r>
    </w:p>
    <w:p w14:paraId="2F31778D">
      <w:pPr>
        <w:snapToGrid w:val="0"/>
        <w:spacing w:line="360" w:lineRule="auto"/>
        <w:ind w:left="0" w:leftChars="0"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7.1.3 此条文中服务内容包括公共区域保洁、绿化养护、设施维修（电梯、供水供电等）、秩序维护。对小区内道路、电梯、消防设施等共有部分承担维护责任，需定期检查并留存记录（如电梯年检报告）。需制定应急预案（如火灾、停水停电、自然灾害），配备必要应急物资，并定期组织演练。建立投诉处理机制，对业主反映的问题需在约定期限内回应并处理，无法解决的需说明原因并协助对接相关部门。</w:t>
      </w:r>
    </w:p>
    <w:p w14:paraId="330D16B7">
      <w:pPr>
        <w:snapToGrid w:val="0"/>
        <w:spacing w:line="360" w:lineRule="auto"/>
        <w:ind w:left="0" w:leftChars="0" w:firstLine="0" w:firstLineChars="0"/>
        <w:rPr>
          <w:rFonts w:hint="eastAsia" w:ascii="仿宋" w:hAnsi="仿宋" w:cs="仿宋"/>
          <w:color w:val="000000" w:themeColor="text1"/>
          <w:sz w:val="24"/>
          <w:szCs w:val="24"/>
          <w:lang w:eastAsia="zh-CN"/>
          <w14:textFill>
            <w14:solidFill>
              <w14:schemeClr w14:val="tx1"/>
            </w14:solidFill>
          </w14:textFill>
        </w:rPr>
      </w:pPr>
    </w:p>
    <w:p w14:paraId="718AFDDD">
      <w:pPr>
        <w:pStyle w:val="3"/>
        <w:ind w:firstLine="643"/>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7.2 物业管理</w:t>
      </w:r>
    </w:p>
    <w:p w14:paraId="1EFE7AC4">
      <w:pPr>
        <w:snapToGrid w:val="0"/>
        <w:spacing w:line="360" w:lineRule="auto"/>
        <w:ind w:left="0" w:leftChars="0"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7.2.</w:t>
      </w:r>
      <w:r>
        <w:rPr>
          <w:rFonts w:hint="eastAsia" w:ascii="仿宋" w:hAnsi="仿宋" w:cs="仿宋"/>
          <w:color w:val="000000" w:themeColor="text1"/>
          <w:sz w:val="24"/>
          <w:szCs w:val="24"/>
          <w:lang w:val="en-US" w:eastAsia="zh-CN"/>
          <w14:textFill>
            <w14:solidFill>
              <w14:schemeClr w14:val="tx1"/>
            </w14:solidFill>
          </w14:textFill>
        </w:rPr>
        <w:t>1</w:t>
      </w:r>
      <w:r>
        <w:rPr>
          <w:rFonts w:hint="eastAsia" w:ascii="仿宋" w:hAnsi="仿宋" w:cs="仿宋"/>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lang w:val="en-US" w:eastAsia="zh-CN"/>
          <w14:textFill>
            <w14:solidFill>
              <w14:schemeClr w14:val="tx1"/>
            </w14:solidFill>
          </w14:textFill>
        </w:rPr>
        <w:t>此条文参考《山西省住宅物业服务标准》，物业客户服务主要工作内容应包括以下内容：</w:t>
      </w:r>
    </w:p>
    <w:p w14:paraId="6CF1FFA9">
      <w:pPr>
        <w:snapToGrid w:val="0"/>
        <w:spacing w:line="360" w:lineRule="auto"/>
        <w:ind w:left="0" w:leftChars="0"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1.日常服务接待：负责业主的当面、电话或线上咨询，解答物业费缴纳、小区设施使用、政策通知等疑问。协助业主办理入住、装修申请、物品放行、访客登记等手续，整理并归档相关资料。接收业主的服务需求，如家政预约、维修报修（如水电故障），并流转至对应部门跟进。</w:t>
      </w:r>
    </w:p>
    <w:p w14:paraId="686DE538">
      <w:pPr>
        <w:snapToGrid w:val="0"/>
        <w:spacing w:line="360" w:lineRule="auto"/>
        <w:ind w:left="0" w:leftChars="0"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2.问题处理与反馈：处理业主投诉与建议，如邻里噪声、公共区域卫生、设施损坏等，协调工程、安保、保洁等部门解决。跟进问题处理进度，及时向业主反馈结果，确保闭环，提升业主满意度。记录业主反馈的高频问题，定期整理成报告，为物业优化服务提供依据。</w:t>
      </w:r>
    </w:p>
    <w:p w14:paraId="22C11276">
      <w:pPr>
        <w:snapToGrid w:val="0"/>
        <w:spacing w:line="360" w:lineRule="auto"/>
        <w:ind w:left="0" w:leftChars="0"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3.除以上服务内容，客户服务的具体内容应不少于《山西住宅物业服务标准》标准要求。</w:t>
      </w:r>
    </w:p>
    <w:p w14:paraId="7CD2E8FD">
      <w:pPr>
        <w:snapToGrid w:val="0"/>
        <w:spacing w:line="360" w:lineRule="auto"/>
        <w:ind w:left="0" w:leftChars="0"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7.2.4 物业清洁质量标准应符合以下要求：</w:t>
      </w:r>
    </w:p>
    <w:p w14:paraId="78D870EA">
      <w:pPr>
        <w:snapToGrid w:val="0"/>
        <w:spacing w:line="360" w:lineRule="auto"/>
        <w:ind w:left="0" w:leftChars="0"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1.硬质地面（石材、地砖、环氧地坪）：表面无明显污渍、积水、泥沙，地面接缝处无杂物残留；通过定期保养，保持良好的光泽度，提升整体美观度。</w:t>
      </w:r>
    </w:p>
    <w:p w14:paraId="39C52B7D">
      <w:pPr>
        <w:snapToGrid w:val="0"/>
        <w:spacing w:line="360" w:lineRule="auto"/>
        <w:ind w:left="0" w:leftChars="0"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2.软性地面（塑胶、草坪）：塑胶地面无破损、鼓包、褪色现象，表面干净无垃圾；草坪无大面积枯黄、杂草丛生，草高整齐，维持良好的使用与观赏效果。</w:t>
      </w:r>
    </w:p>
    <w:p w14:paraId="585D9445">
      <w:pPr>
        <w:snapToGrid w:val="0"/>
        <w:spacing w:line="360" w:lineRule="auto"/>
        <w:ind w:left="0" w:leftChars="0"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3.电梯厅：电梯轿厢内壁光洁，无蛛网、积灰；操作面板干净无污迹、手印；轿厢地面按规定每日清扫、湿拖，保持干净卫生。</w:t>
      </w:r>
    </w:p>
    <w:p w14:paraId="64DE7B77">
      <w:pPr>
        <w:snapToGrid w:val="0"/>
        <w:spacing w:line="360" w:lineRule="auto"/>
        <w:ind w:left="0" w:leftChars="0"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4.楼梯间：楼梯扶手栏杆表面洁净，无蛛网、积灰；台阶地面无痰渍、口香糖、污渍及垃圾杂物；窗台、防火门、消火栓、指示牌等公共设施定期清洁，确保无蛛网、积灰。</w:t>
      </w:r>
    </w:p>
    <w:p w14:paraId="1A359095">
      <w:pPr>
        <w:snapToGrid w:val="0"/>
        <w:spacing w:line="360" w:lineRule="auto"/>
        <w:ind w:left="0" w:leftChars="0"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5.走廊、门厅大堂：无随意张贴、乱堆乱放、乱吊挂现象；天花板、公共灯具、墙面定期清洁，表面无蛛网、积灰。</w:t>
      </w:r>
    </w:p>
    <w:p w14:paraId="14DE6A58">
      <w:pPr>
        <w:snapToGrid w:val="0"/>
        <w:spacing w:line="360" w:lineRule="auto"/>
        <w:ind w:left="0" w:leftChars="0"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6.共用门窗玻璃：定期擦拭，保证玻璃表面无污渍、水渍、手印，达到目视干净通透的效果。</w:t>
      </w:r>
    </w:p>
    <w:p w14:paraId="1A2BCC16">
      <w:pPr>
        <w:snapToGrid w:val="0"/>
        <w:spacing w:line="360" w:lineRule="auto"/>
        <w:ind w:left="0" w:leftChars="0"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7.道路：严格按规定每日清扫，无明显垃圾堆积；保证每日充足的保洁时间，雨雪天气优先清扫主要通行道路，并及时采取防滑措施，方便居民出行。</w:t>
      </w:r>
    </w:p>
    <w:p w14:paraId="5FAF26F9">
      <w:pPr>
        <w:snapToGrid w:val="0"/>
        <w:spacing w:line="360" w:lineRule="auto"/>
        <w:ind w:left="0" w:leftChars="0"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8.垃圾桶：布局科学合理，设置规范的分类垃圾桶，标识清晰，方便居民投放；每个垃圾桶均配置桶盖，实行密闭管理；定期清洁，确保外观干净无污渍、无异味，无污水、垃圾外溢，周边1m范围内无散落垃圾，保持环境整洁。</w:t>
      </w:r>
    </w:p>
    <w:p w14:paraId="71A74AE6">
      <w:pPr>
        <w:snapToGrid w:val="0"/>
        <w:spacing w:line="360" w:lineRule="auto"/>
        <w:ind w:left="0" w:leftChars="0"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9.健身器材、休闲座椅：定期清洁维护，表面无灰尘、污渍、锈迹，缝隙无杂物；对金属部件定期涂油防锈，保障居民使用安全与舒适。</w:t>
      </w:r>
    </w:p>
    <w:p w14:paraId="30441612">
      <w:pPr>
        <w:snapToGrid w:val="0"/>
        <w:spacing w:line="360" w:lineRule="auto"/>
        <w:ind w:left="0" w:leftChars="0"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10.停车场、共用车棚、地下车库：无明显垃圾堆积，定期进行全面清洁、冲刷；及时处理积水与垃圾，保持场地干净；定期清洁消防设施、指示牌，确保其整洁完好、正常使用。</w:t>
      </w:r>
    </w:p>
    <w:p w14:paraId="4492B4B5">
      <w:pPr>
        <w:snapToGrid w:val="0"/>
        <w:spacing w:line="360" w:lineRule="auto"/>
        <w:ind w:left="0" w:leftChars="0"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11.垃圾收集点：垃圾存放场地地面进行硬化处理，便于清洁；定期全面清洗冲刷，保持场地整洁；配备规范的分类垃圾桶，标识清晰醒目；周边设置完善的防蚊蝇、防鼠设施，如挡鼠板、灭蝇灯等；污水排放严格符合环保要求，防止污染环境。</w:t>
      </w:r>
    </w:p>
    <w:p w14:paraId="1AA17653">
      <w:pPr>
        <w:snapToGrid w:val="0"/>
        <w:spacing w:line="360" w:lineRule="auto"/>
        <w:ind w:left="0" w:leftChars="0"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12.排水沟/井盖：确保排水沟无堵塞、无积水，沟内无淤泥、垃圾；井盖表面清洁，周边无杂草；每周进行检查疏</w:t>
      </w:r>
      <w:r>
        <w:rPr>
          <w:rFonts w:hint="eastAsia" w:ascii="仿宋" w:hAnsi="仿宋" w:cs="仿宋"/>
          <w:color w:val="000000" w:themeColor="text1"/>
          <w:sz w:val="24"/>
          <w:szCs w:val="24"/>
          <w:lang w:val="en-US" w:eastAsia="zh-CN"/>
          <w14:textFill>
            <w14:solidFill>
              <w14:schemeClr w14:val="tx1"/>
            </w14:solidFill>
          </w14:textFill>
        </w:rPr>
        <w:t>通，在雨季来临前进行全面清掏</w:t>
      </w:r>
      <w:r>
        <w:rPr>
          <w:rFonts w:hint="eastAsia" w:ascii="仿宋" w:hAnsi="仿宋" w:cs="仿宋"/>
          <w:color w:val="000000" w:themeColor="text1"/>
          <w:sz w:val="24"/>
          <w:szCs w:val="24"/>
          <w:lang w:val="en-US" w:eastAsia="zh-CN"/>
          <w14:textFill>
            <w14:solidFill>
              <w14:schemeClr w14:val="tx1"/>
            </w14:solidFill>
          </w14:textFill>
        </w:rPr>
        <w:t>，保证排水系统畅通，无恶臭散发。</w:t>
      </w:r>
    </w:p>
    <w:p w14:paraId="4C7C4FB1">
      <w:pPr>
        <w:snapToGrid w:val="0"/>
        <w:spacing w:line="360" w:lineRule="auto"/>
        <w:ind w:left="0" w:leftChars="0"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13.屋顶平台：保持无垃圾、落叶、积水，定期检查防水层，确保无破损；排水口保持畅通，每季度进行检查清洁；在大风、暴雨等恶劣天气过后，及时进行全面排查与清理。</w:t>
      </w:r>
    </w:p>
    <w:p w14:paraId="10321FA2">
      <w:pPr>
        <w:snapToGrid w:val="0"/>
        <w:spacing w:line="360" w:lineRule="auto"/>
        <w:ind w:left="0" w:leftChars="0"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7.2.5 在秋冬季节或落叶较多时期，适当增加清洁次数。及时对绿化植物进行灌溉，根据植物生长特性定期修剪、养护，及时清除杂草；每次绿化作业完成后，立即清理产生的垃圾。干旱季节每周对叶面进行喷水除尘，定期喷洒环保型药物进行病虫害防治。一旦发现虫害，在24小时内采取有效措施处理，确保绿化植物保持良好的观赏效果。花坛树池内无垃圾、杂草，边缘石表面干净，无积灰、污渍；树冠修剪整齐，侧枝分布均匀，不影响车辆与行人通行，且与建筑架空线路保持安全距离，无刮擦现象。</w:t>
      </w:r>
    </w:p>
    <w:p w14:paraId="4A800A3F">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p>
    <w:p w14:paraId="7BF34A7E">
      <w:pPr>
        <w:pStyle w:val="3"/>
        <w:ind w:firstLine="643"/>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7.3 </w:t>
      </w:r>
      <w:r>
        <w:rPr>
          <w:rFonts w:hint="eastAsia"/>
          <w:color w:val="000000" w:themeColor="text1"/>
          <w:sz w:val="24"/>
          <w:szCs w:val="24"/>
          <w:lang w:val="en-US" w:eastAsia="zh-CN"/>
          <w14:textFill>
            <w14:solidFill>
              <w14:schemeClr w14:val="tx1"/>
            </w14:solidFill>
          </w14:textFill>
        </w:rPr>
        <w:t>共用管理</w:t>
      </w:r>
    </w:p>
    <w:p w14:paraId="6A16A9D3">
      <w:pPr>
        <w:snapToGrid w:val="0"/>
        <w:spacing w:line="360" w:lineRule="auto"/>
        <w:ind w:left="0" w:leftChars="0" w:firstLine="0" w:firstLineChars="0"/>
        <w:rPr>
          <w:rFonts w:hint="default"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3</w:t>
      </w:r>
      <w:r>
        <w:rPr>
          <w:rFonts w:hint="eastAsia" w:ascii="仿宋" w:hAnsi="仿宋" w:cs="仿宋"/>
          <w:color w:val="000000" w:themeColor="text1"/>
          <w:sz w:val="24"/>
          <w:szCs w:val="24"/>
          <w14:textFill>
            <w14:solidFill>
              <w14:schemeClr w14:val="tx1"/>
            </w14:solidFill>
          </w14:textFill>
        </w:rPr>
        <w:t>.</w:t>
      </w:r>
      <w:r>
        <w:rPr>
          <w:rFonts w:hint="eastAsia" w:ascii="仿宋" w:hAnsi="仿宋" w:cs="仿宋"/>
          <w:color w:val="000000" w:themeColor="text1"/>
          <w:sz w:val="24"/>
          <w:szCs w:val="24"/>
          <w:lang w:val="en-US" w:eastAsia="zh-CN"/>
          <w14:textFill>
            <w14:solidFill>
              <w14:schemeClr w14:val="tx1"/>
            </w14:solidFill>
          </w14:textFill>
        </w:rPr>
        <w:t>1</w:t>
      </w:r>
      <w:r>
        <w:rPr>
          <w:rFonts w:hint="eastAsia" w:ascii="仿宋" w:hAnsi="仿宋" w:cs="仿宋"/>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lang w:val="en-US" w:eastAsia="zh-CN"/>
          <w14:textFill>
            <w14:solidFill>
              <w14:schemeClr w14:val="tx1"/>
            </w14:solidFill>
          </w14:textFill>
        </w:rPr>
        <w:t>此条文参考《山西省住宅物业服务标准》，共用部位、共用设施设备的日常管理应包括以下内容：</w:t>
      </w:r>
    </w:p>
    <w:p w14:paraId="285A61A1">
      <w:pPr>
        <w:snapToGrid w:val="0"/>
        <w:spacing w:line="360" w:lineRule="auto"/>
        <w:ind w:left="0" w:leftChars="0"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1.按设施设备的使用说明、操作指导等技术资料，</w:t>
      </w:r>
      <w:r>
        <w:rPr>
          <w:rFonts w:hint="eastAsia" w:ascii="仿宋" w:hAnsi="仿宋" w:cs="仿宋"/>
          <w:color w:val="000000" w:themeColor="text1"/>
          <w:sz w:val="24"/>
          <w:szCs w:val="24"/>
          <w:lang w:val="en-US" w:eastAsia="zh-CN"/>
          <w14:textFill>
            <w14:solidFill>
              <w14:schemeClr w14:val="tx1"/>
            </w14:solidFill>
          </w14:textFill>
        </w:rPr>
        <w:t>制定管理制度和运行规程</w:t>
      </w:r>
      <w:r>
        <w:rPr>
          <w:rFonts w:hint="eastAsia" w:ascii="仿宋" w:hAnsi="仿宋" w:cs="仿宋"/>
          <w:color w:val="000000" w:themeColor="text1"/>
          <w:sz w:val="24"/>
          <w:szCs w:val="24"/>
          <w:lang w:val="en-US" w:eastAsia="zh-CN"/>
          <w14:textFill>
            <w14:solidFill>
              <w14:schemeClr w14:val="tx1"/>
            </w14:solidFill>
          </w14:textFill>
        </w:rPr>
        <w:t>、维修规程、保养规程，严格按规程日常运行、日常维护、定期保养。</w:t>
      </w:r>
    </w:p>
    <w:p w14:paraId="744EDD44">
      <w:pPr>
        <w:snapToGrid w:val="0"/>
        <w:spacing w:line="360" w:lineRule="auto"/>
        <w:ind w:left="0" w:leftChars="0"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2.运行中出现的故障及在维护保养中发现的问题，属于小修范围的，及时修复；属于大、中修范围的，在保修期内的，及时编制维修计划报建设单位，按照《前期物业服务合同》的约定进行维修；在保修期外的，及时编制维修计划，报业主大会、业主委员会或物业管理委员会，根据业主大会的决定，组织维修或更新改造。</w:t>
      </w:r>
    </w:p>
    <w:p w14:paraId="280E32F8">
      <w:pPr>
        <w:snapToGrid w:val="0"/>
        <w:spacing w:line="360" w:lineRule="auto"/>
        <w:ind w:left="0" w:leftChars="0"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3.做好日常运行巡查、维修、养护工作，记录并存档。</w:t>
      </w:r>
    </w:p>
    <w:p w14:paraId="1786C1C1">
      <w:pPr>
        <w:snapToGrid w:val="0"/>
        <w:spacing w:line="360" w:lineRule="auto"/>
        <w:ind w:left="0" w:leftChars="0"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4.编制设施设备维护保养年度工作计划、中大修维修计划等，严格执行各类工作计划内容，记录并存档。</w:t>
      </w:r>
    </w:p>
    <w:p w14:paraId="0DDC59E0">
      <w:pPr>
        <w:snapToGrid w:val="0"/>
        <w:spacing w:line="360" w:lineRule="auto"/>
        <w:ind w:left="0" w:leftChars="0"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5.完善设施设备技术信息台账、台卡，做好库存管理与清点核盘工作。</w:t>
      </w:r>
    </w:p>
    <w:p w14:paraId="6D1DD977">
      <w:pPr>
        <w:snapToGrid w:val="0"/>
        <w:spacing w:line="360" w:lineRule="auto"/>
        <w:ind w:left="0" w:leftChars="0"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6.制定设施设备运行应急预案。</w:t>
      </w:r>
    </w:p>
    <w:p w14:paraId="191EA3D8">
      <w:pPr>
        <w:snapToGrid w:val="0"/>
        <w:spacing w:line="360" w:lineRule="auto"/>
        <w:ind w:left="0" w:leftChars="0" w:firstLine="0" w:firstLineChars="0"/>
        <w:rPr>
          <w:rFonts w:hint="eastAsia" w:ascii="仿宋" w:hAnsi="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3.6</w:t>
      </w:r>
      <w:r>
        <w:rPr>
          <w:rFonts w:hint="eastAsia" w:ascii="仿宋" w:hAnsi="仿宋" w:cs="仿宋"/>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lang w:val="en-US" w:eastAsia="zh-CN"/>
          <w14:textFill>
            <w14:solidFill>
              <w14:schemeClr w14:val="tx1"/>
            </w14:solidFill>
          </w14:textFill>
        </w:rPr>
        <w:t>生活用水的检测、清洗和维护宜包括以下内容：</w:t>
      </w:r>
    </w:p>
    <w:p w14:paraId="1C31ACCF">
      <w:pPr>
        <w:snapToGrid w:val="0"/>
        <w:spacing w:line="360" w:lineRule="auto"/>
        <w:ind w:left="0" w:leftChars="0" w:firstLine="0" w:firstLineChars="0"/>
        <w:rPr>
          <w:rFonts w:hint="eastAsia" w:ascii="仿宋" w:hAnsi="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1.定期</w:t>
      </w:r>
      <w:r>
        <w:rPr>
          <w:rFonts w:hint="eastAsia" w:ascii="仿宋" w:hAnsi="仿宋" w:cs="仿宋"/>
          <w:color w:val="000000" w:themeColor="text1"/>
          <w:sz w:val="24"/>
          <w:szCs w:val="24"/>
          <w:lang w:eastAsia="zh-CN"/>
          <w14:textFill>
            <w14:solidFill>
              <w14:schemeClr w14:val="tx1"/>
            </w14:solidFill>
          </w14:textFill>
        </w:rPr>
        <w:t>检查供水设施，保障设备设施安全及正常运行。</w:t>
      </w:r>
    </w:p>
    <w:p w14:paraId="216EE328">
      <w:pPr>
        <w:snapToGrid w:val="0"/>
        <w:spacing w:line="360" w:lineRule="auto"/>
        <w:ind w:left="0" w:leftChars="0" w:firstLine="0" w:firstLineChars="0"/>
        <w:rPr>
          <w:rFonts w:hint="eastAsia" w:ascii="仿宋" w:hAnsi="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2.定期</w:t>
      </w:r>
      <w:r>
        <w:rPr>
          <w:rFonts w:hint="eastAsia" w:ascii="仿宋" w:hAnsi="仿宋" w:cs="仿宋"/>
          <w:color w:val="000000" w:themeColor="text1"/>
          <w:sz w:val="24"/>
          <w:szCs w:val="24"/>
          <w:lang w:eastAsia="zh-CN"/>
          <w14:textFill>
            <w14:solidFill>
              <w14:schemeClr w14:val="tx1"/>
            </w14:solidFill>
          </w14:textFill>
        </w:rPr>
        <w:t>清洗消毒生活水箱，检测管道内壁结垢情况，出具检测报告。</w:t>
      </w:r>
    </w:p>
    <w:p w14:paraId="47CF9BD6">
      <w:pPr>
        <w:snapToGrid w:val="0"/>
        <w:spacing w:line="360" w:lineRule="auto"/>
        <w:ind w:left="0" w:leftChars="0" w:firstLine="0" w:firstLineChars="0"/>
        <w:rPr>
          <w:rFonts w:hint="eastAsia" w:ascii="仿宋" w:hAnsi="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3.7</w:t>
      </w:r>
      <w:r>
        <w:rPr>
          <w:rFonts w:hint="eastAsia" w:ascii="仿宋" w:hAnsi="仿宋" w:cs="仿宋"/>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lang w:val="en-US" w:eastAsia="zh-CN"/>
          <w14:textFill>
            <w14:solidFill>
              <w14:schemeClr w14:val="tx1"/>
            </w14:solidFill>
          </w14:textFill>
        </w:rPr>
        <w:t>房屋防水、围护结构的维护和检验应包括以下内容：</w:t>
      </w:r>
    </w:p>
    <w:p w14:paraId="5B8870DE">
      <w:pPr>
        <w:snapToGrid w:val="0"/>
        <w:spacing w:line="360" w:lineRule="auto"/>
        <w:ind w:left="0" w:leftChars="0" w:firstLine="480" w:firstLineChars="200"/>
        <w:rPr>
          <w:rFonts w:hint="eastAsia" w:ascii="仿宋" w:hAnsi="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1.应</w:t>
      </w:r>
      <w:r>
        <w:rPr>
          <w:rFonts w:hint="eastAsia" w:ascii="仿宋" w:hAnsi="仿宋" w:cs="仿宋"/>
          <w:color w:val="000000" w:themeColor="text1"/>
          <w:sz w:val="24"/>
          <w:szCs w:val="24"/>
          <w:lang w:eastAsia="zh-CN"/>
          <w14:textFill>
            <w14:solidFill>
              <w14:schemeClr w14:val="tx1"/>
            </w14:solidFill>
          </w14:textFill>
        </w:rPr>
        <w:t>定期对排水设施设备进行检查，重点检查排水沟渠的畅通性和排水泵的运转情况，发现问题及时提报建设单位进行整改。</w:t>
      </w:r>
    </w:p>
    <w:p w14:paraId="532E84A6">
      <w:pPr>
        <w:snapToGrid w:val="0"/>
        <w:spacing w:line="360" w:lineRule="auto"/>
        <w:ind w:left="0" w:leftChars="0" w:firstLine="480" w:firstLineChars="200"/>
        <w:rPr>
          <w:rFonts w:hint="eastAsia" w:ascii="仿宋" w:hAnsi="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2.应</w:t>
      </w:r>
      <w:r>
        <w:rPr>
          <w:rFonts w:hint="eastAsia" w:ascii="仿宋" w:hAnsi="仿宋" w:cs="仿宋"/>
          <w:color w:val="000000" w:themeColor="text1"/>
          <w:sz w:val="24"/>
          <w:szCs w:val="24"/>
          <w:lang w:eastAsia="zh-CN"/>
          <w14:textFill>
            <w14:solidFill>
              <w14:schemeClr w14:val="tx1"/>
            </w14:solidFill>
          </w14:textFill>
        </w:rPr>
        <w:t>定期检查外墙保温及装饰构件，发现问题及时启动相应处置程序，及时清理外墙上的植物，避免植物根系破坏保温层；建立建筑档案，对使用超过5年的高层建筑和使用超过10年的多层建筑，进行全面安全排查，评估材料老化程度、损伤现状，制定处理方案。</w:t>
      </w:r>
    </w:p>
    <w:p w14:paraId="11AD9318">
      <w:pPr>
        <w:snapToGrid w:val="0"/>
        <w:spacing w:line="360" w:lineRule="auto"/>
        <w:ind w:left="0" w:leftChars="0" w:firstLine="480" w:firstLineChars="200"/>
        <w:rPr>
          <w:rFonts w:hint="eastAsia" w:ascii="仿宋" w:hAnsi="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3.物业</w:t>
      </w:r>
      <w:r>
        <w:rPr>
          <w:rFonts w:hint="eastAsia" w:ascii="仿宋" w:hAnsi="仿宋" w:cs="仿宋"/>
          <w:color w:val="000000" w:themeColor="text1"/>
          <w:sz w:val="24"/>
          <w:szCs w:val="24"/>
          <w:lang w:eastAsia="zh-CN"/>
          <w14:textFill>
            <w14:solidFill>
              <w14:schemeClr w14:val="tx1"/>
            </w14:solidFill>
          </w14:textFill>
        </w:rPr>
        <w:t>通过公告栏或管家微信等途径，发布客户不能破坏外墙保温层的提示，在装修审图和装修巡查中，重点关注客户违规行为。</w:t>
      </w:r>
    </w:p>
    <w:p w14:paraId="2113AFB1">
      <w:pPr>
        <w:snapToGrid w:val="0"/>
        <w:spacing w:line="360" w:lineRule="auto"/>
        <w:ind w:left="0" w:leftChars="0" w:firstLine="480" w:firstLineChars="200"/>
        <w:rPr>
          <w:rFonts w:hint="eastAsia" w:ascii="仿宋" w:hAnsi="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4.每年</w:t>
      </w:r>
      <w:r>
        <w:rPr>
          <w:rFonts w:hint="eastAsia" w:ascii="仿宋" w:hAnsi="仿宋" w:cs="仿宋"/>
          <w:color w:val="000000" w:themeColor="text1"/>
          <w:sz w:val="24"/>
          <w:szCs w:val="24"/>
          <w:lang w:eastAsia="zh-CN"/>
          <w14:textFill>
            <w14:solidFill>
              <w14:schemeClr w14:val="tx1"/>
            </w14:solidFill>
          </w14:textFill>
        </w:rPr>
        <w:t>检查保温层保护层脱落、破损情况，</w:t>
      </w:r>
      <w:r>
        <w:rPr>
          <w:rFonts w:hint="eastAsia" w:ascii="仿宋" w:hAnsi="仿宋" w:cs="仿宋"/>
          <w:color w:val="000000" w:themeColor="text1"/>
          <w:sz w:val="24"/>
          <w:szCs w:val="24"/>
          <w:lang w:eastAsia="zh-CN"/>
          <w14:textFill>
            <w14:solidFill>
              <w14:schemeClr w14:val="tx1"/>
            </w14:solidFill>
          </w14:textFill>
        </w:rPr>
        <w:t>当外墙设置防火隔离带时，</w:t>
      </w:r>
      <w:r>
        <w:rPr>
          <w:rFonts w:hint="eastAsia" w:ascii="仿宋" w:hAnsi="仿宋" w:cs="仿宋"/>
          <w:color w:val="000000" w:themeColor="text1"/>
          <w:sz w:val="24"/>
          <w:szCs w:val="24"/>
          <w:lang w:eastAsia="zh-CN"/>
          <w14:textFill>
            <w14:solidFill>
              <w14:schemeClr w14:val="tx1"/>
            </w14:solidFill>
          </w14:textFill>
        </w:rPr>
        <w:t>重点排查外墙周边防火隔离带完整性。</w:t>
      </w:r>
    </w:p>
    <w:p w14:paraId="23E6FEA9">
      <w:pPr>
        <w:snapToGrid w:val="0"/>
        <w:spacing w:line="360" w:lineRule="auto"/>
        <w:ind w:left="0" w:leftChars="0" w:firstLine="480" w:firstLineChars="200"/>
        <w:rPr>
          <w:rFonts w:hint="default"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5.物业应</w:t>
      </w:r>
      <w:r>
        <w:rPr>
          <w:rFonts w:hint="eastAsia" w:ascii="仿宋" w:hAnsi="仿宋" w:cs="仿宋"/>
          <w:color w:val="000000" w:themeColor="text1"/>
          <w:sz w:val="24"/>
          <w:szCs w:val="24"/>
          <w:lang w:eastAsia="zh-CN"/>
          <w14:textFill>
            <w14:solidFill>
              <w14:schemeClr w14:val="tx1"/>
            </w14:solidFill>
          </w14:textFill>
        </w:rPr>
        <w:t>制定外墙保温及装饰构件脱落应急预案，当事件出现时及时启动，每年至少开展1次演练。</w:t>
      </w:r>
    </w:p>
    <w:p w14:paraId="0B4AAE93">
      <w:pPr>
        <w:snapToGrid w:val="0"/>
        <w:spacing w:line="360" w:lineRule="auto"/>
        <w:ind w:left="0" w:leftChars="0"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3.8</w:t>
      </w:r>
      <w:r>
        <w:rPr>
          <w:rFonts w:hint="eastAsia" w:ascii="仿宋" w:hAnsi="仿宋" w:cs="仿宋"/>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lang w:val="en-US" w:eastAsia="zh-CN"/>
          <w14:textFill>
            <w14:solidFill>
              <w14:schemeClr w14:val="tx1"/>
            </w14:solidFill>
          </w14:textFill>
        </w:rPr>
        <w:t>建筑运维维护安全管理制度应包括以下内容</w:t>
      </w:r>
    </w:p>
    <w:p w14:paraId="0DBC064C">
      <w:pPr>
        <w:snapToGrid w:val="0"/>
        <w:spacing w:line="360" w:lineRule="auto"/>
        <w:ind w:left="0" w:leftChars="0"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1.承接查验阶段完成竣工图纸移交。</w:t>
      </w:r>
    </w:p>
    <w:p w14:paraId="58B16278">
      <w:pPr>
        <w:snapToGrid w:val="0"/>
        <w:spacing w:line="360" w:lineRule="auto"/>
        <w:ind w:left="0" w:leftChars="0"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2.物业应制定</w:t>
      </w:r>
      <w:r>
        <w:rPr>
          <w:rFonts w:hint="eastAsia" w:ascii="仿宋" w:hAnsi="仿宋" w:cs="仿宋"/>
          <w:color w:val="000000" w:themeColor="text1"/>
          <w:sz w:val="24"/>
          <w:szCs w:val="24"/>
          <w:lang w:eastAsia="zh-CN"/>
          <w14:textFill>
            <w14:solidFill>
              <w14:schemeClr w14:val="tx1"/>
            </w14:solidFill>
          </w14:textFill>
        </w:rPr>
        <w:t>装修管控方案，</w:t>
      </w:r>
      <w:r>
        <w:rPr>
          <w:rFonts w:hint="eastAsia" w:ascii="仿宋" w:hAnsi="仿宋" w:cs="仿宋"/>
          <w:color w:val="000000" w:themeColor="text1"/>
          <w:sz w:val="24"/>
          <w:szCs w:val="24"/>
          <w:lang w:val="en-US" w:eastAsia="zh-CN"/>
          <w14:textFill>
            <w14:solidFill>
              <w14:schemeClr w14:val="tx1"/>
            </w14:solidFill>
          </w14:textFill>
        </w:rPr>
        <w:t>监督业主装修工程。有效制止业主违规装修行为。</w:t>
      </w:r>
    </w:p>
    <w:p w14:paraId="03C9445C">
      <w:pPr>
        <w:snapToGrid w:val="0"/>
        <w:spacing w:line="360" w:lineRule="auto"/>
        <w:ind w:left="0" w:leftChars="0" w:firstLine="0" w:firstLineChars="0"/>
        <w:rPr>
          <w:rFonts w:hint="eastAsia" w:ascii="仿宋" w:hAnsi="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3.</w:t>
      </w:r>
      <w:r>
        <w:rPr>
          <w:rFonts w:hint="eastAsia" w:ascii="仿宋" w:hAnsi="仿宋" w:cs="仿宋"/>
          <w:color w:val="000000" w:themeColor="text1"/>
          <w:sz w:val="24"/>
          <w:szCs w:val="24"/>
          <w:lang w:eastAsia="zh-CN"/>
          <w14:textFill>
            <w14:solidFill>
              <w14:schemeClr w14:val="tx1"/>
            </w14:solidFill>
          </w14:textFill>
        </w:rPr>
        <w:t>定期对防雷设备设施进行巡检，发现问题提报建设单位进行维修。</w:t>
      </w:r>
    </w:p>
    <w:p w14:paraId="6DC31233">
      <w:pPr>
        <w:snapToGrid w:val="0"/>
        <w:spacing w:line="360" w:lineRule="auto"/>
        <w:ind w:left="0" w:leftChars="0"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4.应</w:t>
      </w:r>
      <w:r>
        <w:rPr>
          <w:rFonts w:hint="eastAsia" w:ascii="仿宋" w:hAnsi="仿宋" w:cs="仿宋"/>
          <w:color w:val="000000" w:themeColor="text1"/>
          <w:sz w:val="24"/>
          <w:szCs w:val="24"/>
          <w:lang w:eastAsia="zh-CN"/>
          <w14:textFill>
            <w14:solidFill>
              <w14:schemeClr w14:val="tx1"/>
            </w14:solidFill>
          </w14:textFill>
        </w:rPr>
        <w:t>定期对排水设备设施进行检查，重点检查排水沟渠的畅通性和排水泵的运转情况，发现问题及时提报建设单位进行整改。</w:t>
      </w:r>
    </w:p>
    <w:p w14:paraId="35A045A8">
      <w:pPr>
        <w:snapToGrid w:val="0"/>
        <w:spacing w:line="360" w:lineRule="auto"/>
        <w:ind w:left="0" w:leftChars="0" w:firstLine="0" w:firstLineChars="0"/>
        <w:rPr>
          <w:rFonts w:hint="default"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3.10</w:t>
      </w:r>
      <w:r>
        <w:rPr>
          <w:rFonts w:hint="eastAsia" w:ascii="仿宋" w:hAnsi="仿宋" w:cs="仿宋"/>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lang w:val="en-US" w:eastAsia="zh-CN"/>
          <w14:textFill>
            <w14:solidFill>
              <w14:schemeClr w14:val="tx1"/>
            </w14:solidFill>
          </w14:textFill>
        </w:rPr>
        <w:t>遇</w:t>
      </w:r>
      <w:r>
        <w:rPr>
          <w:rFonts w:hint="eastAsia" w:ascii="仿宋" w:hAnsi="仿宋" w:cs="仿宋"/>
          <w:color w:val="000000" w:themeColor="text1"/>
          <w:sz w:val="24"/>
          <w:szCs w:val="24"/>
          <w14:textFill>
            <w14:solidFill>
              <w14:schemeClr w14:val="tx1"/>
            </w14:solidFill>
          </w14:textFill>
        </w:rPr>
        <w:t>暴雨、</w:t>
      </w:r>
      <w:r>
        <w:rPr>
          <w:rFonts w:hint="eastAsia" w:ascii="仿宋" w:hAnsi="仿宋" w:cs="仿宋"/>
          <w:color w:val="000000" w:themeColor="text1"/>
          <w:sz w:val="24"/>
          <w:szCs w:val="24"/>
          <w:lang w:val="en-US" w:eastAsia="zh-CN"/>
          <w14:textFill>
            <w14:solidFill>
              <w14:schemeClr w14:val="tx1"/>
            </w14:solidFill>
          </w14:textFill>
        </w:rPr>
        <w:t>大风</w:t>
      </w:r>
      <w:r>
        <w:rPr>
          <w:rFonts w:hint="eastAsia" w:ascii="仿宋" w:hAnsi="仿宋" w:cs="仿宋"/>
          <w:color w:val="000000" w:themeColor="text1"/>
          <w:sz w:val="24"/>
          <w:szCs w:val="24"/>
          <w14:textFill>
            <w14:solidFill>
              <w14:schemeClr w14:val="tx1"/>
            </w14:solidFill>
          </w14:textFill>
        </w:rPr>
        <w:t>等恶劣天气需增加巡逻频次，重点检查小区排水系统、高空悬挂物等，及时排除安全隐患并填写巡查记录表。巡逻路线覆盖消防通道、电梯间、监控盲区、窨井盖、健身器材等重点部位。</w:t>
      </w:r>
    </w:p>
    <w:p w14:paraId="2F7396F5">
      <w:pPr>
        <w:snapToGrid w:val="0"/>
        <w:spacing w:line="360" w:lineRule="auto"/>
        <w:ind w:left="0" w:leftChars="0"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3</w:t>
      </w:r>
      <w:r>
        <w:rPr>
          <w:rFonts w:hint="eastAsia" w:ascii="仿宋" w:hAnsi="仿宋" w:cs="仿宋"/>
          <w:color w:val="000000" w:themeColor="text1"/>
          <w:sz w:val="24"/>
          <w:szCs w:val="24"/>
          <w14:textFill>
            <w14:solidFill>
              <w14:schemeClr w14:val="tx1"/>
            </w14:solidFill>
          </w14:textFill>
        </w:rPr>
        <w:t>.1</w:t>
      </w:r>
      <w:r>
        <w:rPr>
          <w:rFonts w:hint="eastAsia" w:ascii="仿宋" w:hAnsi="仿宋" w:cs="仿宋"/>
          <w:color w:val="000000" w:themeColor="text1"/>
          <w:sz w:val="24"/>
          <w:szCs w:val="24"/>
          <w:lang w:val="en-US" w:eastAsia="zh-CN"/>
          <w14:textFill>
            <w14:solidFill>
              <w14:schemeClr w14:val="tx1"/>
            </w14:solidFill>
          </w14:textFill>
        </w:rPr>
        <w:t>1安全设备管控制度应包括以下内容：</w:t>
      </w:r>
    </w:p>
    <w:p w14:paraId="408F9E84">
      <w:pPr>
        <w:snapToGrid w:val="0"/>
        <w:spacing w:line="360" w:lineRule="auto"/>
        <w:ind w:left="0" w:leftChars="0"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1</w:t>
      </w:r>
      <w:r>
        <w:rPr>
          <w:rFonts w:hint="eastAsia" w:ascii="仿宋" w:hAnsi="仿宋" w:cs="仿宋"/>
          <w:color w:val="000000" w:themeColor="text1"/>
          <w:sz w:val="24"/>
          <w:szCs w:val="24"/>
          <w:lang w:val="en-US" w:eastAsia="zh-CN"/>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小区出入口、主干道等区域安装高清摄像头，夜视距离≥30</w:t>
      </w:r>
      <w:r>
        <w:rPr>
          <w:rFonts w:hint="eastAsia" w:ascii="仿宋" w:hAnsi="仿宋" w:cs="仿宋"/>
          <w:color w:val="000000" w:themeColor="text1"/>
          <w:sz w:val="24"/>
          <w:szCs w:val="24"/>
          <w:lang w:eastAsia="zh-CN"/>
          <w14:textFill>
            <w14:solidFill>
              <w14:schemeClr w14:val="tx1"/>
            </w14:solidFill>
          </w14:textFill>
        </w:rPr>
        <w:t>m</w:t>
      </w:r>
      <w:r>
        <w:rPr>
          <w:rFonts w:hint="eastAsia" w:ascii="仿宋" w:hAnsi="仿宋" w:cs="仿宋"/>
          <w:color w:val="000000" w:themeColor="text1"/>
          <w:sz w:val="24"/>
          <w:szCs w:val="24"/>
          <w14:textFill>
            <w14:solidFill>
              <w14:schemeClr w14:val="tx1"/>
            </w14:solidFill>
          </w14:textFill>
        </w:rPr>
        <w:t>，录像保存≥30天。</w:t>
      </w:r>
    </w:p>
    <w:p w14:paraId="144571EB">
      <w:pPr>
        <w:snapToGrid w:val="0"/>
        <w:spacing w:line="360" w:lineRule="auto"/>
        <w:ind w:left="0" w:leftChars="0"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2.</w:t>
      </w:r>
      <w:r>
        <w:rPr>
          <w:rFonts w:hint="eastAsia" w:ascii="仿宋" w:hAnsi="仿宋" w:cs="仿宋"/>
          <w:color w:val="000000" w:themeColor="text1"/>
          <w:sz w:val="24"/>
          <w:szCs w:val="24"/>
          <w14:textFill>
            <w14:solidFill>
              <w14:schemeClr w14:val="tx1"/>
            </w14:solidFill>
          </w14:textFill>
        </w:rPr>
        <w:t>中控室24小时双人值班，持证上岗，监控影像留存30日，红外报警60秒内响应，室内报警5秒内反应，闭路监控故障及时报修。</w:t>
      </w:r>
    </w:p>
    <w:p w14:paraId="69D43866">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p>
    <w:p w14:paraId="1453319C">
      <w:pPr>
        <w:pStyle w:val="3"/>
        <w:ind w:firstLine="643"/>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7.4 智慧化建设</w:t>
      </w:r>
    </w:p>
    <w:p w14:paraId="2104E4DA">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4</w:t>
      </w:r>
      <w:r>
        <w:rPr>
          <w:rFonts w:hint="eastAsia" w:ascii="仿宋" w:hAnsi="仿宋" w:cs="仿宋"/>
          <w:color w:val="000000" w:themeColor="text1"/>
          <w:sz w:val="24"/>
          <w:szCs w:val="24"/>
          <w14:textFill>
            <w14:solidFill>
              <w14:schemeClr w14:val="tx1"/>
            </w14:solidFill>
          </w14:textFill>
        </w:rPr>
        <w:t xml:space="preserve">.1 </w:t>
      </w:r>
      <w:r>
        <w:rPr>
          <w:rFonts w:hint="eastAsia" w:ascii="仿宋" w:hAnsi="仿宋" w:cs="仿宋"/>
          <w:color w:val="000000" w:themeColor="text1"/>
          <w:sz w:val="24"/>
          <w:szCs w:val="24"/>
          <w:lang w:val="en-US" w:eastAsia="zh-CN"/>
          <w14:textFill>
            <w14:solidFill>
              <w14:schemeClr w14:val="tx1"/>
            </w14:solidFill>
          </w14:textFill>
        </w:rPr>
        <w:t xml:space="preserve">智慧住宅物业服务宜包括下列要求： </w:t>
      </w:r>
    </w:p>
    <w:p w14:paraId="0AA5501D">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1.支持线上报修、缴费、访客预约、通知推送、工单管理等智能化应用功能。宜提供线上生活服务、线上互动交流、住宅周边服务等功能；</w:t>
      </w:r>
    </w:p>
    <w:p w14:paraId="5BDBC573">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2.配置建筑设备管理系统，具备设备设施实时监控、离线和故障报警等功能。</w:t>
      </w:r>
    </w:p>
    <w:p w14:paraId="0F1584AF">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 xml:space="preserve">3.设置信息导引及发布系统，在住宅入口附近、单元内、电梯内等位置设置显示屏，为住宅建筑内的居民或来访者提供告知、信息发布及查询等功能； </w:t>
      </w:r>
    </w:p>
    <w:p w14:paraId="405E9080">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4.建立集预防与应急准备、监测与预警、应急处置与救援等于一体的各级各类突发事件的应急预案，包括信息披露机制、应急决策机制、处理协调机制、善后处理机制等。依托感知设备及时发现、快速定位、上传信息，供应急管理部门或相关人员及时处理突发事件。</w:t>
      </w:r>
    </w:p>
    <w:p w14:paraId="306345AF">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7.4.2 应对用户登录信息、交易数据、个人资料等进行加密处理，防止数据泄露。</w:t>
      </w:r>
    </w:p>
    <w:p w14:paraId="0BF2154C">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7.4.3 智慧社区生活服务宜包括下列内容：​</w:t>
      </w:r>
    </w:p>
    <w:p w14:paraId="56378A8D">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1.宜为业主提供线上购物、餐饮外卖、家政预约、维修服务等一站式生活服务。</w:t>
      </w:r>
    </w:p>
    <w:p w14:paraId="6E1FDFEC">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2.宜设置智能快递柜、无人机配送点、配送机器人等无人配送设施设备，并设定安全配送路线。</w:t>
      </w:r>
    </w:p>
    <w:p w14:paraId="305DCDB6">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3.宜引入社区医疗服务，与周边医疗机构合作，提供在线问诊、健康咨询、体检预约等服务。支持业主上传健康数据，由专业医生进行分析和指导，实现健康管理智能化。​</w:t>
      </w:r>
    </w:p>
    <w:p w14:paraId="04F15AD0">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7.4.4 物业管理平台宜具备社区社交功能模块，业主可在平台上发起社区活动、交流生活经验等。​</w:t>
      </w:r>
    </w:p>
    <w:p w14:paraId="06599C76">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7.4.5 智慧能耗管理内容宜包括以下内容：​</w:t>
      </w:r>
    </w:p>
    <w:p w14:paraId="383C7FFB">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 xml:space="preserve">1.宜配置环境监测系统，为能效管理和建筑设备管理提供基础参数。 </w:t>
      </w:r>
    </w:p>
    <w:p w14:paraId="509BE1E9">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 xml:space="preserve">2.宜配置建筑能效监管系统，提升建筑设备协调运行效能和优化建筑综合性能。 </w:t>
      </w:r>
    </w:p>
    <w:p w14:paraId="1EF142F0">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3.单独安装公区用水计量表，物业每月公示用水量、水费金额及分摊明细，接受业主监督；对于异常高的水费，需排查是否存在漏水或盗用情况。</w:t>
      </w:r>
    </w:p>
    <w:p w14:paraId="025D15B5">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4.建立物联网智慧水务监管平台，集成流量、压力、温度等数据，实现动态监控用水状况。利用计量数据进行管网漏损自动检测，实时报警微小渗漏。</w:t>
      </w:r>
    </w:p>
    <w:p w14:paraId="49539A25">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5.公区照明采用潮汐控制模式，物业实时进行照明时间调节，定期检查灯具是否有损坏、亮度异常等情况。</w:t>
      </w:r>
    </w:p>
    <w:p w14:paraId="0547961C">
      <w:pPr>
        <w:snapToGrid w:val="0"/>
        <w:spacing w:line="360" w:lineRule="auto"/>
        <w:ind w:firstLine="480" w:firstLineChars="20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6.鼓励业主使用节能灯具、节能电器等。物业通过公告栏或管家微信等途径向业主提供设备使用手册。</w:t>
      </w:r>
    </w:p>
    <w:p w14:paraId="4887ED21">
      <w:pPr>
        <w:snapToGrid w:val="0"/>
        <w:spacing w:line="360" w:lineRule="auto"/>
        <w:ind w:firstLine="480" w:firstLineChars="200"/>
        <w:rPr>
          <w:rFonts w:hint="default"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lang w:val="en-US" w:eastAsia="zh-CN"/>
          <w14:textFill>
            <w14:solidFill>
              <w14:schemeClr w14:val="tx1"/>
            </w14:solidFill>
          </w14:textFill>
        </w:rPr>
        <w:t>7.物业定期对电梯进行节能性能检查和评估。</w:t>
      </w:r>
    </w:p>
    <w:p w14:paraId="0C93994B">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p>
    <w:p w14:paraId="0CEF39D9">
      <w:pPr>
        <w:pStyle w:val="3"/>
        <w:ind w:firstLine="643"/>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7.5 </w:t>
      </w:r>
      <w:r>
        <w:rPr>
          <w:rFonts w:hint="eastAsia"/>
          <w:color w:val="000000" w:themeColor="text1"/>
          <w:sz w:val="24"/>
          <w:szCs w:val="24"/>
          <w:lang w:eastAsia="zh-CN"/>
          <w14:textFill>
            <w14:solidFill>
              <w14:schemeClr w14:val="tx1"/>
            </w14:solidFill>
          </w14:textFill>
        </w:rPr>
        <w:t>社区</w:t>
      </w:r>
      <w:r>
        <w:rPr>
          <w:rFonts w:hint="eastAsia"/>
          <w:color w:val="000000" w:themeColor="text1"/>
          <w:sz w:val="24"/>
          <w:szCs w:val="24"/>
          <w14:textFill>
            <w14:solidFill>
              <w14:schemeClr w14:val="tx1"/>
            </w14:solidFill>
          </w14:textFill>
        </w:rPr>
        <w:t>服务</w:t>
      </w:r>
    </w:p>
    <w:p w14:paraId="05E3A895">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5</w:t>
      </w:r>
      <w:r>
        <w:rPr>
          <w:rFonts w:hint="eastAsia" w:ascii="仿宋" w:hAnsi="仿宋" w:cs="仿宋"/>
          <w:color w:val="000000" w:themeColor="text1"/>
          <w:sz w:val="24"/>
          <w:szCs w:val="24"/>
          <w14:textFill>
            <w14:solidFill>
              <w14:schemeClr w14:val="tx1"/>
            </w14:solidFill>
          </w14:textFill>
        </w:rPr>
        <w:t xml:space="preserve">.1 </w:t>
      </w:r>
      <w:r>
        <w:rPr>
          <w:rFonts w:hint="eastAsia" w:ascii="仿宋" w:hAnsi="仿宋" w:cs="仿宋"/>
          <w:color w:val="000000" w:themeColor="text1"/>
          <w:sz w:val="24"/>
          <w:szCs w:val="24"/>
          <w:lang w:val="en-US" w:eastAsia="zh-CN"/>
          <w14:textFill>
            <w14:solidFill>
              <w14:schemeClr w14:val="tx1"/>
            </w14:solidFill>
          </w14:textFill>
        </w:rPr>
        <w:t>此条文按照国家及当地居住公共服务设施配置指标进行规划设计与建设，明确社区服务中心、老年活动中心、儿童游乐场所等设施的位置布局要求。对社区服务设施的功能布局提出要求，确保各功能区域划分合理，满足居民多样化需求。</w:t>
      </w:r>
    </w:p>
    <w:p w14:paraId="359FF998">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5</w:t>
      </w:r>
      <w:r>
        <w:rPr>
          <w:rFonts w:hint="eastAsia" w:ascii="仿宋" w:hAnsi="仿宋" w:cs="仿宋"/>
          <w:color w:val="000000" w:themeColor="text1"/>
          <w:sz w:val="24"/>
          <w:szCs w:val="24"/>
          <w14:textFill>
            <w14:solidFill>
              <w14:schemeClr w14:val="tx1"/>
            </w14:solidFill>
          </w14:textFill>
        </w:rPr>
        <w:t xml:space="preserve">.2 </w:t>
      </w:r>
      <w:r>
        <w:rPr>
          <w:rFonts w:hint="eastAsia" w:ascii="仿宋" w:hAnsi="仿宋" w:cs="仿宋"/>
          <w:color w:val="000000" w:themeColor="text1"/>
          <w:sz w:val="24"/>
          <w:szCs w:val="24"/>
          <w:lang w:val="en-US" w:eastAsia="zh-CN"/>
          <w14:textFill>
            <w14:solidFill>
              <w14:schemeClr w14:val="tx1"/>
            </w14:solidFill>
          </w14:textFill>
        </w:rPr>
        <w:t>此条文参考《山西省推进“好房子”建设试点工作方案》，鼓励物业服务企业或社区居委会组织各类社区文化活动、志愿服务活动等，丰富居民精神文化生活，规定每年组织各类社区文化活动频次。</w:t>
      </w:r>
    </w:p>
    <w:p w14:paraId="727FAC4E">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5</w:t>
      </w:r>
      <w:r>
        <w:rPr>
          <w:rFonts w:hint="eastAsia" w:ascii="仿宋" w:hAnsi="仿宋" w:cs="仿宋"/>
          <w:color w:val="000000" w:themeColor="text1"/>
          <w:sz w:val="24"/>
          <w:szCs w:val="24"/>
          <w14:textFill>
            <w14:solidFill>
              <w14:schemeClr w14:val="tx1"/>
            </w14:solidFill>
          </w14:textFill>
        </w:rPr>
        <w:t xml:space="preserve">.3 </w:t>
      </w:r>
      <w:r>
        <w:rPr>
          <w:rFonts w:hint="eastAsia" w:ascii="仿宋" w:hAnsi="仿宋" w:cs="仿宋"/>
          <w:color w:val="000000" w:themeColor="text1"/>
          <w:sz w:val="24"/>
          <w:szCs w:val="24"/>
          <w:lang w:val="en-US" w:eastAsia="zh-CN"/>
          <w14:textFill>
            <w14:solidFill>
              <w14:schemeClr w14:val="tx1"/>
            </w14:solidFill>
          </w14:textFill>
        </w:rPr>
        <w:t>此条文参考《山西省物业服务标准》《山西省推进“好房子”建设试点工作方案》相关要求：根据社区人口结构定制活动内容（如青年技能沙龙、老年大学课程等）；新建社区需在交付后1年内组建至少1支社区文艺团队（如合唱团、舞蹈队等）。志愿服务：</w:t>
      </w:r>
      <w:r>
        <w:rPr>
          <w:rFonts w:hint="eastAsia" w:ascii="仿宋" w:hAnsi="仿宋" w:cs="仿宋"/>
          <w:color w:val="000000" w:themeColor="text1"/>
          <w:sz w:val="24"/>
          <w:szCs w:val="24"/>
          <w:lang w:val="en-US" w:eastAsia="zh-CN"/>
          <w14:textFill>
            <w14:solidFill>
              <w14:schemeClr w14:val="tx1"/>
            </w14:solidFill>
          </w14:textFill>
        </w:rPr>
        <w:t>建立“社区志愿者服务站”</w:t>
      </w:r>
      <w:r>
        <w:rPr>
          <w:rFonts w:hint="eastAsia" w:ascii="仿宋" w:hAnsi="仿宋" w:cs="仿宋"/>
          <w:color w:val="000000" w:themeColor="text1"/>
          <w:sz w:val="24"/>
          <w:szCs w:val="24"/>
          <w:lang w:val="en-US" w:eastAsia="zh-CN"/>
          <w14:textFill>
            <w14:solidFill>
              <w14:schemeClr w14:val="tx1"/>
            </w14:solidFill>
          </w14:textFill>
        </w:rPr>
        <w:t>，由居委会统筹，物业配合招募居民志愿者。每月1次主题活动，组织并参与助老助残、儿童托管、环境维护、应急演练等活动。</w:t>
      </w:r>
    </w:p>
    <w:p w14:paraId="0A86168E">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5</w:t>
      </w:r>
      <w:r>
        <w:rPr>
          <w:rFonts w:hint="eastAsia" w:ascii="仿宋" w:hAnsi="仿宋" w:cs="仿宋"/>
          <w:color w:val="000000" w:themeColor="text1"/>
          <w:sz w:val="24"/>
          <w:szCs w:val="24"/>
          <w14:textFill>
            <w14:solidFill>
              <w14:schemeClr w14:val="tx1"/>
            </w14:solidFill>
          </w14:textFill>
        </w:rPr>
        <w:t>.4 责任主体：物业服务企业需将</w:t>
      </w:r>
      <w:r>
        <w:rPr>
          <w:rFonts w:hint="eastAsia" w:ascii="仿宋" w:hAnsi="仿宋" w:cs="仿宋"/>
          <w:color w:val="000000" w:themeColor="text1"/>
          <w:sz w:val="24"/>
          <w:szCs w:val="24"/>
          <w:lang w:eastAsia="zh-CN"/>
          <w14:textFill>
            <w14:solidFill>
              <w14:schemeClr w14:val="tx1"/>
            </w14:solidFill>
          </w14:textFill>
        </w:rPr>
        <w:t>社区</w:t>
      </w:r>
      <w:r>
        <w:rPr>
          <w:rFonts w:hint="eastAsia" w:ascii="仿宋" w:hAnsi="仿宋" w:cs="仿宋"/>
          <w:color w:val="000000" w:themeColor="text1"/>
          <w:sz w:val="24"/>
          <w:szCs w:val="24"/>
          <w14:textFill>
            <w14:solidFill>
              <w14:schemeClr w14:val="tx1"/>
            </w14:solidFill>
          </w14:textFill>
        </w:rPr>
        <w:t>服务纳入物业服务合同，明确服务内容与经费来源</w:t>
      </w:r>
      <w:r>
        <w:rPr>
          <w:rFonts w:hint="eastAsia" w:ascii="仿宋" w:hAnsi="仿宋" w:cs="仿宋"/>
          <w:color w:val="000000" w:themeColor="text1"/>
          <w:sz w:val="24"/>
          <w:szCs w:val="24"/>
          <w14:textFill>
            <w14:solidFill>
              <w14:schemeClr w14:val="tx1"/>
            </w14:solidFill>
          </w14:textFill>
        </w:rPr>
        <w:t>（可单独列支</w:t>
      </w:r>
      <w:r>
        <w:rPr>
          <w:rFonts w:hint="eastAsia" w:ascii="仿宋" w:hAnsi="仿宋" w:cs="仿宋"/>
          <w:color w:val="000000" w:themeColor="text1"/>
          <w:sz w:val="24"/>
          <w:szCs w:val="24"/>
          <w:lang w:eastAsia="zh-CN"/>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社区文化活动经费</w:t>
      </w:r>
      <w:r>
        <w:rPr>
          <w:rFonts w:hint="eastAsia" w:ascii="仿宋" w:hAnsi="仿宋" w:cs="仿宋"/>
          <w:color w:val="000000" w:themeColor="text1"/>
          <w:sz w:val="24"/>
          <w:szCs w:val="24"/>
          <w:lang w:eastAsia="zh-CN"/>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w:t>
      </w:r>
    </w:p>
    <w:p w14:paraId="273AEDD9">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激励措施：对表现优异的物业服务企业给予信用加分（参照《物业服务企业信用管理办法》）。</w:t>
      </w:r>
    </w:p>
    <w:p w14:paraId="446A70AC">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居民参与：建立</w:t>
      </w:r>
      <w:r>
        <w:rPr>
          <w:rFonts w:hint="eastAsia" w:ascii="仿宋" w:hAnsi="仿宋" w:cs="仿宋"/>
          <w:color w:val="000000" w:themeColor="text1"/>
          <w:sz w:val="24"/>
          <w:szCs w:val="24"/>
          <w:lang w:eastAsia="zh-CN"/>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居民议事会</w:t>
      </w:r>
      <w:r>
        <w:rPr>
          <w:rFonts w:hint="eastAsia" w:ascii="仿宋" w:hAnsi="仿宋" w:cs="仿宋"/>
          <w:color w:val="000000" w:themeColor="text1"/>
          <w:sz w:val="24"/>
          <w:szCs w:val="24"/>
          <w:lang w:eastAsia="zh-CN"/>
          <w14:textFill>
            <w14:solidFill>
              <w14:schemeClr w14:val="tx1"/>
            </w14:solidFill>
          </w14:textFill>
        </w:rPr>
        <w:t>”</w:t>
      </w:r>
      <w:r>
        <w:rPr>
          <w:rFonts w:hint="eastAsia" w:ascii="仿宋" w:hAnsi="仿宋" w:cs="仿宋"/>
          <w:color w:val="000000" w:themeColor="text1"/>
          <w:sz w:val="24"/>
          <w:szCs w:val="24"/>
          <w14:textFill>
            <w14:solidFill>
              <w14:schemeClr w14:val="tx1"/>
            </w14:solidFill>
          </w14:textFill>
        </w:rPr>
        <w:t>制度，定期征集服务需求</w:t>
      </w:r>
      <w:r>
        <w:rPr>
          <w:rFonts w:hint="eastAsia" w:ascii="仿宋" w:hAnsi="仿宋" w:cs="仿宋"/>
          <w:color w:val="000000" w:themeColor="text1"/>
          <w:sz w:val="24"/>
          <w:szCs w:val="24"/>
          <w14:textFill>
            <w14:solidFill>
              <w14:schemeClr w14:val="tx1"/>
            </w14:solidFill>
          </w14:textFill>
        </w:rPr>
        <w:t>（每半年1次满意度调查）。</w:t>
      </w:r>
    </w:p>
    <w:p w14:paraId="1092123D">
      <w:pPr>
        <w:snapToGrid w:val="0"/>
        <w:spacing w:line="360" w:lineRule="auto"/>
        <w:ind w:firstLine="0" w:firstLineChars="0"/>
        <w:rPr>
          <w:rFonts w:ascii="仿宋" w:hAnsi="仿宋" w:cs="仿宋"/>
          <w:color w:val="000000" w:themeColor="text1"/>
          <w:sz w:val="24"/>
          <w:szCs w:val="24"/>
          <w14:textFill>
            <w14:solidFill>
              <w14:schemeClr w14:val="tx1"/>
            </w14:solidFill>
          </w14:textFill>
        </w:rPr>
      </w:pPr>
    </w:p>
    <w:p w14:paraId="10C2A7B8">
      <w:pPr>
        <w:pStyle w:val="3"/>
        <w:ind w:firstLine="643"/>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7.6 生活服务</w:t>
      </w:r>
    </w:p>
    <w:p w14:paraId="23FDDDF7">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6</w:t>
      </w:r>
      <w:r>
        <w:rPr>
          <w:rFonts w:hint="eastAsia" w:ascii="仿宋" w:hAnsi="仿宋" w:cs="仿宋"/>
          <w:color w:val="000000" w:themeColor="text1"/>
          <w:sz w:val="24"/>
          <w:szCs w:val="24"/>
          <w14:textFill>
            <w14:solidFill>
              <w14:schemeClr w14:val="tx1"/>
            </w14:solidFill>
          </w14:textFill>
        </w:rPr>
        <w:t>.1</w:t>
      </w:r>
      <w:r>
        <w:rPr>
          <w:rFonts w:hint="eastAsia" w:ascii="仿宋" w:hAnsi="仿宋" w:cs="仿宋"/>
          <w:b/>
          <w:bCs/>
          <w:color w:val="000000" w:themeColor="text1"/>
          <w:sz w:val="24"/>
          <w:szCs w:val="24"/>
          <w14:textFill>
            <w14:solidFill>
              <w14:schemeClr w14:val="tx1"/>
            </w14:solidFill>
          </w14:textFill>
        </w:rPr>
        <w:t xml:space="preserve"> </w:t>
      </w:r>
      <w:r>
        <w:rPr>
          <w:rFonts w:hint="eastAsia" w:ascii="仿宋" w:hAnsi="仿宋" w:cs="仿宋"/>
          <w:color w:val="000000" w:themeColor="text1"/>
          <w:sz w:val="24"/>
          <w:szCs w:val="24"/>
          <w:lang w:val="en-US" w:eastAsia="zh-CN"/>
          <w14:textFill>
            <w14:solidFill>
              <w14:schemeClr w14:val="tx1"/>
            </w14:solidFill>
          </w14:textFill>
        </w:rPr>
        <w:t>此条文参考《山西省推进“好房子”建设试点工作方案》如医疗、教育、商业、文化等配套设施建设，科学设置垃圾分类收集点，合理配建充足的非机动车棚、电动自行车集中停放场所及充电设施、公共卫生间等，确保公共服务设施的正常运维，满足居民的日常生活需求。</w:t>
      </w:r>
    </w:p>
    <w:p w14:paraId="2DD64BAE">
      <w:pPr>
        <w:snapToGrid w:val="0"/>
        <w:spacing w:line="360" w:lineRule="auto"/>
        <w:ind w:firstLine="0" w:firstLineChars="0"/>
        <w:rPr>
          <w:rFonts w:hint="eastAsia"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6</w:t>
      </w:r>
      <w:r>
        <w:rPr>
          <w:rFonts w:hint="eastAsia" w:ascii="仿宋" w:hAnsi="仿宋" w:cs="仿宋"/>
          <w:color w:val="000000" w:themeColor="text1"/>
          <w:sz w:val="24"/>
          <w:szCs w:val="24"/>
          <w14:textFill>
            <w14:solidFill>
              <w14:schemeClr w14:val="tx1"/>
            </w14:solidFill>
          </w14:textFill>
        </w:rPr>
        <w:t xml:space="preserve">.3 </w:t>
      </w:r>
      <w:r>
        <w:rPr>
          <w:rFonts w:hint="eastAsia" w:ascii="仿宋" w:hAnsi="仿宋" w:cs="仿宋"/>
          <w:color w:val="000000" w:themeColor="text1"/>
          <w:sz w:val="24"/>
          <w:szCs w:val="24"/>
          <w:lang w:val="en-US" w:eastAsia="zh-CN"/>
          <w14:textFill>
            <w14:solidFill>
              <w14:schemeClr w14:val="tx1"/>
            </w14:solidFill>
          </w14:textFill>
        </w:rPr>
        <w:t>此条文参照《社区老年人日间照料中心建设标准》。</w:t>
      </w:r>
    </w:p>
    <w:p w14:paraId="2C2F627D">
      <w:pPr>
        <w:snapToGrid w:val="0"/>
        <w:spacing w:line="360" w:lineRule="auto"/>
        <w:ind w:firstLine="0" w:firstLineChars="0"/>
        <w:rPr>
          <w:rFonts w:hint="default" w:ascii="仿宋" w:hAnsi="仿宋" w:cs="仿宋"/>
          <w:color w:val="000000" w:themeColor="text1"/>
          <w:sz w:val="24"/>
          <w:szCs w:val="24"/>
          <w:lang w:val="en-US"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7.</w:t>
      </w:r>
      <w:r>
        <w:rPr>
          <w:rFonts w:hint="eastAsia" w:ascii="仿宋" w:hAnsi="仿宋" w:cs="仿宋"/>
          <w:color w:val="000000" w:themeColor="text1"/>
          <w:sz w:val="24"/>
          <w:szCs w:val="24"/>
          <w:lang w:val="en-US" w:eastAsia="zh-CN"/>
          <w14:textFill>
            <w14:solidFill>
              <w14:schemeClr w14:val="tx1"/>
            </w14:solidFill>
          </w14:textFill>
        </w:rPr>
        <w:t>6</w:t>
      </w:r>
      <w:r>
        <w:rPr>
          <w:rFonts w:hint="eastAsia" w:ascii="仿宋" w:hAnsi="仿宋" w:cs="仿宋"/>
          <w:color w:val="000000" w:themeColor="text1"/>
          <w:sz w:val="24"/>
          <w:szCs w:val="24"/>
          <w14:textFill>
            <w14:solidFill>
              <w14:schemeClr w14:val="tx1"/>
            </w14:solidFill>
          </w14:textFill>
        </w:rPr>
        <w:t xml:space="preserve">.5 </w:t>
      </w:r>
      <w:r>
        <w:rPr>
          <w:rFonts w:hint="eastAsia" w:ascii="仿宋" w:hAnsi="仿宋" w:cs="仿宋"/>
          <w:color w:val="000000" w:themeColor="text1"/>
          <w:sz w:val="24"/>
          <w:szCs w:val="24"/>
          <w:lang w:val="en-US" w:eastAsia="zh-CN"/>
          <w14:textFill>
            <w14:solidFill>
              <w14:schemeClr w14:val="tx1"/>
            </w14:solidFill>
          </w14:textFill>
        </w:rPr>
        <w:t>此条文参考《山西省推进“好房子”建设试点工作方案》设置</w:t>
      </w:r>
      <w:r>
        <w:rPr>
          <w:rFonts w:hint="eastAsia" w:ascii="仿宋" w:hAnsi="仿宋" w:cs="仿宋"/>
          <w:color w:val="000000" w:themeColor="text1"/>
          <w:sz w:val="24"/>
          <w:szCs w:val="24"/>
          <w:lang w:val="en-US" w:eastAsia="zh-CN"/>
          <w14:textFill>
            <w14:solidFill>
              <w14:schemeClr w14:val="tx1"/>
            </w14:solidFill>
          </w14:textFill>
        </w:rPr>
        <w:t>“24小时自助服务终端”（含政务、缴费功能）</w:t>
      </w:r>
      <w:r>
        <w:rPr>
          <w:rFonts w:hint="eastAsia" w:ascii="仿宋" w:hAnsi="仿宋" w:cs="仿宋"/>
          <w:color w:val="000000" w:themeColor="text1"/>
          <w:sz w:val="24"/>
          <w:szCs w:val="24"/>
          <w:lang w:val="en-US" w:eastAsia="zh-CN"/>
          <w14:textFill>
            <w14:solidFill>
              <w14:schemeClr w14:val="tx1"/>
            </w14:solidFill>
          </w14:textFill>
        </w:rPr>
        <w:t>。物业公司开展家政服务需办理相关经营备案，确保合法合规。服务内容可包含全屋清洁、专项清洁、水电维修、家具安装、门窗维修、母婴护理、老人护理、绿植养护、宠物临时照看、空调清洗、地暖维护等。</w:t>
      </w:r>
    </w:p>
    <w:p w14:paraId="79F75B4B">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p>
    <w:p w14:paraId="2298ED2E">
      <w:pPr>
        <w:snapToGrid w:val="0"/>
        <w:spacing w:line="360" w:lineRule="auto"/>
        <w:ind w:firstLine="640"/>
        <w:rPr>
          <w:rFonts w:hint="eastAsia" w:ascii="仿宋" w:hAnsi="仿宋" w:cs="仿宋"/>
          <w:color w:val="000000" w:themeColor="text1"/>
          <w:sz w:val="24"/>
          <w:szCs w:val="24"/>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br w:type="page"/>
      </w:r>
    </w:p>
    <w:p w14:paraId="1D5EF51A">
      <w:pPr>
        <w:pStyle w:val="2"/>
        <w:ind w:firstLine="643"/>
        <w:jc w:val="center"/>
        <w:rPr>
          <w:rFonts w:hint="eastAsia"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8 既有建筑改造</w:t>
      </w:r>
    </w:p>
    <w:p w14:paraId="345AE46D">
      <w:pPr>
        <w:pStyle w:val="3"/>
        <w:ind w:firstLine="643"/>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8.1 基本规定</w:t>
      </w:r>
    </w:p>
    <w:p w14:paraId="0BD2673B">
      <w:pPr>
        <w:snapToGrid w:val="0"/>
        <w:spacing w:line="360" w:lineRule="auto"/>
        <w:ind w:firstLine="0" w:firstLineChars="0"/>
        <w:rPr>
          <w:rFonts w:hint="eastAsia" w:ascii="仿宋" w:hAnsi="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 xml:space="preserve">8.1.1 </w:t>
      </w:r>
      <w:r>
        <w:rPr>
          <w:rFonts w:hint="eastAsia" w:ascii="仿宋" w:hAnsi="仿宋" w:cs="仿宋"/>
          <w:color w:val="000000" w:themeColor="text1"/>
          <w:sz w:val="24"/>
          <w:szCs w:val="24"/>
          <w:lang w:eastAsia="zh-CN"/>
          <w14:textFill>
            <w14:solidFill>
              <w14:schemeClr w14:val="tx1"/>
            </w14:solidFill>
          </w14:textFill>
        </w:rPr>
        <w:t>既有建筑任何改造行为均不得对建筑原有的结构体系和防火系统产生不利影响。改造后建筑的整体结构安全性能及防火能力应满足现行技术标准要求，并鼓励通过改造消除原有安全隐患，提升整体安全性能。</w:t>
      </w:r>
    </w:p>
    <w:p w14:paraId="7DFBB169">
      <w:pPr>
        <w:snapToGrid w:val="0"/>
        <w:spacing w:line="360" w:lineRule="auto"/>
        <w:ind w:firstLine="0" w:firstLineChars="0"/>
        <w:rPr>
          <w:rFonts w:hint="eastAsia" w:ascii="仿宋" w:hAnsi="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8.1.3 </w:t>
      </w:r>
      <w:r>
        <w:rPr>
          <w:rFonts w:hint="eastAsia" w:ascii="仿宋" w:hAnsi="仿宋" w:cs="仿宋"/>
          <w:color w:val="000000" w:themeColor="text1"/>
          <w:sz w:val="24"/>
          <w:szCs w:val="24"/>
          <w:lang w:eastAsia="zh-CN"/>
          <w14:textFill>
            <w14:solidFill>
              <w14:schemeClr w14:val="tx1"/>
            </w14:solidFill>
          </w14:textFill>
        </w:rPr>
        <w:t>改造前应进行充分的调研、检测鉴定和经济性分析，基于居民真实需求和建筑现状，制定经济合理的改造方案与技术路线。</w:t>
      </w:r>
      <w:r>
        <w:rPr>
          <w:rFonts w:hint="eastAsia" w:ascii="仿宋" w:hAnsi="仿宋" w:cs="仿宋"/>
          <w:color w:val="000000" w:themeColor="text1"/>
          <w:sz w:val="24"/>
          <w:szCs w:val="24"/>
          <w:lang w:eastAsia="zh-CN"/>
          <w14:textFill>
            <w14:solidFill>
              <w14:schemeClr w14:val="tx1"/>
            </w14:solidFill>
          </w14:textFill>
        </w:rPr>
        <w:t>改造</w:t>
      </w:r>
      <w:r>
        <w:rPr>
          <w:rFonts w:hint="eastAsia" w:ascii="仿宋" w:hAnsi="仿宋" w:cs="仿宋"/>
          <w:color w:val="000000" w:themeColor="text1"/>
          <w:sz w:val="24"/>
          <w:szCs w:val="24"/>
          <w:lang w:eastAsia="zh-CN"/>
          <w14:textFill>
            <w14:solidFill>
              <w14:schemeClr w14:val="tx1"/>
            </w14:solidFill>
          </w14:textFill>
        </w:rPr>
        <w:t>应考虑建筑物使用维护成本与综合效益的结合，实现资金的合理利用，鼓励一项一策、一屋一策。</w:t>
      </w:r>
    </w:p>
    <w:p w14:paraId="080EEE11">
      <w:pPr>
        <w:snapToGrid w:val="0"/>
        <w:spacing w:line="360" w:lineRule="auto"/>
        <w:ind w:firstLine="0" w:firstLineChars="0"/>
        <w:rPr>
          <w:rFonts w:hint="eastAsia" w:ascii="仿宋" w:hAnsi="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sz w:val="24"/>
          <w:szCs w:val="24"/>
          <w14:textFill>
            <w14:solidFill>
              <w14:schemeClr w14:val="tx1"/>
            </w14:solidFill>
          </w14:textFill>
        </w:rPr>
        <w:t xml:space="preserve">8.1.5 </w:t>
      </w:r>
      <w:r>
        <w:rPr>
          <w:rFonts w:hint="eastAsia" w:ascii="仿宋" w:hAnsi="仿宋" w:cs="仿宋"/>
          <w:color w:val="000000" w:themeColor="text1"/>
          <w:sz w:val="24"/>
          <w:szCs w:val="24"/>
          <w:lang w:eastAsia="zh-CN"/>
          <w14:textFill>
            <w14:solidFill>
              <w14:schemeClr w14:val="tx1"/>
            </w14:solidFill>
          </w14:textFill>
        </w:rPr>
        <w:t>改造需体现以人为本的原则，致力于满足儿童、青少年、成年人、老年人及残障人士等全龄段居民的实际生活需求，通过改造弥补原有小区公共服务设施的不足，改善小区整体居住环境。</w:t>
      </w:r>
    </w:p>
    <w:p w14:paraId="55C9DC53">
      <w:pPr>
        <w:snapToGrid w:val="0"/>
        <w:spacing w:line="360" w:lineRule="auto"/>
        <w:ind w:firstLine="0" w:firstLineChars="0"/>
        <w:rPr>
          <w:i/>
          <w:iCs/>
          <w:color w:val="000000" w:themeColor="text1"/>
          <w:sz w:val="24"/>
          <w:szCs w:val="24"/>
          <w14:textFill>
            <w14:solidFill>
              <w14:schemeClr w14:val="tx1"/>
            </w14:solidFill>
          </w14:textFill>
        </w:rPr>
      </w:pPr>
    </w:p>
    <w:p w14:paraId="10DAC282">
      <w:pPr>
        <w:snapToGrid w:val="0"/>
        <w:spacing w:line="360" w:lineRule="auto"/>
        <w:ind w:firstLine="0" w:firstLineChars="0"/>
        <w:rPr>
          <w:rFonts w:hint="eastAsia" w:ascii="仿宋" w:hAnsi="仿宋" w:cs="仿宋"/>
          <w:color w:val="000000" w:themeColor="text1"/>
          <w:sz w:val="24"/>
          <w:szCs w:val="24"/>
          <w14:textFill>
            <w14:solidFill>
              <w14:schemeClr w14:val="tx1"/>
            </w14:solidFill>
          </w14:textFill>
        </w:rPr>
      </w:pPr>
    </w:p>
    <w:p w14:paraId="556AA39A">
      <w:pPr>
        <w:pStyle w:val="3"/>
        <w:ind w:firstLine="643"/>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8.2 改造建筑全流程技术规定</w:t>
      </w:r>
    </w:p>
    <w:p w14:paraId="53A04B3F">
      <w:pPr>
        <w:snapToGrid w:val="0"/>
        <w:spacing w:line="360" w:lineRule="auto"/>
        <w:ind w:firstLine="0" w:firstLineChars="0"/>
        <w:rPr>
          <w:rFonts w:hint="eastAsia" w:ascii="仿宋" w:hAnsi="仿宋" w:cs="仿宋"/>
          <w:color w:val="000000" w:themeColor="text1"/>
          <w:sz w:val="24"/>
          <w:szCs w:val="24"/>
          <w:lang w:eastAsia="zh-CN"/>
          <w14:textFill>
            <w14:solidFill>
              <w14:schemeClr w14:val="tx1"/>
            </w14:solidFill>
          </w14:textFill>
        </w:rPr>
      </w:pPr>
      <w:r>
        <w:rPr>
          <w:rFonts w:hint="eastAsia" w:ascii="仿宋" w:hAnsi="仿宋" w:cs="仿宋"/>
          <w:color w:val="000000" w:themeColor="text1"/>
          <w:sz w:val="24"/>
          <w:szCs w:val="24"/>
          <w:lang w:bidi="ar"/>
          <w14:textFill>
            <w14:solidFill>
              <w14:schemeClr w14:val="tx1"/>
            </w14:solidFill>
          </w14:textFill>
        </w:rPr>
        <w:t xml:space="preserve">8.2.1 </w:t>
      </w:r>
      <w:r>
        <w:rPr>
          <w:rFonts w:hint="eastAsia" w:ascii="仿宋" w:hAnsi="仿宋" w:cs="仿宋"/>
          <w:color w:val="000000" w:themeColor="text1"/>
          <w:sz w:val="24"/>
          <w:szCs w:val="24"/>
          <w:lang w:eastAsia="zh-CN"/>
          <w14:textFill>
            <w14:solidFill>
              <w14:schemeClr w14:val="tx1"/>
            </w14:solidFill>
          </w14:textFill>
        </w:rPr>
        <w:t>既有建筑改造前应委托第三方专业机构对拟改造建筑物性能进行评估。主要是充分了解其结构安全、节能、防火等现状及居民对既有建筑改造的需求，根据调研结果进行改造方案的评估。针对性进行专项设计和施工。</w:t>
      </w:r>
    </w:p>
    <w:p w14:paraId="63161833">
      <w:pPr>
        <w:snapToGrid w:val="0"/>
        <w:spacing w:line="360" w:lineRule="auto"/>
        <w:ind w:firstLine="0" w:firstLineChars="0"/>
        <w:rPr>
          <w:rFonts w:hint="eastAsia"/>
          <w:i/>
          <w:iCs/>
          <w:color w:val="000000" w:themeColor="text1"/>
          <w:sz w:val="24"/>
          <w:szCs w:val="24"/>
          <w:lang w:eastAsia="zh-CN"/>
          <w14:textFill>
            <w14:solidFill>
              <w14:schemeClr w14:val="tx1"/>
            </w14:solidFill>
          </w14:textFill>
        </w:rPr>
      </w:pPr>
    </w:p>
    <w:p w14:paraId="08FA2BD4">
      <w:pPr>
        <w:ind w:firstLine="0" w:firstLineChars="0"/>
        <w:rPr>
          <w:rFonts w:hint="eastAsia" w:ascii="仿宋" w:hAnsi="仿宋" w:cs="仿宋"/>
          <w:color w:val="000000" w:themeColor="text1"/>
          <w:sz w:val="24"/>
          <w:szCs w:val="24"/>
          <w:lang w:val="en-US" w:eastAsia="zh-CN" w:bidi="ar"/>
          <w14:textFill>
            <w14:solidFill>
              <w14:schemeClr w14:val="tx1"/>
            </w14:solidFill>
          </w14:textFill>
        </w:rPr>
      </w:pPr>
    </w:p>
    <w:sectPr>
      <w:footerReference r:id="rId7" w:type="default"/>
      <w:pgSz w:w="11906" w:h="16838"/>
      <w:pgMar w:top="1440" w:right="1800" w:bottom="1440" w:left="1800" w:header="851" w:footer="907" w:gutter="0"/>
      <w:pgBorders>
        <w:top w:val="none" w:sz="0" w:space="0"/>
        <w:left w:val="none" w:sz="0" w:space="0"/>
        <w:bottom w:val="none" w:sz="0" w:space="0"/>
        <w:right w:val="none" w:sz="0" w:space="0"/>
      </w:pgBorders>
      <w:pgNumType w:fmt="decimal"/>
      <w:cols w:space="720"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A20D8BB-A99A-426B-8037-2A057FF6C37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CD58C29-1141-4D66-BC13-E4CE045CF8C8}"/>
  </w:font>
  <w:font w:name="仿宋">
    <w:panose1 w:val="02010609060101010101"/>
    <w:charset w:val="86"/>
    <w:family w:val="modern"/>
    <w:pitch w:val="default"/>
    <w:sig w:usb0="800002BF" w:usb1="38CF7CFA" w:usb2="00000016" w:usb3="00000000" w:csb0="00040001" w:csb1="00000000"/>
    <w:embedRegular r:id="rId3" w:fontKey="{EF061E0E-7219-4C86-B547-54890230923E}"/>
  </w:font>
  <w:font w:name="方正公文小标宋">
    <w:panose1 w:val="02000500000000000000"/>
    <w:charset w:val="86"/>
    <w:family w:val="auto"/>
    <w:pitch w:val="default"/>
    <w:sig w:usb0="A00002BF" w:usb1="38CF7CFA" w:usb2="00000016" w:usb3="00000000" w:csb0="00040001" w:csb1="00000000"/>
    <w:embedRegular r:id="rId4" w:fontKey="{667010C0-DBD4-4E99-A0C0-E15B6830E3DC}"/>
  </w:font>
  <w:font w:name="Cambria">
    <w:panose1 w:val="02040503050406030204"/>
    <w:charset w:val="00"/>
    <w:family w:val="roman"/>
    <w:pitch w:val="default"/>
    <w:sig w:usb0="E00006FF" w:usb1="420024FF" w:usb2="02000000" w:usb3="00000000" w:csb0="2000019F" w:csb1="00000000"/>
  </w:font>
  <w:font w:name="方正仿宋_GB2312">
    <w:altName w:val="仿宋"/>
    <w:panose1 w:val="02000000000000000000"/>
    <w:charset w:val="86"/>
    <w:family w:val="auto"/>
    <w:pitch w:val="default"/>
    <w:sig w:usb0="00000000" w:usb1="00000000" w:usb2="00000012" w:usb3="00000000" w:csb0="00040001" w:csb1="00000000"/>
    <w:embedRegular r:id="rId5" w:fontKey="{964CCC5D-4D2A-440D-94B4-1EDCCE7F2158}"/>
  </w:font>
  <w:font w:name="方正粗宋简体">
    <w:altName w:val="宋体"/>
    <w:panose1 w:val="02000000000000000000"/>
    <w:charset w:val="86"/>
    <w:family w:val="auto"/>
    <w:pitch w:val="default"/>
    <w:sig w:usb0="00000000" w:usb1="00000000" w:usb2="00000012" w:usb3="00000000" w:csb0="00040001" w:csb1="00000000"/>
    <w:embedRegular r:id="rId6" w:fontKey="{2261B8B6-57D1-4182-B0FD-AC48C48A8C04}"/>
  </w:font>
  <w:font w:name="等线">
    <w:panose1 w:val="02010600030101010101"/>
    <w:charset w:val="86"/>
    <w:family w:val="auto"/>
    <w:pitch w:val="default"/>
    <w:sig w:usb0="A00002BF" w:usb1="38CF7CFA" w:usb2="00000016" w:usb3="00000000" w:csb0="0004000F" w:csb1="00000000"/>
    <w:embedRegular r:id="rId7" w:fontKey="{D19490F2-510D-4701-B730-86A2245AB17D}"/>
  </w:font>
  <w:font w:name="方正小标宋简体">
    <w:panose1 w:val="02000000000000000000"/>
    <w:charset w:val="86"/>
    <w:family w:val="script"/>
    <w:pitch w:val="default"/>
    <w:sig w:usb0="A00002BF" w:usb1="184F6CFA" w:usb2="00000012" w:usb3="00000000" w:csb0="00040001" w:csb1="00000000"/>
    <w:embedRegular r:id="rId8" w:fontKey="{A8C50014-77E4-4A80-AA45-CF566D45A305}"/>
  </w:font>
  <w:font w:name="Franklin Gothic Demi">
    <w:panose1 w:val="020B0703020102020204"/>
    <w:charset w:val="00"/>
    <w:family w:val="auto"/>
    <w:pitch w:val="default"/>
    <w:sig w:usb0="00000287" w:usb1="00000000" w:usb2="00000000" w:usb3="00000000" w:csb0="2000009F" w:csb1="DFD70000"/>
    <w:embedRegular r:id="rId9" w:fontKey="{810B0293-71E3-43F2-BA3A-5D0932B4AB09}"/>
  </w:font>
  <w:font w:name="Segoe UI">
    <w:panose1 w:val="020B0502040204020203"/>
    <w:charset w:val="00"/>
    <w:family w:val="auto"/>
    <w:pitch w:val="default"/>
    <w:sig w:usb0="E4002EFF" w:usb1="C000E47F" w:usb2="00000009" w:usb3="00000000" w:csb0="200001FF" w:csb1="00000000"/>
    <w:embedRegular r:id="rId10" w:fontKey="{602B2094-8631-43AE-B103-0CBF92FB4C4D}"/>
  </w:font>
  <w:font w:name="&amp;quot">
    <w:altName w:val="方正公文小标宋"/>
    <w:panose1 w:val="00000000000000000000"/>
    <w:charset w:val="00"/>
    <w:family w:val="roman"/>
    <w:pitch w:val="default"/>
    <w:sig w:usb0="00000000" w:usb1="00000000" w:usb2="00000000" w:usb3="00000000" w:csb0="00040001" w:csb1="00000000"/>
    <w:embedRegular r:id="rId11" w:fontKey="{1950C932-8C1B-412E-81B9-A3DD4655894D}"/>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KSOFE8852770">
    <w:panose1 w:val="03000509000000000000"/>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D516D">
    <w:pPr>
      <w:pStyle w:val="11"/>
      <w:tabs>
        <w:tab w:val="left" w:pos="336"/>
        <w:tab w:val="right" w:pos="8306"/>
        <w:tab w:val="clear" w:pos="8300"/>
      </w:tabs>
      <w:ind w:right="360" w:firstLine="36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24"/>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4ED8D3FA">
                          <w:pPr>
                            <w:snapToGrid w:val="0"/>
                            <w:ind w:firstLine="360"/>
                            <w:rPr>
                              <w:rFonts w:ascii="Times New Roman" w:hAnsi="Times New Roman" w:cs="Times New Roman"/>
                              <w:sz w:val="18"/>
                            </w:rPr>
                          </w:pPr>
                        </w:p>
                      </w:txbxContent>
                    </wps:txbx>
                    <wps:bodyPr wrap="none" lIns="0" tIns="0" rIns="0" bIns="0" upright="1">
                      <a:spAutoFit/>
                    </wps:bodyPr>
                  </wps:wsp>
                </a:graphicData>
              </a:graphic>
            </wp:anchor>
          </w:drawing>
        </mc:Choice>
        <mc:Fallback>
          <w:pict>
            <v:rect id="文本框 24" o:spid="_x0000_s1026" o:spt="1"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AtNgb7KAQAAngMAAA4AAAAAAAAAAQAgAAAAHwEAAGRycy9lMm9E&#10;b2MueG1sUEsFBgAAAAAGAAYAWQEAAFsFAAAAAA==&#10;">
              <v:fill on="f" focussize="0,0"/>
              <v:stroke on="f"/>
              <v:imagedata o:title=""/>
              <o:lock v:ext="edit" aspectratio="f"/>
              <v:textbox inset="0mm,0mm,0mm,0mm" style="mso-fit-shape-to-text:t;">
                <w:txbxContent>
                  <w:p w14:paraId="4ED8D3FA">
                    <w:pPr>
                      <w:snapToGrid w:val="0"/>
                      <w:ind w:firstLine="360"/>
                      <w:rPr>
                        <w:rFonts w:ascii="Times New Roman" w:hAnsi="Times New Roman" w:cs="Times New Roman"/>
                        <w:sz w:val="18"/>
                      </w:rPr>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CB25C">
    <w:pPr>
      <w:pStyle w:val="11"/>
      <w:tabs>
        <w:tab w:val="left" w:pos="336"/>
        <w:tab w:val="right" w:pos="8306"/>
        <w:tab w:val="clear" w:pos="8300"/>
      </w:tabs>
      <w:ind w:right="360"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1A1378">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1A1378">
                    <w:pPr>
                      <w:pStyle w:val="11"/>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4"/>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1F5AF65C">
                          <w:pPr>
                            <w:snapToGrid w:val="0"/>
                            <w:ind w:firstLine="360"/>
                            <w:rPr>
                              <w:rFonts w:ascii="Times New Roman" w:hAnsi="Times New Roman" w:cs="Times New Roman"/>
                              <w:sz w:val="18"/>
                            </w:rPr>
                          </w:pPr>
                        </w:p>
                      </w:txbxContent>
                    </wps:txbx>
                    <wps:bodyPr wrap="none" lIns="0" tIns="0" rIns="0" bIns="0" upright="1">
                      <a:spAutoFit/>
                    </wps:bodyPr>
                  </wps:wsp>
                </a:graphicData>
              </a:graphic>
            </wp:anchor>
          </w:drawing>
        </mc:Choice>
        <mc:Fallback>
          <w:pict>
            <v:rect id="文本框 24" o:spid="_x0000_s1026" o:spt="1"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mK3HXKAQAAngMAAA4AAAAAAAAAAQAgAAAAHwEAAGRycy9lMm9E&#10;b2MueG1sUEsFBgAAAAAGAAYAWQEAAFsFAAAAAA==&#10;">
              <v:fill on="f" focussize="0,0"/>
              <v:stroke on="f"/>
              <v:imagedata o:title=""/>
              <o:lock v:ext="edit" aspectratio="f"/>
              <v:textbox inset="0mm,0mm,0mm,0mm" style="mso-fit-shape-to-text:t;">
                <w:txbxContent>
                  <w:p w14:paraId="1F5AF65C">
                    <w:pPr>
                      <w:snapToGrid w:val="0"/>
                      <w:ind w:firstLine="360"/>
                      <w:rPr>
                        <w:rFonts w:ascii="Times New Roman" w:hAnsi="Times New Roman" w:cs="Times New Roman"/>
                        <w:sz w:val="18"/>
                      </w:rPr>
                    </w:pP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159BB">
    <w:pPr>
      <w:pStyle w:val="11"/>
      <w:tabs>
        <w:tab w:val="left" w:pos="336"/>
        <w:tab w:val="right" w:pos="8306"/>
        <w:tab w:val="clear" w:pos="8300"/>
      </w:tabs>
      <w:ind w:right="360"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34B044A">
                          <w:pPr>
                            <w:pStyle w:val="11"/>
                            <w:ind w:firstLine="360"/>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5gLiskBAACZAwAADgAAAGRycy9lMm9Eb2MueG1srVPNjtMwEL4j8Q6W&#10;79Rpk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BUljlsc+OX7t8uPX5efX8nr&#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LmAuKyQEAAJkDAAAOAAAAAAAAAAEAIAAAAB4BAABkcnMvZTJvRG9j&#10;LnhtbFBLBQYAAAAABgAGAFkBAABZBQAAAAA=&#10;">
              <v:fill on="f" focussize="0,0"/>
              <v:stroke on="f"/>
              <v:imagedata o:title=""/>
              <o:lock v:ext="edit" aspectratio="f"/>
              <v:textbox inset="0mm,0mm,0mm,0mm" style="mso-fit-shape-to-text:t;">
                <w:txbxContent>
                  <w:p w14:paraId="634B044A">
                    <w:pPr>
                      <w:pStyle w:val="11"/>
                      <w:ind w:firstLine="360"/>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24"/>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794AB0F0">
                          <w:pPr>
                            <w:snapToGrid w:val="0"/>
                            <w:ind w:firstLine="360"/>
                            <w:rPr>
                              <w:rFonts w:ascii="Times New Roman" w:hAnsi="Times New Roman" w:cs="Times New Roman"/>
                              <w:sz w:val="18"/>
                            </w:rPr>
                          </w:pPr>
                        </w:p>
                      </w:txbxContent>
                    </wps:txbx>
                    <wps:bodyPr wrap="none" lIns="0" tIns="0" rIns="0" bIns="0" upright="1">
                      <a:spAutoFit/>
                    </wps:bodyPr>
                  </wps:wsp>
                </a:graphicData>
              </a:graphic>
            </wp:anchor>
          </w:drawing>
        </mc:Choice>
        <mc:Fallback>
          <w:pict>
            <v:rect id="文本框 24" o:spid="_x0000_s1026" o:spt="1"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x1/O1ckBAACeAwAADgAAAAAAAAABACAAAAAfAQAAZHJzL2Uyb0Rv&#10;Yy54bWxQSwUGAAAAAAYABgBZAQAAWgUAAAAA&#10;">
              <v:fill on="f" focussize="0,0"/>
              <v:stroke on="f"/>
              <v:imagedata o:title=""/>
              <o:lock v:ext="edit" aspectratio="f"/>
              <v:textbox inset="0mm,0mm,0mm,0mm" style="mso-fit-shape-to-text:t;">
                <w:txbxContent>
                  <w:p w14:paraId="794AB0F0">
                    <w:pPr>
                      <w:snapToGrid w:val="0"/>
                      <w:ind w:firstLine="360"/>
                      <w:rPr>
                        <w:rFonts w:ascii="Times New Roman" w:hAnsi="Times New Roman" w:cs="Times New Roman"/>
                        <w:sz w:val="18"/>
                      </w:rP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E5569E"/>
    <w:multiLevelType w:val="singleLevel"/>
    <w:tmpl w:val="82E5569E"/>
    <w:lvl w:ilvl="0" w:tentative="0">
      <w:start w:val="1"/>
      <w:numFmt w:val="decimal"/>
      <w:suff w:val="space"/>
      <w:lvlText w:val="%1."/>
      <w:lvlJc w:val="left"/>
    </w:lvl>
  </w:abstractNum>
  <w:abstractNum w:abstractNumId="1">
    <w:nsid w:val="8D2852F0"/>
    <w:multiLevelType w:val="singleLevel"/>
    <w:tmpl w:val="8D2852F0"/>
    <w:lvl w:ilvl="0" w:tentative="0">
      <w:start w:val="1"/>
      <w:numFmt w:val="decimal"/>
      <w:suff w:val="space"/>
      <w:lvlText w:val="%1."/>
      <w:lvlJc w:val="left"/>
    </w:lvl>
  </w:abstractNum>
  <w:abstractNum w:abstractNumId="2">
    <w:nsid w:val="929FC753"/>
    <w:multiLevelType w:val="singleLevel"/>
    <w:tmpl w:val="929FC753"/>
    <w:lvl w:ilvl="0" w:tentative="0">
      <w:start w:val="1"/>
      <w:numFmt w:val="decimal"/>
      <w:suff w:val="space"/>
      <w:lvlText w:val="%1."/>
      <w:lvlJc w:val="left"/>
    </w:lvl>
  </w:abstractNum>
  <w:abstractNum w:abstractNumId="3">
    <w:nsid w:val="92B28441"/>
    <w:multiLevelType w:val="singleLevel"/>
    <w:tmpl w:val="92B28441"/>
    <w:lvl w:ilvl="0" w:tentative="0">
      <w:start w:val="1"/>
      <w:numFmt w:val="decimal"/>
      <w:suff w:val="space"/>
      <w:lvlText w:val="%1."/>
      <w:lvlJc w:val="left"/>
    </w:lvl>
  </w:abstractNum>
  <w:abstractNum w:abstractNumId="4">
    <w:nsid w:val="9561BC90"/>
    <w:multiLevelType w:val="singleLevel"/>
    <w:tmpl w:val="9561BC90"/>
    <w:lvl w:ilvl="0" w:tentative="0">
      <w:start w:val="1"/>
      <w:numFmt w:val="decimal"/>
      <w:suff w:val="space"/>
      <w:lvlText w:val="%1."/>
      <w:lvlJc w:val="left"/>
    </w:lvl>
  </w:abstractNum>
  <w:abstractNum w:abstractNumId="5">
    <w:nsid w:val="956BEF51"/>
    <w:multiLevelType w:val="singleLevel"/>
    <w:tmpl w:val="956BEF51"/>
    <w:lvl w:ilvl="0" w:tentative="0">
      <w:start w:val="1"/>
      <w:numFmt w:val="decimal"/>
      <w:suff w:val="space"/>
      <w:lvlText w:val="%1."/>
      <w:lvlJc w:val="left"/>
    </w:lvl>
  </w:abstractNum>
  <w:abstractNum w:abstractNumId="6">
    <w:nsid w:val="996DEB2E"/>
    <w:multiLevelType w:val="singleLevel"/>
    <w:tmpl w:val="996DEB2E"/>
    <w:lvl w:ilvl="0" w:tentative="0">
      <w:start w:val="1"/>
      <w:numFmt w:val="decimal"/>
      <w:suff w:val="space"/>
      <w:lvlText w:val="%1."/>
      <w:lvlJc w:val="left"/>
    </w:lvl>
  </w:abstractNum>
  <w:abstractNum w:abstractNumId="7">
    <w:nsid w:val="9BB949E3"/>
    <w:multiLevelType w:val="singleLevel"/>
    <w:tmpl w:val="9BB949E3"/>
    <w:lvl w:ilvl="0" w:tentative="0">
      <w:start w:val="1"/>
      <w:numFmt w:val="decimal"/>
      <w:suff w:val="space"/>
      <w:lvlText w:val="%1."/>
      <w:lvlJc w:val="left"/>
    </w:lvl>
  </w:abstractNum>
  <w:abstractNum w:abstractNumId="8">
    <w:nsid w:val="9EF58D3A"/>
    <w:multiLevelType w:val="singleLevel"/>
    <w:tmpl w:val="9EF58D3A"/>
    <w:lvl w:ilvl="0" w:tentative="0">
      <w:start w:val="1"/>
      <w:numFmt w:val="decimal"/>
      <w:suff w:val="space"/>
      <w:lvlText w:val="%1."/>
      <w:lvlJc w:val="left"/>
    </w:lvl>
  </w:abstractNum>
  <w:abstractNum w:abstractNumId="9">
    <w:nsid w:val="9F768DEA"/>
    <w:multiLevelType w:val="singleLevel"/>
    <w:tmpl w:val="9F768DEA"/>
    <w:lvl w:ilvl="0" w:tentative="0">
      <w:start w:val="1"/>
      <w:numFmt w:val="decimal"/>
      <w:suff w:val="space"/>
      <w:lvlText w:val="%1."/>
      <w:lvlJc w:val="left"/>
    </w:lvl>
  </w:abstractNum>
  <w:abstractNum w:abstractNumId="10">
    <w:nsid w:val="B546022D"/>
    <w:multiLevelType w:val="singleLevel"/>
    <w:tmpl w:val="B546022D"/>
    <w:lvl w:ilvl="0" w:tentative="0">
      <w:start w:val="1"/>
      <w:numFmt w:val="decimal"/>
      <w:suff w:val="space"/>
      <w:lvlText w:val="%1."/>
      <w:lvlJc w:val="left"/>
    </w:lvl>
  </w:abstractNum>
  <w:abstractNum w:abstractNumId="11">
    <w:nsid w:val="BE81DF39"/>
    <w:multiLevelType w:val="singleLevel"/>
    <w:tmpl w:val="BE81DF39"/>
    <w:lvl w:ilvl="0" w:tentative="0">
      <w:start w:val="1"/>
      <w:numFmt w:val="decimal"/>
      <w:suff w:val="space"/>
      <w:lvlText w:val="%1."/>
      <w:lvlJc w:val="left"/>
    </w:lvl>
  </w:abstractNum>
  <w:abstractNum w:abstractNumId="12">
    <w:nsid w:val="BEE3922F"/>
    <w:multiLevelType w:val="singleLevel"/>
    <w:tmpl w:val="BEE3922F"/>
    <w:lvl w:ilvl="0" w:tentative="0">
      <w:start w:val="1"/>
      <w:numFmt w:val="decimal"/>
      <w:suff w:val="space"/>
      <w:lvlText w:val="%1."/>
      <w:lvlJc w:val="left"/>
    </w:lvl>
  </w:abstractNum>
  <w:abstractNum w:abstractNumId="13">
    <w:nsid w:val="C244FC4A"/>
    <w:multiLevelType w:val="singleLevel"/>
    <w:tmpl w:val="C244FC4A"/>
    <w:lvl w:ilvl="0" w:tentative="0">
      <w:start w:val="1"/>
      <w:numFmt w:val="decimal"/>
      <w:suff w:val="space"/>
      <w:lvlText w:val="%1."/>
      <w:lvlJc w:val="left"/>
    </w:lvl>
  </w:abstractNum>
  <w:abstractNum w:abstractNumId="14">
    <w:nsid w:val="D21D6BDE"/>
    <w:multiLevelType w:val="singleLevel"/>
    <w:tmpl w:val="D21D6BDE"/>
    <w:lvl w:ilvl="0" w:tentative="0">
      <w:start w:val="1"/>
      <w:numFmt w:val="decimal"/>
      <w:suff w:val="space"/>
      <w:lvlText w:val="%1."/>
      <w:lvlJc w:val="left"/>
    </w:lvl>
  </w:abstractNum>
  <w:abstractNum w:abstractNumId="15">
    <w:nsid w:val="DC54A68F"/>
    <w:multiLevelType w:val="singleLevel"/>
    <w:tmpl w:val="DC54A68F"/>
    <w:lvl w:ilvl="0" w:tentative="0">
      <w:start w:val="1"/>
      <w:numFmt w:val="decimal"/>
      <w:suff w:val="space"/>
      <w:lvlText w:val="%1."/>
      <w:lvlJc w:val="left"/>
    </w:lvl>
  </w:abstractNum>
  <w:abstractNum w:abstractNumId="16">
    <w:nsid w:val="E5F5C62D"/>
    <w:multiLevelType w:val="singleLevel"/>
    <w:tmpl w:val="E5F5C62D"/>
    <w:lvl w:ilvl="0" w:tentative="0">
      <w:start w:val="1"/>
      <w:numFmt w:val="decimal"/>
      <w:suff w:val="space"/>
      <w:lvlText w:val="%1."/>
      <w:lvlJc w:val="left"/>
    </w:lvl>
  </w:abstractNum>
  <w:abstractNum w:abstractNumId="17">
    <w:nsid w:val="E74577AB"/>
    <w:multiLevelType w:val="singleLevel"/>
    <w:tmpl w:val="E74577AB"/>
    <w:lvl w:ilvl="0" w:tentative="0">
      <w:start w:val="1"/>
      <w:numFmt w:val="decimal"/>
      <w:suff w:val="space"/>
      <w:lvlText w:val="%1."/>
      <w:lvlJc w:val="left"/>
    </w:lvl>
  </w:abstractNum>
  <w:abstractNum w:abstractNumId="18">
    <w:nsid w:val="EB9C9CFC"/>
    <w:multiLevelType w:val="singleLevel"/>
    <w:tmpl w:val="EB9C9CFC"/>
    <w:lvl w:ilvl="0" w:tentative="0">
      <w:start w:val="1"/>
      <w:numFmt w:val="decimal"/>
      <w:suff w:val="space"/>
      <w:lvlText w:val="%1."/>
      <w:lvlJc w:val="left"/>
    </w:lvl>
  </w:abstractNum>
  <w:abstractNum w:abstractNumId="19">
    <w:nsid w:val="F03D6CAA"/>
    <w:multiLevelType w:val="singleLevel"/>
    <w:tmpl w:val="F03D6CAA"/>
    <w:lvl w:ilvl="0" w:tentative="0">
      <w:start w:val="1"/>
      <w:numFmt w:val="decimal"/>
      <w:suff w:val="space"/>
      <w:lvlText w:val="%1."/>
      <w:lvlJc w:val="left"/>
    </w:lvl>
  </w:abstractNum>
  <w:abstractNum w:abstractNumId="20">
    <w:nsid w:val="F6886ACA"/>
    <w:multiLevelType w:val="singleLevel"/>
    <w:tmpl w:val="F6886ACA"/>
    <w:lvl w:ilvl="0" w:tentative="0">
      <w:start w:val="1"/>
      <w:numFmt w:val="decimal"/>
      <w:suff w:val="space"/>
      <w:lvlText w:val="%1."/>
      <w:lvlJc w:val="left"/>
    </w:lvl>
  </w:abstractNum>
  <w:abstractNum w:abstractNumId="21">
    <w:nsid w:val="F9D1DFF2"/>
    <w:multiLevelType w:val="singleLevel"/>
    <w:tmpl w:val="F9D1DFF2"/>
    <w:lvl w:ilvl="0" w:tentative="0">
      <w:start w:val="1"/>
      <w:numFmt w:val="decimal"/>
      <w:suff w:val="space"/>
      <w:lvlText w:val="%1."/>
      <w:lvlJc w:val="left"/>
    </w:lvl>
  </w:abstractNum>
  <w:abstractNum w:abstractNumId="22">
    <w:nsid w:val="FAC10F6A"/>
    <w:multiLevelType w:val="singleLevel"/>
    <w:tmpl w:val="FAC10F6A"/>
    <w:lvl w:ilvl="0" w:tentative="0">
      <w:start w:val="1"/>
      <w:numFmt w:val="decimal"/>
      <w:suff w:val="space"/>
      <w:lvlText w:val="%1."/>
      <w:lvlJc w:val="left"/>
    </w:lvl>
  </w:abstractNum>
  <w:abstractNum w:abstractNumId="23">
    <w:nsid w:val="FD5613CB"/>
    <w:multiLevelType w:val="singleLevel"/>
    <w:tmpl w:val="FD5613CB"/>
    <w:lvl w:ilvl="0" w:tentative="0">
      <w:start w:val="1"/>
      <w:numFmt w:val="decimal"/>
      <w:suff w:val="space"/>
      <w:lvlText w:val="%1."/>
      <w:lvlJc w:val="left"/>
    </w:lvl>
  </w:abstractNum>
  <w:abstractNum w:abstractNumId="24">
    <w:nsid w:val="029BBEC6"/>
    <w:multiLevelType w:val="singleLevel"/>
    <w:tmpl w:val="029BBEC6"/>
    <w:lvl w:ilvl="0" w:tentative="0">
      <w:start w:val="1"/>
      <w:numFmt w:val="decimal"/>
      <w:suff w:val="space"/>
      <w:lvlText w:val="%1."/>
      <w:lvlJc w:val="left"/>
    </w:lvl>
  </w:abstractNum>
  <w:abstractNum w:abstractNumId="25">
    <w:nsid w:val="099643A5"/>
    <w:multiLevelType w:val="singleLevel"/>
    <w:tmpl w:val="099643A5"/>
    <w:lvl w:ilvl="0" w:tentative="0">
      <w:start w:val="1"/>
      <w:numFmt w:val="decimal"/>
      <w:suff w:val="space"/>
      <w:lvlText w:val="%1."/>
      <w:lvlJc w:val="left"/>
    </w:lvl>
  </w:abstractNum>
  <w:abstractNum w:abstractNumId="26">
    <w:nsid w:val="09D1B384"/>
    <w:multiLevelType w:val="singleLevel"/>
    <w:tmpl w:val="09D1B384"/>
    <w:lvl w:ilvl="0" w:tentative="0">
      <w:start w:val="1"/>
      <w:numFmt w:val="decimal"/>
      <w:suff w:val="space"/>
      <w:lvlText w:val="%1."/>
      <w:lvlJc w:val="left"/>
    </w:lvl>
  </w:abstractNum>
  <w:abstractNum w:abstractNumId="27">
    <w:nsid w:val="0AB3407F"/>
    <w:multiLevelType w:val="singleLevel"/>
    <w:tmpl w:val="0AB3407F"/>
    <w:lvl w:ilvl="0" w:tentative="0">
      <w:start w:val="1"/>
      <w:numFmt w:val="decimal"/>
      <w:suff w:val="space"/>
      <w:lvlText w:val="%1."/>
      <w:lvlJc w:val="left"/>
    </w:lvl>
  </w:abstractNum>
  <w:abstractNum w:abstractNumId="28">
    <w:nsid w:val="17D0C179"/>
    <w:multiLevelType w:val="singleLevel"/>
    <w:tmpl w:val="17D0C179"/>
    <w:lvl w:ilvl="0" w:tentative="0">
      <w:start w:val="1"/>
      <w:numFmt w:val="decimal"/>
      <w:suff w:val="space"/>
      <w:lvlText w:val="%1."/>
      <w:lvlJc w:val="left"/>
    </w:lvl>
  </w:abstractNum>
  <w:abstractNum w:abstractNumId="29">
    <w:nsid w:val="19842B4B"/>
    <w:multiLevelType w:val="singleLevel"/>
    <w:tmpl w:val="19842B4B"/>
    <w:lvl w:ilvl="0" w:tentative="0">
      <w:start w:val="1"/>
      <w:numFmt w:val="decimal"/>
      <w:suff w:val="space"/>
      <w:lvlText w:val="%1."/>
      <w:lvlJc w:val="left"/>
    </w:lvl>
  </w:abstractNum>
  <w:abstractNum w:abstractNumId="30">
    <w:nsid w:val="2602C16D"/>
    <w:multiLevelType w:val="singleLevel"/>
    <w:tmpl w:val="2602C16D"/>
    <w:lvl w:ilvl="0" w:tentative="0">
      <w:start w:val="1"/>
      <w:numFmt w:val="decimal"/>
      <w:suff w:val="space"/>
      <w:lvlText w:val="%1."/>
      <w:lvlJc w:val="left"/>
    </w:lvl>
  </w:abstractNum>
  <w:abstractNum w:abstractNumId="31">
    <w:nsid w:val="2BB2E5D9"/>
    <w:multiLevelType w:val="singleLevel"/>
    <w:tmpl w:val="2BB2E5D9"/>
    <w:lvl w:ilvl="0" w:tentative="0">
      <w:start w:val="1"/>
      <w:numFmt w:val="decimal"/>
      <w:suff w:val="space"/>
      <w:lvlText w:val="%1."/>
      <w:lvlJc w:val="left"/>
    </w:lvl>
  </w:abstractNum>
  <w:abstractNum w:abstractNumId="32">
    <w:nsid w:val="386BC98A"/>
    <w:multiLevelType w:val="singleLevel"/>
    <w:tmpl w:val="386BC98A"/>
    <w:lvl w:ilvl="0" w:tentative="0">
      <w:start w:val="1"/>
      <w:numFmt w:val="decimal"/>
      <w:suff w:val="space"/>
      <w:lvlText w:val="%1."/>
      <w:lvlJc w:val="left"/>
    </w:lvl>
  </w:abstractNum>
  <w:abstractNum w:abstractNumId="33">
    <w:nsid w:val="4184B8C0"/>
    <w:multiLevelType w:val="singleLevel"/>
    <w:tmpl w:val="4184B8C0"/>
    <w:lvl w:ilvl="0" w:tentative="0">
      <w:start w:val="1"/>
      <w:numFmt w:val="decimal"/>
      <w:suff w:val="space"/>
      <w:lvlText w:val="%1."/>
      <w:lvlJc w:val="left"/>
    </w:lvl>
  </w:abstractNum>
  <w:abstractNum w:abstractNumId="34">
    <w:nsid w:val="51434836"/>
    <w:multiLevelType w:val="singleLevel"/>
    <w:tmpl w:val="51434836"/>
    <w:lvl w:ilvl="0" w:tentative="0">
      <w:start w:val="1"/>
      <w:numFmt w:val="decimal"/>
      <w:suff w:val="space"/>
      <w:lvlText w:val="%1."/>
      <w:lvlJc w:val="left"/>
    </w:lvl>
  </w:abstractNum>
  <w:abstractNum w:abstractNumId="35">
    <w:nsid w:val="5A95FA76"/>
    <w:multiLevelType w:val="singleLevel"/>
    <w:tmpl w:val="5A95FA76"/>
    <w:lvl w:ilvl="0" w:tentative="0">
      <w:start w:val="1"/>
      <w:numFmt w:val="decimal"/>
      <w:suff w:val="space"/>
      <w:lvlText w:val="%1."/>
      <w:lvlJc w:val="left"/>
    </w:lvl>
  </w:abstractNum>
  <w:abstractNum w:abstractNumId="36">
    <w:nsid w:val="70784DF3"/>
    <w:multiLevelType w:val="singleLevel"/>
    <w:tmpl w:val="70784DF3"/>
    <w:lvl w:ilvl="0" w:tentative="0">
      <w:start w:val="1"/>
      <w:numFmt w:val="decimal"/>
      <w:suff w:val="space"/>
      <w:lvlText w:val="%1."/>
      <w:lvlJc w:val="left"/>
    </w:lvl>
  </w:abstractNum>
  <w:abstractNum w:abstractNumId="37">
    <w:nsid w:val="70FD0FAC"/>
    <w:multiLevelType w:val="singleLevel"/>
    <w:tmpl w:val="70FD0FAC"/>
    <w:lvl w:ilvl="0" w:tentative="0">
      <w:start w:val="1"/>
      <w:numFmt w:val="decimal"/>
      <w:suff w:val="space"/>
      <w:lvlText w:val="%1."/>
      <w:lvlJc w:val="left"/>
    </w:lvl>
  </w:abstractNum>
  <w:abstractNum w:abstractNumId="38">
    <w:nsid w:val="74AA5C5D"/>
    <w:multiLevelType w:val="singleLevel"/>
    <w:tmpl w:val="74AA5C5D"/>
    <w:lvl w:ilvl="0" w:tentative="0">
      <w:start w:val="1"/>
      <w:numFmt w:val="decimal"/>
      <w:suff w:val="space"/>
      <w:lvlText w:val="%1."/>
      <w:lvlJc w:val="left"/>
    </w:lvl>
  </w:abstractNum>
  <w:abstractNum w:abstractNumId="39">
    <w:nsid w:val="7EA997D0"/>
    <w:multiLevelType w:val="singleLevel"/>
    <w:tmpl w:val="7EA997D0"/>
    <w:lvl w:ilvl="0" w:tentative="0">
      <w:start w:val="1"/>
      <w:numFmt w:val="decimal"/>
      <w:suff w:val="space"/>
      <w:lvlText w:val="%1."/>
      <w:lvlJc w:val="left"/>
    </w:lvl>
  </w:abstractNum>
  <w:num w:numId="1">
    <w:abstractNumId w:val="37"/>
  </w:num>
  <w:num w:numId="2">
    <w:abstractNumId w:val="31"/>
  </w:num>
  <w:num w:numId="3">
    <w:abstractNumId w:val="36"/>
  </w:num>
  <w:num w:numId="4">
    <w:abstractNumId w:val="13"/>
  </w:num>
  <w:num w:numId="5">
    <w:abstractNumId w:val="32"/>
  </w:num>
  <w:num w:numId="6">
    <w:abstractNumId w:val="21"/>
  </w:num>
  <w:num w:numId="7">
    <w:abstractNumId w:val="22"/>
  </w:num>
  <w:num w:numId="8">
    <w:abstractNumId w:val="24"/>
  </w:num>
  <w:num w:numId="9">
    <w:abstractNumId w:val="12"/>
  </w:num>
  <w:num w:numId="10">
    <w:abstractNumId w:val="30"/>
  </w:num>
  <w:num w:numId="11">
    <w:abstractNumId w:val="39"/>
  </w:num>
  <w:num w:numId="12">
    <w:abstractNumId w:val="28"/>
  </w:num>
  <w:num w:numId="13">
    <w:abstractNumId w:val="11"/>
  </w:num>
  <w:num w:numId="14">
    <w:abstractNumId w:val="15"/>
  </w:num>
  <w:num w:numId="15">
    <w:abstractNumId w:val="2"/>
  </w:num>
  <w:num w:numId="16">
    <w:abstractNumId w:val="35"/>
  </w:num>
  <w:num w:numId="17">
    <w:abstractNumId w:val="6"/>
  </w:num>
  <w:num w:numId="18">
    <w:abstractNumId w:val="17"/>
  </w:num>
  <w:num w:numId="19">
    <w:abstractNumId w:val="26"/>
  </w:num>
  <w:num w:numId="20">
    <w:abstractNumId w:val="0"/>
  </w:num>
  <w:num w:numId="21">
    <w:abstractNumId w:val="5"/>
  </w:num>
  <w:num w:numId="22">
    <w:abstractNumId w:val="33"/>
  </w:num>
  <w:num w:numId="23">
    <w:abstractNumId w:val="20"/>
  </w:num>
  <w:num w:numId="24">
    <w:abstractNumId w:val="10"/>
  </w:num>
  <w:num w:numId="25">
    <w:abstractNumId w:val="9"/>
  </w:num>
  <w:num w:numId="26">
    <w:abstractNumId w:val="8"/>
  </w:num>
  <w:num w:numId="27">
    <w:abstractNumId w:val="3"/>
  </w:num>
  <w:num w:numId="28">
    <w:abstractNumId w:val="29"/>
  </w:num>
  <w:num w:numId="29">
    <w:abstractNumId w:val="19"/>
  </w:num>
  <w:num w:numId="30">
    <w:abstractNumId w:val="1"/>
  </w:num>
  <w:num w:numId="31">
    <w:abstractNumId w:val="16"/>
  </w:num>
  <w:num w:numId="32">
    <w:abstractNumId w:val="27"/>
  </w:num>
  <w:num w:numId="33">
    <w:abstractNumId w:val="34"/>
  </w:num>
  <w:num w:numId="34">
    <w:abstractNumId w:val="7"/>
  </w:num>
  <w:num w:numId="35">
    <w:abstractNumId w:val="14"/>
  </w:num>
  <w:num w:numId="36">
    <w:abstractNumId w:val="25"/>
  </w:num>
  <w:num w:numId="37">
    <w:abstractNumId w:val="38"/>
  </w:num>
  <w:num w:numId="38">
    <w:abstractNumId w:val="4"/>
  </w:num>
  <w:num w:numId="39">
    <w:abstractNumId w:val="18"/>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NhZGRiNjRhMzAwYWY4NWY2MjQ0NzRkZGY3NjBmYTIifQ=="/>
  </w:docVars>
  <w:rsids>
    <w:rsidRoot w:val="00172A27"/>
    <w:rsid w:val="00002084"/>
    <w:rsid w:val="000208DD"/>
    <w:rsid w:val="000247A7"/>
    <w:rsid w:val="00026A9C"/>
    <w:rsid w:val="000326FC"/>
    <w:rsid w:val="00046D91"/>
    <w:rsid w:val="000474B0"/>
    <w:rsid w:val="00060A4A"/>
    <w:rsid w:val="00060BC3"/>
    <w:rsid w:val="0006313E"/>
    <w:rsid w:val="0006349F"/>
    <w:rsid w:val="00063FE3"/>
    <w:rsid w:val="00066AE1"/>
    <w:rsid w:val="00077296"/>
    <w:rsid w:val="00093153"/>
    <w:rsid w:val="00093C4F"/>
    <w:rsid w:val="00095413"/>
    <w:rsid w:val="000B6C0A"/>
    <w:rsid w:val="000C197F"/>
    <w:rsid w:val="000C43DF"/>
    <w:rsid w:val="000D193B"/>
    <w:rsid w:val="000E4D5C"/>
    <w:rsid w:val="000E7B1F"/>
    <w:rsid w:val="000F5F7A"/>
    <w:rsid w:val="00100FFA"/>
    <w:rsid w:val="0010474B"/>
    <w:rsid w:val="001431BC"/>
    <w:rsid w:val="00145F5B"/>
    <w:rsid w:val="00153BC8"/>
    <w:rsid w:val="00154346"/>
    <w:rsid w:val="00166227"/>
    <w:rsid w:val="0017346E"/>
    <w:rsid w:val="00173E1A"/>
    <w:rsid w:val="001774E1"/>
    <w:rsid w:val="0018416A"/>
    <w:rsid w:val="001A00B7"/>
    <w:rsid w:val="001A59F2"/>
    <w:rsid w:val="001B6E80"/>
    <w:rsid w:val="001B7765"/>
    <w:rsid w:val="001D1330"/>
    <w:rsid w:val="001E3107"/>
    <w:rsid w:val="001F3EF0"/>
    <w:rsid w:val="002224B4"/>
    <w:rsid w:val="00222834"/>
    <w:rsid w:val="00236E7A"/>
    <w:rsid w:val="00237FBF"/>
    <w:rsid w:val="002459A8"/>
    <w:rsid w:val="00251257"/>
    <w:rsid w:val="00266064"/>
    <w:rsid w:val="0027140D"/>
    <w:rsid w:val="0027163B"/>
    <w:rsid w:val="00273F82"/>
    <w:rsid w:val="002754C1"/>
    <w:rsid w:val="00293F5B"/>
    <w:rsid w:val="002C7F77"/>
    <w:rsid w:val="002D2E8C"/>
    <w:rsid w:val="002E654E"/>
    <w:rsid w:val="00303D37"/>
    <w:rsid w:val="00304919"/>
    <w:rsid w:val="003233D2"/>
    <w:rsid w:val="00325D93"/>
    <w:rsid w:val="003374BF"/>
    <w:rsid w:val="00340BAB"/>
    <w:rsid w:val="00342716"/>
    <w:rsid w:val="003436A9"/>
    <w:rsid w:val="003547B0"/>
    <w:rsid w:val="00356A2E"/>
    <w:rsid w:val="0035729C"/>
    <w:rsid w:val="003579DE"/>
    <w:rsid w:val="00362740"/>
    <w:rsid w:val="00363291"/>
    <w:rsid w:val="00363AB5"/>
    <w:rsid w:val="0037040C"/>
    <w:rsid w:val="00374CE4"/>
    <w:rsid w:val="00380A93"/>
    <w:rsid w:val="00382FAA"/>
    <w:rsid w:val="00384238"/>
    <w:rsid w:val="003965FB"/>
    <w:rsid w:val="003A4BE2"/>
    <w:rsid w:val="003B6387"/>
    <w:rsid w:val="003B6EBE"/>
    <w:rsid w:val="003E192A"/>
    <w:rsid w:val="00410668"/>
    <w:rsid w:val="004156DB"/>
    <w:rsid w:val="00415DAD"/>
    <w:rsid w:val="004260B9"/>
    <w:rsid w:val="00456B70"/>
    <w:rsid w:val="004626AE"/>
    <w:rsid w:val="00490081"/>
    <w:rsid w:val="00492060"/>
    <w:rsid w:val="00496CD4"/>
    <w:rsid w:val="004A278C"/>
    <w:rsid w:val="004B12DA"/>
    <w:rsid w:val="004B2FC4"/>
    <w:rsid w:val="004D4E66"/>
    <w:rsid w:val="004E0797"/>
    <w:rsid w:val="004E1AFE"/>
    <w:rsid w:val="00500713"/>
    <w:rsid w:val="005018CC"/>
    <w:rsid w:val="00503899"/>
    <w:rsid w:val="005123CD"/>
    <w:rsid w:val="00532830"/>
    <w:rsid w:val="00540978"/>
    <w:rsid w:val="00542FDA"/>
    <w:rsid w:val="005436BB"/>
    <w:rsid w:val="0054BE8F"/>
    <w:rsid w:val="00550A1D"/>
    <w:rsid w:val="00551A7C"/>
    <w:rsid w:val="00566E59"/>
    <w:rsid w:val="00581B2F"/>
    <w:rsid w:val="005A52DE"/>
    <w:rsid w:val="005B10E7"/>
    <w:rsid w:val="005D657D"/>
    <w:rsid w:val="005D724F"/>
    <w:rsid w:val="005E6EA6"/>
    <w:rsid w:val="005E76C4"/>
    <w:rsid w:val="005F037B"/>
    <w:rsid w:val="005F6AB7"/>
    <w:rsid w:val="00605014"/>
    <w:rsid w:val="006110C8"/>
    <w:rsid w:val="00612A34"/>
    <w:rsid w:val="006144EF"/>
    <w:rsid w:val="00633172"/>
    <w:rsid w:val="0063413B"/>
    <w:rsid w:val="00634410"/>
    <w:rsid w:val="0063469E"/>
    <w:rsid w:val="006401A1"/>
    <w:rsid w:val="006461F2"/>
    <w:rsid w:val="00655562"/>
    <w:rsid w:val="00655ABB"/>
    <w:rsid w:val="0066063B"/>
    <w:rsid w:val="006A0351"/>
    <w:rsid w:val="006A7559"/>
    <w:rsid w:val="006C44C9"/>
    <w:rsid w:val="006D45C4"/>
    <w:rsid w:val="006E0817"/>
    <w:rsid w:val="006E41F8"/>
    <w:rsid w:val="006E670D"/>
    <w:rsid w:val="006E6ECA"/>
    <w:rsid w:val="006F3BCB"/>
    <w:rsid w:val="0070551E"/>
    <w:rsid w:val="00706722"/>
    <w:rsid w:val="007162BD"/>
    <w:rsid w:val="00737576"/>
    <w:rsid w:val="0074076E"/>
    <w:rsid w:val="00760D8C"/>
    <w:rsid w:val="0076584E"/>
    <w:rsid w:val="00765C0B"/>
    <w:rsid w:val="0077123F"/>
    <w:rsid w:val="00771B68"/>
    <w:rsid w:val="00772AA0"/>
    <w:rsid w:val="007802B2"/>
    <w:rsid w:val="00785407"/>
    <w:rsid w:val="007A1658"/>
    <w:rsid w:val="007A36F3"/>
    <w:rsid w:val="007A44E6"/>
    <w:rsid w:val="007D39B1"/>
    <w:rsid w:val="007D5EC2"/>
    <w:rsid w:val="00805734"/>
    <w:rsid w:val="00816543"/>
    <w:rsid w:val="008466CD"/>
    <w:rsid w:val="0086742F"/>
    <w:rsid w:val="00875BF9"/>
    <w:rsid w:val="008761ED"/>
    <w:rsid w:val="00877E46"/>
    <w:rsid w:val="0088155F"/>
    <w:rsid w:val="008A2562"/>
    <w:rsid w:val="008A40BF"/>
    <w:rsid w:val="008B1E3D"/>
    <w:rsid w:val="008B2FA0"/>
    <w:rsid w:val="008B6574"/>
    <w:rsid w:val="008C045B"/>
    <w:rsid w:val="008D494C"/>
    <w:rsid w:val="008D7CBE"/>
    <w:rsid w:val="008F11A5"/>
    <w:rsid w:val="008F380A"/>
    <w:rsid w:val="008F6EB2"/>
    <w:rsid w:val="0091392F"/>
    <w:rsid w:val="0091440F"/>
    <w:rsid w:val="00920750"/>
    <w:rsid w:val="00921591"/>
    <w:rsid w:val="00926B8C"/>
    <w:rsid w:val="00945D9E"/>
    <w:rsid w:val="0094773C"/>
    <w:rsid w:val="00957DB3"/>
    <w:rsid w:val="009653E5"/>
    <w:rsid w:val="00971C94"/>
    <w:rsid w:val="00993DD9"/>
    <w:rsid w:val="009A13B3"/>
    <w:rsid w:val="009A194E"/>
    <w:rsid w:val="009A2347"/>
    <w:rsid w:val="009A5852"/>
    <w:rsid w:val="009C148D"/>
    <w:rsid w:val="009C2844"/>
    <w:rsid w:val="009C5F3A"/>
    <w:rsid w:val="009E27A5"/>
    <w:rsid w:val="009E6CA4"/>
    <w:rsid w:val="009E749C"/>
    <w:rsid w:val="009F56EF"/>
    <w:rsid w:val="00A12F89"/>
    <w:rsid w:val="00A25E95"/>
    <w:rsid w:val="00A2788E"/>
    <w:rsid w:val="00A3359A"/>
    <w:rsid w:val="00A5743E"/>
    <w:rsid w:val="00A6387D"/>
    <w:rsid w:val="00A75CB9"/>
    <w:rsid w:val="00A80C7F"/>
    <w:rsid w:val="00A92C7A"/>
    <w:rsid w:val="00A938C4"/>
    <w:rsid w:val="00AA1A32"/>
    <w:rsid w:val="00AB081B"/>
    <w:rsid w:val="00ABDF25"/>
    <w:rsid w:val="00AC44BC"/>
    <w:rsid w:val="00AE0B82"/>
    <w:rsid w:val="00AF117C"/>
    <w:rsid w:val="00AF2251"/>
    <w:rsid w:val="00B00749"/>
    <w:rsid w:val="00B02838"/>
    <w:rsid w:val="00B077FA"/>
    <w:rsid w:val="00B3020A"/>
    <w:rsid w:val="00B406C6"/>
    <w:rsid w:val="00B4764D"/>
    <w:rsid w:val="00B54448"/>
    <w:rsid w:val="00B549FD"/>
    <w:rsid w:val="00B6789D"/>
    <w:rsid w:val="00B73572"/>
    <w:rsid w:val="00B7529E"/>
    <w:rsid w:val="00B80455"/>
    <w:rsid w:val="00B9160E"/>
    <w:rsid w:val="00B91DBF"/>
    <w:rsid w:val="00B96F05"/>
    <w:rsid w:val="00BB1528"/>
    <w:rsid w:val="00BB5AF0"/>
    <w:rsid w:val="00BE2C2F"/>
    <w:rsid w:val="00BF1380"/>
    <w:rsid w:val="00C018A8"/>
    <w:rsid w:val="00C115BB"/>
    <w:rsid w:val="00C13DBD"/>
    <w:rsid w:val="00C27B42"/>
    <w:rsid w:val="00C30832"/>
    <w:rsid w:val="00C379EE"/>
    <w:rsid w:val="00C42136"/>
    <w:rsid w:val="00C506B0"/>
    <w:rsid w:val="00C5637F"/>
    <w:rsid w:val="00C67402"/>
    <w:rsid w:val="00C90B82"/>
    <w:rsid w:val="00CA3ADD"/>
    <w:rsid w:val="00CB7CAD"/>
    <w:rsid w:val="00CC4EA1"/>
    <w:rsid w:val="00CC73F8"/>
    <w:rsid w:val="00CD246A"/>
    <w:rsid w:val="00CD66A1"/>
    <w:rsid w:val="00CE00DD"/>
    <w:rsid w:val="00CF0281"/>
    <w:rsid w:val="00CF3E74"/>
    <w:rsid w:val="00D0461C"/>
    <w:rsid w:val="00D07972"/>
    <w:rsid w:val="00D13C7A"/>
    <w:rsid w:val="00D140C8"/>
    <w:rsid w:val="00D32C5D"/>
    <w:rsid w:val="00D3574F"/>
    <w:rsid w:val="00D43BB7"/>
    <w:rsid w:val="00D4635C"/>
    <w:rsid w:val="00D61D1B"/>
    <w:rsid w:val="00D669D3"/>
    <w:rsid w:val="00D72440"/>
    <w:rsid w:val="00DA03C1"/>
    <w:rsid w:val="00DB426B"/>
    <w:rsid w:val="00DB7FDF"/>
    <w:rsid w:val="00DD08CD"/>
    <w:rsid w:val="00DE3995"/>
    <w:rsid w:val="00DF38B9"/>
    <w:rsid w:val="00DF7951"/>
    <w:rsid w:val="00E011DB"/>
    <w:rsid w:val="00E17EC6"/>
    <w:rsid w:val="00E23C85"/>
    <w:rsid w:val="00E24F82"/>
    <w:rsid w:val="00E2E0B1"/>
    <w:rsid w:val="00E40F59"/>
    <w:rsid w:val="00E419E6"/>
    <w:rsid w:val="00E43914"/>
    <w:rsid w:val="00E63335"/>
    <w:rsid w:val="00E8672D"/>
    <w:rsid w:val="00E91C5B"/>
    <w:rsid w:val="00E928C4"/>
    <w:rsid w:val="00E9754E"/>
    <w:rsid w:val="00EA3581"/>
    <w:rsid w:val="00EA5A42"/>
    <w:rsid w:val="00EB4100"/>
    <w:rsid w:val="00EB5D99"/>
    <w:rsid w:val="00EC7C60"/>
    <w:rsid w:val="00ED4A06"/>
    <w:rsid w:val="00F02C72"/>
    <w:rsid w:val="00F138CF"/>
    <w:rsid w:val="00F138E7"/>
    <w:rsid w:val="00F21F63"/>
    <w:rsid w:val="00F3269A"/>
    <w:rsid w:val="00F34054"/>
    <w:rsid w:val="00F475B1"/>
    <w:rsid w:val="00F50537"/>
    <w:rsid w:val="00F54C9F"/>
    <w:rsid w:val="00F64479"/>
    <w:rsid w:val="00F74316"/>
    <w:rsid w:val="00F852A6"/>
    <w:rsid w:val="00F90C32"/>
    <w:rsid w:val="00F918C6"/>
    <w:rsid w:val="00FA07ED"/>
    <w:rsid w:val="00FA2FB3"/>
    <w:rsid w:val="00FA3705"/>
    <w:rsid w:val="00FA5ED3"/>
    <w:rsid w:val="00FA6605"/>
    <w:rsid w:val="00FB015A"/>
    <w:rsid w:val="00FB228B"/>
    <w:rsid w:val="00FB3B71"/>
    <w:rsid w:val="00FC29AD"/>
    <w:rsid w:val="00FC2E29"/>
    <w:rsid w:val="00FC39B1"/>
    <w:rsid w:val="00FD0F74"/>
    <w:rsid w:val="00FE7683"/>
    <w:rsid w:val="00FE770E"/>
    <w:rsid w:val="00FF18A4"/>
    <w:rsid w:val="00FF4FDB"/>
    <w:rsid w:val="01064797"/>
    <w:rsid w:val="0107740C"/>
    <w:rsid w:val="010E9EC0"/>
    <w:rsid w:val="012313A8"/>
    <w:rsid w:val="01426CAF"/>
    <w:rsid w:val="014545C7"/>
    <w:rsid w:val="01692AC8"/>
    <w:rsid w:val="0173F373"/>
    <w:rsid w:val="017A0822"/>
    <w:rsid w:val="017B7436"/>
    <w:rsid w:val="017C3131"/>
    <w:rsid w:val="0187F91B"/>
    <w:rsid w:val="0188DD67"/>
    <w:rsid w:val="01903F7B"/>
    <w:rsid w:val="01A15698"/>
    <w:rsid w:val="01C0753F"/>
    <w:rsid w:val="01C54B55"/>
    <w:rsid w:val="01C5B704"/>
    <w:rsid w:val="01CF32DE"/>
    <w:rsid w:val="01D5096D"/>
    <w:rsid w:val="01E924B1"/>
    <w:rsid w:val="01F23BD1"/>
    <w:rsid w:val="01F2FF05"/>
    <w:rsid w:val="01F645D1"/>
    <w:rsid w:val="01F8F51E"/>
    <w:rsid w:val="01FD34DA"/>
    <w:rsid w:val="020534EF"/>
    <w:rsid w:val="020B07BA"/>
    <w:rsid w:val="02294DFE"/>
    <w:rsid w:val="023151C4"/>
    <w:rsid w:val="02355837"/>
    <w:rsid w:val="02583D92"/>
    <w:rsid w:val="02614FC7"/>
    <w:rsid w:val="0265DBD3"/>
    <w:rsid w:val="02693E4F"/>
    <w:rsid w:val="02696B57"/>
    <w:rsid w:val="026B85D8"/>
    <w:rsid w:val="026E94E4"/>
    <w:rsid w:val="026F5C8D"/>
    <w:rsid w:val="02714395"/>
    <w:rsid w:val="02836A3D"/>
    <w:rsid w:val="02867E41"/>
    <w:rsid w:val="02A74473"/>
    <w:rsid w:val="02B7794D"/>
    <w:rsid w:val="02B9EAA9"/>
    <w:rsid w:val="02BED7FC"/>
    <w:rsid w:val="02C064C7"/>
    <w:rsid w:val="02D40D39"/>
    <w:rsid w:val="02F01961"/>
    <w:rsid w:val="02F9051D"/>
    <w:rsid w:val="02FA55F2"/>
    <w:rsid w:val="02FD293B"/>
    <w:rsid w:val="03035935"/>
    <w:rsid w:val="03075D54"/>
    <w:rsid w:val="030AB566"/>
    <w:rsid w:val="031511C4"/>
    <w:rsid w:val="0319491C"/>
    <w:rsid w:val="03201276"/>
    <w:rsid w:val="03255B77"/>
    <w:rsid w:val="03265180"/>
    <w:rsid w:val="03294FB5"/>
    <w:rsid w:val="035B20F9"/>
    <w:rsid w:val="03617B21"/>
    <w:rsid w:val="037CA45A"/>
    <w:rsid w:val="038A3960"/>
    <w:rsid w:val="038C47B4"/>
    <w:rsid w:val="03900008"/>
    <w:rsid w:val="039B48C2"/>
    <w:rsid w:val="03AE260E"/>
    <w:rsid w:val="03B44A67"/>
    <w:rsid w:val="03B94246"/>
    <w:rsid w:val="03C055D4"/>
    <w:rsid w:val="03C350C4"/>
    <w:rsid w:val="03C3ADDD"/>
    <w:rsid w:val="03C50E3C"/>
    <w:rsid w:val="03C8500B"/>
    <w:rsid w:val="03DF9906"/>
    <w:rsid w:val="03E2554B"/>
    <w:rsid w:val="03E4053B"/>
    <w:rsid w:val="03EA2BC7"/>
    <w:rsid w:val="03ED1DF9"/>
    <w:rsid w:val="0410A62D"/>
    <w:rsid w:val="041E22FB"/>
    <w:rsid w:val="04223C6F"/>
    <w:rsid w:val="04341FCF"/>
    <w:rsid w:val="043F4DB2"/>
    <w:rsid w:val="044A30F0"/>
    <w:rsid w:val="0481A27F"/>
    <w:rsid w:val="04893B9D"/>
    <w:rsid w:val="04893FD9"/>
    <w:rsid w:val="049804D4"/>
    <w:rsid w:val="04ABFD96"/>
    <w:rsid w:val="04CEE5E0"/>
    <w:rsid w:val="04D03B8E"/>
    <w:rsid w:val="04D4FF79"/>
    <w:rsid w:val="04DCA74B"/>
    <w:rsid w:val="04F07245"/>
    <w:rsid w:val="04F15E75"/>
    <w:rsid w:val="0505191E"/>
    <w:rsid w:val="05143E2A"/>
    <w:rsid w:val="051680E6"/>
    <w:rsid w:val="05404C1F"/>
    <w:rsid w:val="0541481A"/>
    <w:rsid w:val="0549616D"/>
    <w:rsid w:val="054CEEDB"/>
    <w:rsid w:val="055CBC76"/>
    <w:rsid w:val="05685F23"/>
    <w:rsid w:val="056A253B"/>
    <w:rsid w:val="056C67D1"/>
    <w:rsid w:val="056FB8D0"/>
    <w:rsid w:val="05842E4B"/>
    <w:rsid w:val="058761A0"/>
    <w:rsid w:val="058A5E9A"/>
    <w:rsid w:val="058A67FB"/>
    <w:rsid w:val="058B03FB"/>
    <w:rsid w:val="059423F3"/>
    <w:rsid w:val="05972365"/>
    <w:rsid w:val="05A2319C"/>
    <w:rsid w:val="05A24814"/>
    <w:rsid w:val="05A33BA4"/>
    <w:rsid w:val="05A408D8"/>
    <w:rsid w:val="05AEF2C7"/>
    <w:rsid w:val="05AF6F38"/>
    <w:rsid w:val="05C0632E"/>
    <w:rsid w:val="05C50C80"/>
    <w:rsid w:val="05C55124"/>
    <w:rsid w:val="05EB2410"/>
    <w:rsid w:val="05EB9EC9"/>
    <w:rsid w:val="05EC26B0"/>
    <w:rsid w:val="05EC3993"/>
    <w:rsid w:val="06040D8D"/>
    <w:rsid w:val="060529AB"/>
    <w:rsid w:val="06165A96"/>
    <w:rsid w:val="06420D9F"/>
    <w:rsid w:val="064C3C4E"/>
    <w:rsid w:val="064C72EE"/>
    <w:rsid w:val="065207F9"/>
    <w:rsid w:val="06530982"/>
    <w:rsid w:val="065D535C"/>
    <w:rsid w:val="06635A4F"/>
    <w:rsid w:val="066C3BBC"/>
    <w:rsid w:val="06724876"/>
    <w:rsid w:val="067D7C84"/>
    <w:rsid w:val="06827FCF"/>
    <w:rsid w:val="06833EAC"/>
    <w:rsid w:val="068A641F"/>
    <w:rsid w:val="069845E6"/>
    <w:rsid w:val="06A2F2D1"/>
    <w:rsid w:val="06A92BB6"/>
    <w:rsid w:val="06A967F3"/>
    <w:rsid w:val="06B3728F"/>
    <w:rsid w:val="06D77A27"/>
    <w:rsid w:val="06D89B60"/>
    <w:rsid w:val="06F59E23"/>
    <w:rsid w:val="06FB340C"/>
    <w:rsid w:val="07135B7E"/>
    <w:rsid w:val="073B644C"/>
    <w:rsid w:val="073DA57D"/>
    <w:rsid w:val="0745605B"/>
    <w:rsid w:val="0749B316"/>
    <w:rsid w:val="07544F17"/>
    <w:rsid w:val="07546AE4"/>
    <w:rsid w:val="07577FFE"/>
    <w:rsid w:val="075DF47A"/>
    <w:rsid w:val="0775E2F5"/>
    <w:rsid w:val="078F7797"/>
    <w:rsid w:val="07921D85"/>
    <w:rsid w:val="0797489E"/>
    <w:rsid w:val="07A4F75D"/>
    <w:rsid w:val="07A544E4"/>
    <w:rsid w:val="07AE6B88"/>
    <w:rsid w:val="07B17E7F"/>
    <w:rsid w:val="07B44331"/>
    <w:rsid w:val="07B5EF5F"/>
    <w:rsid w:val="07B8FCBF"/>
    <w:rsid w:val="07B92A66"/>
    <w:rsid w:val="07DEC213"/>
    <w:rsid w:val="07E46F46"/>
    <w:rsid w:val="07EB62A7"/>
    <w:rsid w:val="07EE5120"/>
    <w:rsid w:val="0815A806"/>
    <w:rsid w:val="082C7699"/>
    <w:rsid w:val="0830695B"/>
    <w:rsid w:val="08327941"/>
    <w:rsid w:val="08350396"/>
    <w:rsid w:val="083909B7"/>
    <w:rsid w:val="083D1695"/>
    <w:rsid w:val="083FF4E0"/>
    <w:rsid w:val="08517143"/>
    <w:rsid w:val="08572C20"/>
    <w:rsid w:val="08709218"/>
    <w:rsid w:val="0879136E"/>
    <w:rsid w:val="087D3A94"/>
    <w:rsid w:val="087FFEBB"/>
    <w:rsid w:val="08883368"/>
    <w:rsid w:val="08A21697"/>
    <w:rsid w:val="08A67865"/>
    <w:rsid w:val="08A70B11"/>
    <w:rsid w:val="08ACD8E1"/>
    <w:rsid w:val="08B048CE"/>
    <w:rsid w:val="08B88788"/>
    <w:rsid w:val="08BD0C2A"/>
    <w:rsid w:val="08BD6FBA"/>
    <w:rsid w:val="08C3DA06"/>
    <w:rsid w:val="08C61754"/>
    <w:rsid w:val="08C72F61"/>
    <w:rsid w:val="08C84414"/>
    <w:rsid w:val="08D0E316"/>
    <w:rsid w:val="08D9EDA5"/>
    <w:rsid w:val="08E34252"/>
    <w:rsid w:val="08FEF9AA"/>
    <w:rsid w:val="090846D2"/>
    <w:rsid w:val="090B13BE"/>
    <w:rsid w:val="090B72F2"/>
    <w:rsid w:val="092A07FD"/>
    <w:rsid w:val="09487638"/>
    <w:rsid w:val="094C62C5"/>
    <w:rsid w:val="095BF7B2"/>
    <w:rsid w:val="09646EC3"/>
    <w:rsid w:val="09656095"/>
    <w:rsid w:val="09685B3F"/>
    <w:rsid w:val="097761E2"/>
    <w:rsid w:val="097A4477"/>
    <w:rsid w:val="098224D5"/>
    <w:rsid w:val="09969877"/>
    <w:rsid w:val="0996B0A0"/>
    <w:rsid w:val="09ACE049"/>
    <w:rsid w:val="09AF7ED3"/>
    <w:rsid w:val="09B003BF"/>
    <w:rsid w:val="09B54D16"/>
    <w:rsid w:val="09B94BC9"/>
    <w:rsid w:val="09C447EC"/>
    <w:rsid w:val="09C65520"/>
    <w:rsid w:val="09C7181F"/>
    <w:rsid w:val="09D33A45"/>
    <w:rsid w:val="09DC40CD"/>
    <w:rsid w:val="09E24940"/>
    <w:rsid w:val="09E73C9E"/>
    <w:rsid w:val="09EE41A9"/>
    <w:rsid w:val="09F61D50"/>
    <w:rsid w:val="0A023FB1"/>
    <w:rsid w:val="0A0524FF"/>
    <w:rsid w:val="0A1A1917"/>
    <w:rsid w:val="0A418FB5"/>
    <w:rsid w:val="0A456833"/>
    <w:rsid w:val="0A4A1C71"/>
    <w:rsid w:val="0A4C5E14"/>
    <w:rsid w:val="0A584EDD"/>
    <w:rsid w:val="0A714E39"/>
    <w:rsid w:val="0A9652E1"/>
    <w:rsid w:val="0A9D9E7F"/>
    <w:rsid w:val="0AB3D8E2"/>
    <w:rsid w:val="0ACF0E24"/>
    <w:rsid w:val="0AD331DB"/>
    <w:rsid w:val="0ADA14C3"/>
    <w:rsid w:val="0AFAFCBA"/>
    <w:rsid w:val="0B000EA0"/>
    <w:rsid w:val="0B025F8A"/>
    <w:rsid w:val="0B08E02A"/>
    <w:rsid w:val="0B0B182B"/>
    <w:rsid w:val="0B1124CA"/>
    <w:rsid w:val="0B125720"/>
    <w:rsid w:val="0B187AA4"/>
    <w:rsid w:val="0B188DC8"/>
    <w:rsid w:val="0B195D46"/>
    <w:rsid w:val="0B4E6D74"/>
    <w:rsid w:val="0B5C5BE2"/>
    <w:rsid w:val="0B621B88"/>
    <w:rsid w:val="0B680F31"/>
    <w:rsid w:val="0B697C51"/>
    <w:rsid w:val="0B6B9D4A"/>
    <w:rsid w:val="0B7C6AF2"/>
    <w:rsid w:val="0B7E23FE"/>
    <w:rsid w:val="0B839FF4"/>
    <w:rsid w:val="0B8909A2"/>
    <w:rsid w:val="0B925CD6"/>
    <w:rsid w:val="0B981739"/>
    <w:rsid w:val="0BA03268"/>
    <w:rsid w:val="0BA8B793"/>
    <w:rsid w:val="0BAA0CD5"/>
    <w:rsid w:val="0BB07001"/>
    <w:rsid w:val="0BC67500"/>
    <w:rsid w:val="0BD73CBC"/>
    <w:rsid w:val="0BE030F6"/>
    <w:rsid w:val="0BE37AEB"/>
    <w:rsid w:val="0BEE04F1"/>
    <w:rsid w:val="0C0149DC"/>
    <w:rsid w:val="0C083A17"/>
    <w:rsid w:val="0C247C06"/>
    <w:rsid w:val="0C27476C"/>
    <w:rsid w:val="0C281F69"/>
    <w:rsid w:val="0C3138F2"/>
    <w:rsid w:val="0C37645B"/>
    <w:rsid w:val="0C4F9DEE"/>
    <w:rsid w:val="0C536778"/>
    <w:rsid w:val="0C760F26"/>
    <w:rsid w:val="0C802428"/>
    <w:rsid w:val="0C80D4E4"/>
    <w:rsid w:val="0C867E84"/>
    <w:rsid w:val="0C873133"/>
    <w:rsid w:val="0C9A043B"/>
    <w:rsid w:val="0C9F5372"/>
    <w:rsid w:val="0CAE5BAA"/>
    <w:rsid w:val="0CB101B0"/>
    <w:rsid w:val="0CBB6BE8"/>
    <w:rsid w:val="0CBBFF6D"/>
    <w:rsid w:val="0CBC1FC1"/>
    <w:rsid w:val="0CBD528E"/>
    <w:rsid w:val="0CBD641D"/>
    <w:rsid w:val="0CBFBBAF"/>
    <w:rsid w:val="0CC20155"/>
    <w:rsid w:val="0CC60959"/>
    <w:rsid w:val="0CC87E3F"/>
    <w:rsid w:val="0CCF9180"/>
    <w:rsid w:val="0CD3F73B"/>
    <w:rsid w:val="0CD56030"/>
    <w:rsid w:val="0CD7FE18"/>
    <w:rsid w:val="0CDD4C0F"/>
    <w:rsid w:val="0CDDA5E3"/>
    <w:rsid w:val="0CDEDEC9"/>
    <w:rsid w:val="0CDEE27F"/>
    <w:rsid w:val="0CF10092"/>
    <w:rsid w:val="0CFC62B0"/>
    <w:rsid w:val="0CFE46F5"/>
    <w:rsid w:val="0D1296F6"/>
    <w:rsid w:val="0D1CDC59"/>
    <w:rsid w:val="0D1EC191"/>
    <w:rsid w:val="0D22DB8F"/>
    <w:rsid w:val="0D240856"/>
    <w:rsid w:val="0D2E9B77"/>
    <w:rsid w:val="0D343FB5"/>
    <w:rsid w:val="0D577C31"/>
    <w:rsid w:val="0D5ACE1F"/>
    <w:rsid w:val="0D635DFE"/>
    <w:rsid w:val="0D660F9A"/>
    <w:rsid w:val="0D7330E0"/>
    <w:rsid w:val="0D8BADDF"/>
    <w:rsid w:val="0D8BBC86"/>
    <w:rsid w:val="0D914272"/>
    <w:rsid w:val="0D9E6A1D"/>
    <w:rsid w:val="0DA41446"/>
    <w:rsid w:val="0DA97225"/>
    <w:rsid w:val="0DAB113A"/>
    <w:rsid w:val="0DAC18E5"/>
    <w:rsid w:val="0DBB1095"/>
    <w:rsid w:val="0DBB583A"/>
    <w:rsid w:val="0DC14423"/>
    <w:rsid w:val="0DD20E2F"/>
    <w:rsid w:val="0DDA54E4"/>
    <w:rsid w:val="0DDA7292"/>
    <w:rsid w:val="0DDB0644"/>
    <w:rsid w:val="0DE93979"/>
    <w:rsid w:val="0DFA16E3"/>
    <w:rsid w:val="0DFD0AAA"/>
    <w:rsid w:val="0E03C9A2"/>
    <w:rsid w:val="0E0435FA"/>
    <w:rsid w:val="0E0C14D7"/>
    <w:rsid w:val="0E0D7668"/>
    <w:rsid w:val="0E146C48"/>
    <w:rsid w:val="0E1747B9"/>
    <w:rsid w:val="0E177BEB"/>
    <w:rsid w:val="0E236E8B"/>
    <w:rsid w:val="0E323572"/>
    <w:rsid w:val="0E325320"/>
    <w:rsid w:val="0E444737"/>
    <w:rsid w:val="0E4663FF"/>
    <w:rsid w:val="0E477FDC"/>
    <w:rsid w:val="0E4A6F8F"/>
    <w:rsid w:val="0E4B63E2"/>
    <w:rsid w:val="0E4E1F6E"/>
    <w:rsid w:val="0E51BB07"/>
    <w:rsid w:val="0E611762"/>
    <w:rsid w:val="0E6FDF6C"/>
    <w:rsid w:val="0E703427"/>
    <w:rsid w:val="0E810B50"/>
    <w:rsid w:val="0E816103"/>
    <w:rsid w:val="0E8518F4"/>
    <w:rsid w:val="0E9030E8"/>
    <w:rsid w:val="0E981627"/>
    <w:rsid w:val="0E9AD7D7"/>
    <w:rsid w:val="0EA1BF33"/>
    <w:rsid w:val="0EA578A0"/>
    <w:rsid w:val="0EB17272"/>
    <w:rsid w:val="0EC3782D"/>
    <w:rsid w:val="0EC83C07"/>
    <w:rsid w:val="0ED53CEF"/>
    <w:rsid w:val="0EDA7469"/>
    <w:rsid w:val="0EDA7E38"/>
    <w:rsid w:val="0EF67123"/>
    <w:rsid w:val="0F0FDA25"/>
    <w:rsid w:val="0F1B37D6"/>
    <w:rsid w:val="0F1BC36B"/>
    <w:rsid w:val="0F1F6A0C"/>
    <w:rsid w:val="0F2491E4"/>
    <w:rsid w:val="0F271BDE"/>
    <w:rsid w:val="0F3C640E"/>
    <w:rsid w:val="0F4C0664"/>
    <w:rsid w:val="0F4D06AA"/>
    <w:rsid w:val="0F4E6697"/>
    <w:rsid w:val="0F4F6566"/>
    <w:rsid w:val="0F5A4B2F"/>
    <w:rsid w:val="0F67273C"/>
    <w:rsid w:val="0F6B6D3C"/>
    <w:rsid w:val="0F7008EC"/>
    <w:rsid w:val="0F7658DF"/>
    <w:rsid w:val="0F7E72D6"/>
    <w:rsid w:val="0F814668"/>
    <w:rsid w:val="0F8B2683"/>
    <w:rsid w:val="0F90629F"/>
    <w:rsid w:val="0F98AB0D"/>
    <w:rsid w:val="0FA07BF0"/>
    <w:rsid w:val="0FA67D74"/>
    <w:rsid w:val="0FA718CA"/>
    <w:rsid w:val="0FBF9FDF"/>
    <w:rsid w:val="0FC1695C"/>
    <w:rsid w:val="0FE91A0F"/>
    <w:rsid w:val="0FEB3414"/>
    <w:rsid w:val="0FF2B1E2"/>
    <w:rsid w:val="0FF5777B"/>
    <w:rsid w:val="0FF7412C"/>
    <w:rsid w:val="0FFA1721"/>
    <w:rsid w:val="10063AF0"/>
    <w:rsid w:val="100B5E29"/>
    <w:rsid w:val="102173FB"/>
    <w:rsid w:val="1023C548"/>
    <w:rsid w:val="10303EF6"/>
    <w:rsid w:val="103277EA"/>
    <w:rsid w:val="104C2B62"/>
    <w:rsid w:val="1058DEF7"/>
    <w:rsid w:val="10610E39"/>
    <w:rsid w:val="10613C9B"/>
    <w:rsid w:val="10616548"/>
    <w:rsid w:val="10636C23"/>
    <w:rsid w:val="1066331F"/>
    <w:rsid w:val="106F043F"/>
    <w:rsid w:val="1075568E"/>
    <w:rsid w:val="107D09CD"/>
    <w:rsid w:val="10883F79"/>
    <w:rsid w:val="10924579"/>
    <w:rsid w:val="10943B9E"/>
    <w:rsid w:val="10A1FCCA"/>
    <w:rsid w:val="10A5627E"/>
    <w:rsid w:val="10B21E6B"/>
    <w:rsid w:val="10BF10E1"/>
    <w:rsid w:val="10C02CE5"/>
    <w:rsid w:val="10CA24CD"/>
    <w:rsid w:val="10CA6BDF"/>
    <w:rsid w:val="10D92F90"/>
    <w:rsid w:val="10DC5DED"/>
    <w:rsid w:val="10E0DECD"/>
    <w:rsid w:val="10E80DB9"/>
    <w:rsid w:val="10EA358D"/>
    <w:rsid w:val="10FA3765"/>
    <w:rsid w:val="110034B4"/>
    <w:rsid w:val="110F0C5D"/>
    <w:rsid w:val="1111121D"/>
    <w:rsid w:val="111E4A8C"/>
    <w:rsid w:val="112226B1"/>
    <w:rsid w:val="1133139B"/>
    <w:rsid w:val="11442FA5"/>
    <w:rsid w:val="11477304"/>
    <w:rsid w:val="114AEDCD"/>
    <w:rsid w:val="1150CF80"/>
    <w:rsid w:val="11588962"/>
    <w:rsid w:val="11592BC4"/>
    <w:rsid w:val="115DB4E4"/>
    <w:rsid w:val="116003F7"/>
    <w:rsid w:val="117228EA"/>
    <w:rsid w:val="11778C79"/>
    <w:rsid w:val="1178E983"/>
    <w:rsid w:val="117D2D56"/>
    <w:rsid w:val="11832BB6"/>
    <w:rsid w:val="11847C8F"/>
    <w:rsid w:val="11951E4E"/>
    <w:rsid w:val="11AB6154"/>
    <w:rsid w:val="11ACF26D"/>
    <w:rsid w:val="11B18F03"/>
    <w:rsid w:val="11CC5B02"/>
    <w:rsid w:val="11DE6DEF"/>
    <w:rsid w:val="11E14759"/>
    <w:rsid w:val="11E539C8"/>
    <w:rsid w:val="11EE77B0"/>
    <w:rsid w:val="11F456DF"/>
    <w:rsid w:val="11F4FB65"/>
    <w:rsid w:val="1200898F"/>
    <w:rsid w:val="121E634A"/>
    <w:rsid w:val="1227BC91"/>
    <w:rsid w:val="12280F14"/>
    <w:rsid w:val="122F3A33"/>
    <w:rsid w:val="12303925"/>
    <w:rsid w:val="123C6045"/>
    <w:rsid w:val="123D3879"/>
    <w:rsid w:val="12400185"/>
    <w:rsid w:val="12456210"/>
    <w:rsid w:val="124D4697"/>
    <w:rsid w:val="12555A81"/>
    <w:rsid w:val="125952EF"/>
    <w:rsid w:val="12606BAD"/>
    <w:rsid w:val="126804C1"/>
    <w:rsid w:val="1271BAEA"/>
    <w:rsid w:val="12790D5E"/>
    <w:rsid w:val="127DB617"/>
    <w:rsid w:val="127E427A"/>
    <w:rsid w:val="12841571"/>
    <w:rsid w:val="1290ACF5"/>
    <w:rsid w:val="12A460C1"/>
    <w:rsid w:val="12AD53DD"/>
    <w:rsid w:val="12BE7183"/>
    <w:rsid w:val="12D469A6"/>
    <w:rsid w:val="12E06230"/>
    <w:rsid w:val="12E0C5AD"/>
    <w:rsid w:val="12E34E3B"/>
    <w:rsid w:val="12FC3703"/>
    <w:rsid w:val="13074565"/>
    <w:rsid w:val="131975CD"/>
    <w:rsid w:val="131C0C86"/>
    <w:rsid w:val="131C510B"/>
    <w:rsid w:val="131DC35C"/>
    <w:rsid w:val="13263DDA"/>
    <w:rsid w:val="132F4724"/>
    <w:rsid w:val="133AED0E"/>
    <w:rsid w:val="133E6881"/>
    <w:rsid w:val="1344693C"/>
    <w:rsid w:val="134726C1"/>
    <w:rsid w:val="1348287D"/>
    <w:rsid w:val="134859F0"/>
    <w:rsid w:val="135CCC21"/>
    <w:rsid w:val="13682D59"/>
    <w:rsid w:val="136BB711"/>
    <w:rsid w:val="13728176"/>
    <w:rsid w:val="1376437D"/>
    <w:rsid w:val="137A4B4D"/>
    <w:rsid w:val="137B5E71"/>
    <w:rsid w:val="137CAD7A"/>
    <w:rsid w:val="13857A4F"/>
    <w:rsid w:val="138E8152"/>
    <w:rsid w:val="1393C86B"/>
    <w:rsid w:val="139438C0"/>
    <w:rsid w:val="13957485"/>
    <w:rsid w:val="1395E270"/>
    <w:rsid w:val="13985812"/>
    <w:rsid w:val="139BC2A0"/>
    <w:rsid w:val="139D362F"/>
    <w:rsid w:val="139E2B2E"/>
    <w:rsid w:val="13A77A48"/>
    <w:rsid w:val="13B79654"/>
    <w:rsid w:val="13CA1B57"/>
    <w:rsid w:val="13D80718"/>
    <w:rsid w:val="13DD5586"/>
    <w:rsid w:val="13FACB89"/>
    <w:rsid w:val="1408305F"/>
    <w:rsid w:val="140AF4A9"/>
    <w:rsid w:val="140F8CA5"/>
    <w:rsid w:val="14151024"/>
    <w:rsid w:val="1416C12C"/>
    <w:rsid w:val="141775CD"/>
    <w:rsid w:val="14189D90"/>
    <w:rsid w:val="141CC28D"/>
    <w:rsid w:val="1424D884"/>
    <w:rsid w:val="1432DA78"/>
    <w:rsid w:val="14357918"/>
    <w:rsid w:val="144B046B"/>
    <w:rsid w:val="144E2788"/>
    <w:rsid w:val="146514B9"/>
    <w:rsid w:val="1467D2E4"/>
    <w:rsid w:val="1487E7EE"/>
    <w:rsid w:val="148DE02B"/>
    <w:rsid w:val="149A3C1F"/>
    <w:rsid w:val="149E71BF"/>
    <w:rsid w:val="14A27AD7"/>
    <w:rsid w:val="14B10152"/>
    <w:rsid w:val="14BB69D6"/>
    <w:rsid w:val="14BCB79D"/>
    <w:rsid w:val="14C44852"/>
    <w:rsid w:val="14C5821C"/>
    <w:rsid w:val="14C9675F"/>
    <w:rsid w:val="14CD5CAC"/>
    <w:rsid w:val="14D1B6D4"/>
    <w:rsid w:val="14D51A25"/>
    <w:rsid w:val="14F377D6"/>
    <w:rsid w:val="150317C5"/>
    <w:rsid w:val="1505092F"/>
    <w:rsid w:val="15052C03"/>
    <w:rsid w:val="150D43F1"/>
    <w:rsid w:val="1511876B"/>
    <w:rsid w:val="15212EE4"/>
    <w:rsid w:val="152D6842"/>
    <w:rsid w:val="153D09F8"/>
    <w:rsid w:val="15477DF4"/>
    <w:rsid w:val="1552443C"/>
    <w:rsid w:val="1554EC2C"/>
    <w:rsid w:val="15691B03"/>
    <w:rsid w:val="1583B868"/>
    <w:rsid w:val="159C27E8"/>
    <w:rsid w:val="15C727F2"/>
    <w:rsid w:val="15E1B602"/>
    <w:rsid w:val="15E30178"/>
    <w:rsid w:val="15E73FF8"/>
    <w:rsid w:val="15F829AC"/>
    <w:rsid w:val="1603B762"/>
    <w:rsid w:val="1603D7A9"/>
    <w:rsid w:val="1604AEE3"/>
    <w:rsid w:val="16092931"/>
    <w:rsid w:val="160D6572"/>
    <w:rsid w:val="161B18F3"/>
    <w:rsid w:val="161D68B6"/>
    <w:rsid w:val="1622DC30"/>
    <w:rsid w:val="164F65E2"/>
    <w:rsid w:val="16526176"/>
    <w:rsid w:val="1664329C"/>
    <w:rsid w:val="166603FD"/>
    <w:rsid w:val="166C5F3C"/>
    <w:rsid w:val="1676A1DD"/>
    <w:rsid w:val="167E7FD9"/>
    <w:rsid w:val="16846935"/>
    <w:rsid w:val="168C8298"/>
    <w:rsid w:val="16A70BA6"/>
    <w:rsid w:val="16A8E0D5"/>
    <w:rsid w:val="16AB0C66"/>
    <w:rsid w:val="16AD7488"/>
    <w:rsid w:val="16AF39B2"/>
    <w:rsid w:val="16AF957F"/>
    <w:rsid w:val="16C2775D"/>
    <w:rsid w:val="16CF196C"/>
    <w:rsid w:val="16D503A7"/>
    <w:rsid w:val="16D9538A"/>
    <w:rsid w:val="16EC5F00"/>
    <w:rsid w:val="16F05A82"/>
    <w:rsid w:val="16F969DB"/>
    <w:rsid w:val="17016885"/>
    <w:rsid w:val="1702612F"/>
    <w:rsid w:val="17081314"/>
    <w:rsid w:val="1711F32B"/>
    <w:rsid w:val="17164088"/>
    <w:rsid w:val="171C5980"/>
    <w:rsid w:val="17275485"/>
    <w:rsid w:val="17286F5E"/>
    <w:rsid w:val="172B3933"/>
    <w:rsid w:val="17343007"/>
    <w:rsid w:val="1739BC9E"/>
    <w:rsid w:val="173DF66F"/>
    <w:rsid w:val="1745ACAB"/>
    <w:rsid w:val="174A3E64"/>
    <w:rsid w:val="175BC7E6"/>
    <w:rsid w:val="176A9268"/>
    <w:rsid w:val="1778398E"/>
    <w:rsid w:val="177E126D"/>
    <w:rsid w:val="178D06F8"/>
    <w:rsid w:val="178D3BE3"/>
    <w:rsid w:val="178FC66C"/>
    <w:rsid w:val="179E57D5"/>
    <w:rsid w:val="17A93922"/>
    <w:rsid w:val="17AD207C"/>
    <w:rsid w:val="17B22EE3"/>
    <w:rsid w:val="17B4B9BC"/>
    <w:rsid w:val="17BE1FD3"/>
    <w:rsid w:val="17CA303B"/>
    <w:rsid w:val="17D87752"/>
    <w:rsid w:val="17D905BB"/>
    <w:rsid w:val="17E3B181"/>
    <w:rsid w:val="17E4E6CE"/>
    <w:rsid w:val="17EAC7C8"/>
    <w:rsid w:val="17EB1C08"/>
    <w:rsid w:val="17EB6C6C"/>
    <w:rsid w:val="17FEE927"/>
    <w:rsid w:val="18022D5B"/>
    <w:rsid w:val="18047D2E"/>
    <w:rsid w:val="1806208F"/>
    <w:rsid w:val="1814168B"/>
    <w:rsid w:val="181C57C5"/>
    <w:rsid w:val="181FA7F9"/>
    <w:rsid w:val="18221F62"/>
    <w:rsid w:val="18267CA4"/>
    <w:rsid w:val="1828203D"/>
    <w:rsid w:val="182A6820"/>
    <w:rsid w:val="18374767"/>
    <w:rsid w:val="18417F50"/>
    <w:rsid w:val="184F676E"/>
    <w:rsid w:val="1855A53F"/>
    <w:rsid w:val="18563314"/>
    <w:rsid w:val="185D14BF"/>
    <w:rsid w:val="185D2F9A"/>
    <w:rsid w:val="187D363C"/>
    <w:rsid w:val="188D3051"/>
    <w:rsid w:val="188D3DAC"/>
    <w:rsid w:val="18A32E5C"/>
    <w:rsid w:val="18A8C86F"/>
    <w:rsid w:val="18B407D6"/>
    <w:rsid w:val="18B6E442"/>
    <w:rsid w:val="18BA4890"/>
    <w:rsid w:val="18BE705E"/>
    <w:rsid w:val="18C4B1F5"/>
    <w:rsid w:val="18CA2022"/>
    <w:rsid w:val="18CF4759"/>
    <w:rsid w:val="18DC4807"/>
    <w:rsid w:val="18E1D076"/>
    <w:rsid w:val="18F0FBF9"/>
    <w:rsid w:val="190243BA"/>
    <w:rsid w:val="1911DC4A"/>
    <w:rsid w:val="1917048D"/>
    <w:rsid w:val="1918C681"/>
    <w:rsid w:val="19217623"/>
    <w:rsid w:val="192B5C54"/>
    <w:rsid w:val="1939C584"/>
    <w:rsid w:val="19652F25"/>
    <w:rsid w:val="196921B0"/>
    <w:rsid w:val="1977008B"/>
    <w:rsid w:val="197F0DB4"/>
    <w:rsid w:val="19882298"/>
    <w:rsid w:val="1988673C"/>
    <w:rsid w:val="199AD3CC"/>
    <w:rsid w:val="19ACFB7A"/>
    <w:rsid w:val="19CC4420"/>
    <w:rsid w:val="19D11004"/>
    <w:rsid w:val="19D90D46"/>
    <w:rsid w:val="19E66D52"/>
    <w:rsid w:val="19E69728"/>
    <w:rsid w:val="19EA2E38"/>
    <w:rsid w:val="1A006F8E"/>
    <w:rsid w:val="1A089059"/>
    <w:rsid w:val="1A10072D"/>
    <w:rsid w:val="1A12D921"/>
    <w:rsid w:val="1A140591"/>
    <w:rsid w:val="1A5B3459"/>
    <w:rsid w:val="1A68DFBF"/>
    <w:rsid w:val="1A890F11"/>
    <w:rsid w:val="1A90AD7D"/>
    <w:rsid w:val="1A9A0036"/>
    <w:rsid w:val="1A9C8F89"/>
    <w:rsid w:val="1AA75D66"/>
    <w:rsid w:val="1ABF1101"/>
    <w:rsid w:val="1ABF7F3C"/>
    <w:rsid w:val="1AC49993"/>
    <w:rsid w:val="1AC5F6D5"/>
    <w:rsid w:val="1AC606BA"/>
    <w:rsid w:val="1AC87E67"/>
    <w:rsid w:val="1AD4113C"/>
    <w:rsid w:val="1AFFAAA4"/>
    <w:rsid w:val="1B010352"/>
    <w:rsid w:val="1B022284"/>
    <w:rsid w:val="1B0F0A3C"/>
    <w:rsid w:val="1B105BE7"/>
    <w:rsid w:val="1B1B3AA4"/>
    <w:rsid w:val="1B1F06DE"/>
    <w:rsid w:val="1B2D1349"/>
    <w:rsid w:val="1B365F16"/>
    <w:rsid w:val="1B37627A"/>
    <w:rsid w:val="1B3A5814"/>
    <w:rsid w:val="1B476781"/>
    <w:rsid w:val="1B5124E5"/>
    <w:rsid w:val="1B58F0A5"/>
    <w:rsid w:val="1B5ABF7E"/>
    <w:rsid w:val="1B5B5677"/>
    <w:rsid w:val="1B5D63F1"/>
    <w:rsid w:val="1B5FF685"/>
    <w:rsid w:val="1B6A0FA0"/>
    <w:rsid w:val="1B6B1E72"/>
    <w:rsid w:val="1B6C6A37"/>
    <w:rsid w:val="1B6D5BEA"/>
    <w:rsid w:val="1B711A26"/>
    <w:rsid w:val="1B71B58F"/>
    <w:rsid w:val="1B845191"/>
    <w:rsid w:val="1B8F5196"/>
    <w:rsid w:val="1B96212D"/>
    <w:rsid w:val="1BB6133F"/>
    <w:rsid w:val="1BB6E69A"/>
    <w:rsid w:val="1BBE47DE"/>
    <w:rsid w:val="1BC52965"/>
    <w:rsid w:val="1BD6553D"/>
    <w:rsid w:val="1BDC4569"/>
    <w:rsid w:val="1BE4D268"/>
    <w:rsid w:val="1BE8374D"/>
    <w:rsid w:val="1BE88966"/>
    <w:rsid w:val="1C18DF21"/>
    <w:rsid w:val="1C262893"/>
    <w:rsid w:val="1C2A1DD1"/>
    <w:rsid w:val="1C34792E"/>
    <w:rsid w:val="1C4E2C41"/>
    <w:rsid w:val="1C566F8A"/>
    <w:rsid w:val="1C69738D"/>
    <w:rsid w:val="1C6D118D"/>
    <w:rsid w:val="1C7B0D40"/>
    <w:rsid w:val="1C7E141E"/>
    <w:rsid w:val="1C81448A"/>
    <w:rsid w:val="1C850D11"/>
    <w:rsid w:val="1C89B633"/>
    <w:rsid w:val="1C8C6544"/>
    <w:rsid w:val="1C931FBB"/>
    <w:rsid w:val="1CB11AE1"/>
    <w:rsid w:val="1CB5FFCD"/>
    <w:rsid w:val="1CD852E5"/>
    <w:rsid w:val="1D00A66C"/>
    <w:rsid w:val="1D104A7F"/>
    <w:rsid w:val="1D308800"/>
    <w:rsid w:val="1D3A5E9C"/>
    <w:rsid w:val="1D3C644B"/>
    <w:rsid w:val="1D400F71"/>
    <w:rsid w:val="1D43BC39"/>
    <w:rsid w:val="1D4FCA58"/>
    <w:rsid w:val="1D54745C"/>
    <w:rsid w:val="1D6445C8"/>
    <w:rsid w:val="1D7575D7"/>
    <w:rsid w:val="1D772D50"/>
    <w:rsid w:val="1D7B2840"/>
    <w:rsid w:val="1DA247AB"/>
    <w:rsid w:val="1DAE65D1"/>
    <w:rsid w:val="1DB5290F"/>
    <w:rsid w:val="1DB7314C"/>
    <w:rsid w:val="1DC40A44"/>
    <w:rsid w:val="1DC43FD0"/>
    <w:rsid w:val="1DDC1E3E"/>
    <w:rsid w:val="1DEA7E9E"/>
    <w:rsid w:val="1DF2058A"/>
    <w:rsid w:val="1DF345FD"/>
    <w:rsid w:val="1DF5885F"/>
    <w:rsid w:val="1E2819FD"/>
    <w:rsid w:val="1E2C59B7"/>
    <w:rsid w:val="1E2E1F63"/>
    <w:rsid w:val="1E3834F3"/>
    <w:rsid w:val="1E386227"/>
    <w:rsid w:val="1E432C32"/>
    <w:rsid w:val="1E5162CD"/>
    <w:rsid w:val="1E54477C"/>
    <w:rsid w:val="1E547103"/>
    <w:rsid w:val="1E55CA95"/>
    <w:rsid w:val="1E5F2EE5"/>
    <w:rsid w:val="1E6257AE"/>
    <w:rsid w:val="1E66AFCC"/>
    <w:rsid w:val="1E714A16"/>
    <w:rsid w:val="1E722C82"/>
    <w:rsid w:val="1E812727"/>
    <w:rsid w:val="1E82B105"/>
    <w:rsid w:val="1E846D97"/>
    <w:rsid w:val="1E873A9A"/>
    <w:rsid w:val="1E8C67C8"/>
    <w:rsid w:val="1E94F1FE"/>
    <w:rsid w:val="1EA74FD3"/>
    <w:rsid w:val="1EA807B3"/>
    <w:rsid w:val="1EB83620"/>
    <w:rsid w:val="1EB86AB5"/>
    <w:rsid w:val="1EBF71EB"/>
    <w:rsid w:val="1EE939EA"/>
    <w:rsid w:val="1EFAE344"/>
    <w:rsid w:val="1F122DE6"/>
    <w:rsid w:val="1F1D7927"/>
    <w:rsid w:val="1F240EFD"/>
    <w:rsid w:val="1F25A37C"/>
    <w:rsid w:val="1F291E6D"/>
    <w:rsid w:val="1F2C0D01"/>
    <w:rsid w:val="1F3248F5"/>
    <w:rsid w:val="1F36364B"/>
    <w:rsid w:val="1F37CB53"/>
    <w:rsid w:val="1F54ED26"/>
    <w:rsid w:val="1F6F3B78"/>
    <w:rsid w:val="1F7A4080"/>
    <w:rsid w:val="1F8A7462"/>
    <w:rsid w:val="1F9B4EE5"/>
    <w:rsid w:val="1FA2554B"/>
    <w:rsid w:val="1FA96F7C"/>
    <w:rsid w:val="1FB1EE0B"/>
    <w:rsid w:val="1FB43DE7"/>
    <w:rsid w:val="1FB4618F"/>
    <w:rsid w:val="1FB5494E"/>
    <w:rsid w:val="1FBD0103"/>
    <w:rsid w:val="1FC3176A"/>
    <w:rsid w:val="1FC55FF4"/>
    <w:rsid w:val="1FC627AA"/>
    <w:rsid w:val="1FCA1805"/>
    <w:rsid w:val="1FDDEA10"/>
    <w:rsid w:val="1FEF3C46"/>
    <w:rsid w:val="1FF57984"/>
    <w:rsid w:val="1FFA5DB8"/>
    <w:rsid w:val="20084A47"/>
    <w:rsid w:val="200A3A07"/>
    <w:rsid w:val="201328ED"/>
    <w:rsid w:val="201E0278"/>
    <w:rsid w:val="201F6E95"/>
    <w:rsid w:val="202219A2"/>
    <w:rsid w:val="20277B3E"/>
    <w:rsid w:val="2029589F"/>
    <w:rsid w:val="202D3F33"/>
    <w:rsid w:val="203F2BE2"/>
    <w:rsid w:val="20414BBC"/>
    <w:rsid w:val="20452C91"/>
    <w:rsid w:val="20490E7D"/>
    <w:rsid w:val="2053D696"/>
    <w:rsid w:val="20622EA9"/>
    <w:rsid w:val="207E7DD6"/>
    <w:rsid w:val="207F330F"/>
    <w:rsid w:val="20835D6F"/>
    <w:rsid w:val="208F2B0A"/>
    <w:rsid w:val="20905D66"/>
    <w:rsid w:val="209DB17D"/>
    <w:rsid w:val="20A110A6"/>
    <w:rsid w:val="20A3B073"/>
    <w:rsid w:val="20A3F0F6"/>
    <w:rsid w:val="20B80449"/>
    <w:rsid w:val="20C067BC"/>
    <w:rsid w:val="20C67F20"/>
    <w:rsid w:val="20C897F3"/>
    <w:rsid w:val="20C8CDF1"/>
    <w:rsid w:val="20CD3CBC"/>
    <w:rsid w:val="20D800EF"/>
    <w:rsid w:val="20DAA999"/>
    <w:rsid w:val="20DC3AD0"/>
    <w:rsid w:val="2107261C"/>
    <w:rsid w:val="211F2419"/>
    <w:rsid w:val="212154AC"/>
    <w:rsid w:val="212E2F4C"/>
    <w:rsid w:val="214253C9"/>
    <w:rsid w:val="214B42D7"/>
    <w:rsid w:val="2152FCBA"/>
    <w:rsid w:val="2156CA60"/>
    <w:rsid w:val="21577C0D"/>
    <w:rsid w:val="2162E25E"/>
    <w:rsid w:val="218A33B2"/>
    <w:rsid w:val="219008F8"/>
    <w:rsid w:val="21943087"/>
    <w:rsid w:val="2196789E"/>
    <w:rsid w:val="21971914"/>
    <w:rsid w:val="219E134A"/>
    <w:rsid w:val="21A2A630"/>
    <w:rsid w:val="21A32365"/>
    <w:rsid w:val="21B90D6F"/>
    <w:rsid w:val="21C0C6EE"/>
    <w:rsid w:val="21C0F6E8"/>
    <w:rsid w:val="21CC3CDF"/>
    <w:rsid w:val="21D72692"/>
    <w:rsid w:val="21D85FF2"/>
    <w:rsid w:val="21F53FC1"/>
    <w:rsid w:val="21F6010A"/>
    <w:rsid w:val="21F77D3A"/>
    <w:rsid w:val="220155D3"/>
    <w:rsid w:val="220F6455"/>
    <w:rsid w:val="221943D6"/>
    <w:rsid w:val="222A65E3"/>
    <w:rsid w:val="222BABB4"/>
    <w:rsid w:val="222E05CB"/>
    <w:rsid w:val="2230B00C"/>
    <w:rsid w:val="22403F5D"/>
    <w:rsid w:val="22680EB9"/>
    <w:rsid w:val="227B4222"/>
    <w:rsid w:val="227E33A6"/>
    <w:rsid w:val="22A9044D"/>
    <w:rsid w:val="22AC349C"/>
    <w:rsid w:val="22B365D8"/>
    <w:rsid w:val="22B73DCE"/>
    <w:rsid w:val="22B92F5C"/>
    <w:rsid w:val="22BFB8DD"/>
    <w:rsid w:val="22C0F430"/>
    <w:rsid w:val="22C900DE"/>
    <w:rsid w:val="22DA5B6E"/>
    <w:rsid w:val="22DE15C2"/>
    <w:rsid w:val="22F0354E"/>
    <w:rsid w:val="22F714CA"/>
    <w:rsid w:val="2308597F"/>
    <w:rsid w:val="230E7CB2"/>
    <w:rsid w:val="2311082F"/>
    <w:rsid w:val="23161FE0"/>
    <w:rsid w:val="2316E042"/>
    <w:rsid w:val="231F9068"/>
    <w:rsid w:val="232CDB78"/>
    <w:rsid w:val="2331BD14"/>
    <w:rsid w:val="23362D65"/>
    <w:rsid w:val="233904E5"/>
    <w:rsid w:val="233A4603"/>
    <w:rsid w:val="233C29F7"/>
    <w:rsid w:val="233C481F"/>
    <w:rsid w:val="23412A03"/>
    <w:rsid w:val="23434BA5"/>
    <w:rsid w:val="2348022F"/>
    <w:rsid w:val="23582CDC"/>
    <w:rsid w:val="23727AE5"/>
    <w:rsid w:val="237C037A"/>
    <w:rsid w:val="238570FA"/>
    <w:rsid w:val="238D07BB"/>
    <w:rsid w:val="239E4586"/>
    <w:rsid w:val="239E4872"/>
    <w:rsid w:val="23B51464"/>
    <w:rsid w:val="23BB1434"/>
    <w:rsid w:val="23BB662F"/>
    <w:rsid w:val="23BC94D6"/>
    <w:rsid w:val="23C6233B"/>
    <w:rsid w:val="23CE7442"/>
    <w:rsid w:val="23D26F32"/>
    <w:rsid w:val="23D93728"/>
    <w:rsid w:val="23DC5C6B"/>
    <w:rsid w:val="23FA0237"/>
    <w:rsid w:val="23FFF243"/>
    <w:rsid w:val="2404A021"/>
    <w:rsid w:val="24134D36"/>
    <w:rsid w:val="24172415"/>
    <w:rsid w:val="241E77D1"/>
    <w:rsid w:val="242B6097"/>
    <w:rsid w:val="243A2766"/>
    <w:rsid w:val="243E6375"/>
    <w:rsid w:val="243F5C4A"/>
    <w:rsid w:val="244E72C6"/>
    <w:rsid w:val="245329AE"/>
    <w:rsid w:val="245F8FAE"/>
    <w:rsid w:val="2460A143"/>
    <w:rsid w:val="246F6A96"/>
    <w:rsid w:val="248A62D2"/>
    <w:rsid w:val="249446B7"/>
    <w:rsid w:val="249B5111"/>
    <w:rsid w:val="24A24B56"/>
    <w:rsid w:val="24A50494"/>
    <w:rsid w:val="24AC97A1"/>
    <w:rsid w:val="24B34939"/>
    <w:rsid w:val="24CC6F7A"/>
    <w:rsid w:val="24D32909"/>
    <w:rsid w:val="24DE3005"/>
    <w:rsid w:val="24EB0CCF"/>
    <w:rsid w:val="24F036E6"/>
    <w:rsid w:val="25002263"/>
    <w:rsid w:val="25021151"/>
    <w:rsid w:val="25091FA7"/>
    <w:rsid w:val="25152504"/>
    <w:rsid w:val="251A2F26"/>
    <w:rsid w:val="251A9BFC"/>
    <w:rsid w:val="25214B41"/>
    <w:rsid w:val="25293DC7"/>
    <w:rsid w:val="252B3ABC"/>
    <w:rsid w:val="254309AE"/>
    <w:rsid w:val="254F15A2"/>
    <w:rsid w:val="2579B32A"/>
    <w:rsid w:val="257C5FFF"/>
    <w:rsid w:val="257F045A"/>
    <w:rsid w:val="25875B24"/>
    <w:rsid w:val="259CEE28"/>
    <w:rsid w:val="25A5333B"/>
    <w:rsid w:val="25A770E4"/>
    <w:rsid w:val="25A91F14"/>
    <w:rsid w:val="25B753DF"/>
    <w:rsid w:val="25C64CAF"/>
    <w:rsid w:val="25CF15A4"/>
    <w:rsid w:val="25F629DD"/>
    <w:rsid w:val="25FC7EC5"/>
    <w:rsid w:val="2604714B"/>
    <w:rsid w:val="2604D4CC"/>
    <w:rsid w:val="26143832"/>
    <w:rsid w:val="26153106"/>
    <w:rsid w:val="26181E59"/>
    <w:rsid w:val="261A73B4"/>
    <w:rsid w:val="261F5D33"/>
    <w:rsid w:val="26654FBB"/>
    <w:rsid w:val="267CD3CB"/>
    <w:rsid w:val="267F67D1"/>
    <w:rsid w:val="26860F51"/>
    <w:rsid w:val="268C6B61"/>
    <w:rsid w:val="26A7E4D0"/>
    <w:rsid w:val="26AE16D7"/>
    <w:rsid w:val="26AE4B2D"/>
    <w:rsid w:val="26CE12FE"/>
    <w:rsid w:val="26D44D6F"/>
    <w:rsid w:val="26DF33AC"/>
    <w:rsid w:val="26E96570"/>
    <w:rsid w:val="26EA6341"/>
    <w:rsid w:val="26EC7A49"/>
    <w:rsid w:val="26F82171"/>
    <w:rsid w:val="26FE6A1C"/>
    <w:rsid w:val="26FF7FA7"/>
    <w:rsid w:val="27003DB6"/>
    <w:rsid w:val="2704B86C"/>
    <w:rsid w:val="270A1A2F"/>
    <w:rsid w:val="27292AFD"/>
    <w:rsid w:val="27299AA2"/>
    <w:rsid w:val="274E04AE"/>
    <w:rsid w:val="275D6B12"/>
    <w:rsid w:val="275F41C0"/>
    <w:rsid w:val="2768AB44"/>
    <w:rsid w:val="277A12EB"/>
    <w:rsid w:val="277B45C8"/>
    <w:rsid w:val="277F36EA"/>
    <w:rsid w:val="27895B59"/>
    <w:rsid w:val="27927B22"/>
    <w:rsid w:val="27A47FDD"/>
    <w:rsid w:val="27B47785"/>
    <w:rsid w:val="27C13545"/>
    <w:rsid w:val="27CEE797"/>
    <w:rsid w:val="27ECD46F"/>
    <w:rsid w:val="280BB1F2"/>
    <w:rsid w:val="28333D17"/>
    <w:rsid w:val="28550131"/>
    <w:rsid w:val="285F8B33"/>
    <w:rsid w:val="28610884"/>
    <w:rsid w:val="286372BA"/>
    <w:rsid w:val="287021F6"/>
    <w:rsid w:val="28777DED"/>
    <w:rsid w:val="28828239"/>
    <w:rsid w:val="28891A80"/>
    <w:rsid w:val="288B5300"/>
    <w:rsid w:val="2892E3FB"/>
    <w:rsid w:val="28B1857D"/>
    <w:rsid w:val="28B881D0"/>
    <w:rsid w:val="28B948CA"/>
    <w:rsid w:val="28CE282D"/>
    <w:rsid w:val="28D1196C"/>
    <w:rsid w:val="28D93976"/>
    <w:rsid w:val="28D9D474"/>
    <w:rsid w:val="28DE4B01"/>
    <w:rsid w:val="28E0FA99"/>
    <w:rsid w:val="28E8DF77"/>
    <w:rsid w:val="28F70417"/>
    <w:rsid w:val="28F94763"/>
    <w:rsid w:val="290E6364"/>
    <w:rsid w:val="29107E16"/>
    <w:rsid w:val="291CA85D"/>
    <w:rsid w:val="291D58A9"/>
    <w:rsid w:val="29257B04"/>
    <w:rsid w:val="292ADDBB"/>
    <w:rsid w:val="293E9CF2"/>
    <w:rsid w:val="29464CEE"/>
    <w:rsid w:val="294C6E3F"/>
    <w:rsid w:val="29542F94"/>
    <w:rsid w:val="295B3526"/>
    <w:rsid w:val="295F6BE7"/>
    <w:rsid w:val="296E89F0"/>
    <w:rsid w:val="297019CA"/>
    <w:rsid w:val="29727C69"/>
    <w:rsid w:val="29862B29"/>
    <w:rsid w:val="298814E7"/>
    <w:rsid w:val="2992CB5D"/>
    <w:rsid w:val="29AC3D81"/>
    <w:rsid w:val="29C05506"/>
    <w:rsid w:val="29C67614"/>
    <w:rsid w:val="29D432FF"/>
    <w:rsid w:val="29E17427"/>
    <w:rsid w:val="29E717CF"/>
    <w:rsid w:val="29F220E8"/>
    <w:rsid w:val="29F44939"/>
    <w:rsid w:val="29FBE76D"/>
    <w:rsid w:val="2A08A8A1"/>
    <w:rsid w:val="2A0C2A72"/>
    <w:rsid w:val="2A154C60"/>
    <w:rsid w:val="2A19A2C7"/>
    <w:rsid w:val="2A370E4F"/>
    <w:rsid w:val="2A443FBA"/>
    <w:rsid w:val="2A4789EF"/>
    <w:rsid w:val="2A4E26F1"/>
    <w:rsid w:val="2A524301"/>
    <w:rsid w:val="2A5398B9"/>
    <w:rsid w:val="2A5D08B7"/>
    <w:rsid w:val="2A614152"/>
    <w:rsid w:val="2A7A45AB"/>
    <w:rsid w:val="2A8A42E9"/>
    <w:rsid w:val="2A8EA112"/>
    <w:rsid w:val="2A9EE697"/>
    <w:rsid w:val="2AA86D34"/>
    <w:rsid w:val="2AAA4BDE"/>
    <w:rsid w:val="2AAF5BB1"/>
    <w:rsid w:val="2AC1472B"/>
    <w:rsid w:val="2AC40E45"/>
    <w:rsid w:val="2AD17973"/>
    <w:rsid w:val="2AE17A5A"/>
    <w:rsid w:val="2AE53A15"/>
    <w:rsid w:val="2AE77A6B"/>
    <w:rsid w:val="2AEA2DB3"/>
    <w:rsid w:val="2AF60BF3"/>
    <w:rsid w:val="2AF7727E"/>
    <w:rsid w:val="2AFDD5CB"/>
    <w:rsid w:val="2B044F6A"/>
    <w:rsid w:val="2B0D73C3"/>
    <w:rsid w:val="2B0E4916"/>
    <w:rsid w:val="2B1020EE"/>
    <w:rsid w:val="2B157704"/>
    <w:rsid w:val="2B1A9E3A"/>
    <w:rsid w:val="2B1B03E6"/>
    <w:rsid w:val="2B1F9096"/>
    <w:rsid w:val="2B2015FA"/>
    <w:rsid w:val="2B3B554E"/>
    <w:rsid w:val="2B3C2EE3"/>
    <w:rsid w:val="2B4B073D"/>
    <w:rsid w:val="2B4D3BF6"/>
    <w:rsid w:val="2B54647E"/>
    <w:rsid w:val="2B613D3B"/>
    <w:rsid w:val="2B7038ED"/>
    <w:rsid w:val="2B794137"/>
    <w:rsid w:val="2B826AD2"/>
    <w:rsid w:val="2B87CCD9"/>
    <w:rsid w:val="2B97082B"/>
    <w:rsid w:val="2BA0396C"/>
    <w:rsid w:val="2BA87006"/>
    <w:rsid w:val="2BA9CE57"/>
    <w:rsid w:val="2BAA42F0"/>
    <w:rsid w:val="2BABBD66"/>
    <w:rsid w:val="2BB4539A"/>
    <w:rsid w:val="2BB8AAD0"/>
    <w:rsid w:val="2BCF8515"/>
    <w:rsid w:val="2BD3646C"/>
    <w:rsid w:val="2BEB7764"/>
    <w:rsid w:val="2BF3579D"/>
    <w:rsid w:val="2BFB5B18"/>
    <w:rsid w:val="2BFF7E73"/>
    <w:rsid w:val="2C0CD280"/>
    <w:rsid w:val="2C13251B"/>
    <w:rsid w:val="2C155F80"/>
    <w:rsid w:val="2C2674A1"/>
    <w:rsid w:val="2C2C2F57"/>
    <w:rsid w:val="2C3A9294"/>
    <w:rsid w:val="2C577A73"/>
    <w:rsid w:val="2C5B71CB"/>
    <w:rsid w:val="2C5E73CD"/>
    <w:rsid w:val="2C700D26"/>
    <w:rsid w:val="2C7325EC"/>
    <w:rsid w:val="2C75E302"/>
    <w:rsid w:val="2C775A39"/>
    <w:rsid w:val="2C7E3FAF"/>
    <w:rsid w:val="2C7F0FF2"/>
    <w:rsid w:val="2C8037D9"/>
    <w:rsid w:val="2C8132E4"/>
    <w:rsid w:val="2C8857B6"/>
    <w:rsid w:val="2C8B091D"/>
    <w:rsid w:val="2C920F9C"/>
    <w:rsid w:val="2C932FD6"/>
    <w:rsid w:val="2C9AE951"/>
    <w:rsid w:val="2CA96C6E"/>
    <w:rsid w:val="2CAC6856"/>
    <w:rsid w:val="2CBD3700"/>
    <w:rsid w:val="2CC0FC25"/>
    <w:rsid w:val="2CC10442"/>
    <w:rsid w:val="2CC1377B"/>
    <w:rsid w:val="2CD7EFBC"/>
    <w:rsid w:val="2CED1C61"/>
    <w:rsid w:val="2CF241A1"/>
    <w:rsid w:val="2CF77A09"/>
    <w:rsid w:val="2CFC95E7"/>
    <w:rsid w:val="2D13627D"/>
    <w:rsid w:val="2D1E50A7"/>
    <w:rsid w:val="2D37D74C"/>
    <w:rsid w:val="2D3B3FF4"/>
    <w:rsid w:val="2D3D19ED"/>
    <w:rsid w:val="2D426ED6"/>
    <w:rsid w:val="2D483934"/>
    <w:rsid w:val="2D4E224A"/>
    <w:rsid w:val="2D522E91"/>
    <w:rsid w:val="2D533B06"/>
    <w:rsid w:val="2D5409B8"/>
    <w:rsid w:val="2D577556"/>
    <w:rsid w:val="2D7C73C2"/>
    <w:rsid w:val="2D91A675"/>
    <w:rsid w:val="2D98CB0B"/>
    <w:rsid w:val="2DBAFBE4"/>
    <w:rsid w:val="2DBE4083"/>
    <w:rsid w:val="2DE59782"/>
    <w:rsid w:val="2DE90C0A"/>
    <w:rsid w:val="2DEB692F"/>
    <w:rsid w:val="2DF4409A"/>
    <w:rsid w:val="2DF479F7"/>
    <w:rsid w:val="2DF47AA5"/>
    <w:rsid w:val="2DF5424B"/>
    <w:rsid w:val="2DF81DF9"/>
    <w:rsid w:val="2DF85E31"/>
    <w:rsid w:val="2E060FF7"/>
    <w:rsid w:val="2E071401"/>
    <w:rsid w:val="2E100D83"/>
    <w:rsid w:val="2E17585F"/>
    <w:rsid w:val="2E1E26C4"/>
    <w:rsid w:val="2E2BE339"/>
    <w:rsid w:val="2E3ED3C5"/>
    <w:rsid w:val="2E411206"/>
    <w:rsid w:val="2E4E1111"/>
    <w:rsid w:val="2E5A3DAC"/>
    <w:rsid w:val="2E5E6788"/>
    <w:rsid w:val="2E6017EF"/>
    <w:rsid w:val="2E623BD1"/>
    <w:rsid w:val="2E6455AA"/>
    <w:rsid w:val="2E6675EE"/>
    <w:rsid w:val="2E705017"/>
    <w:rsid w:val="2E710E7E"/>
    <w:rsid w:val="2E717347"/>
    <w:rsid w:val="2E8961E4"/>
    <w:rsid w:val="2E906650"/>
    <w:rsid w:val="2EAE5EA6"/>
    <w:rsid w:val="2EBAC0CD"/>
    <w:rsid w:val="2EBB912B"/>
    <w:rsid w:val="2EC87B5C"/>
    <w:rsid w:val="2EDA6696"/>
    <w:rsid w:val="2EDF5E71"/>
    <w:rsid w:val="2EF0220C"/>
    <w:rsid w:val="2EF213FD"/>
    <w:rsid w:val="2F0C1427"/>
    <w:rsid w:val="2F109BC4"/>
    <w:rsid w:val="2F13B662"/>
    <w:rsid w:val="2F1D28E2"/>
    <w:rsid w:val="2F202C41"/>
    <w:rsid w:val="2F3493B7"/>
    <w:rsid w:val="2F41D819"/>
    <w:rsid w:val="2F440FB4"/>
    <w:rsid w:val="2F4655F1"/>
    <w:rsid w:val="2F65331D"/>
    <w:rsid w:val="2F6921DD"/>
    <w:rsid w:val="2F69FE91"/>
    <w:rsid w:val="2F6BFF5A"/>
    <w:rsid w:val="2F7D51C8"/>
    <w:rsid w:val="2F7F7F7B"/>
    <w:rsid w:val="2F863331"/>
    <w:rsid w:val="2F8F217B"/>
    <w:rsid w:val="2F923C61"/>
    <w:rsid w:val="2F9279B6"/>
    <w:rsid w:val="2F936FD3"/>
    <w:rsid w:val="2F9F5399"/>
    <w:rsid w:val="2FAF0127"/>
    <w:rsid w:val="2FAF45CB"/>
    <w:rsid w:val="2FC6E931"/>
    <w:rsid w:val="2FD54044"/>
    <w:rsid w:val="2FDDEF3B"/>
    <w:rsid w:val="2FE8701A"/>
    <w:rsid w:val="2FEC7634"/>
    <w:rsid w:val="2FED7630"/>
    <w:rsid w:val="2FEE67A1"/>
    <w:rsid w:val="2FF23A7E"/>
    <w:rsid w:val="2FF932A1"/>
    <w:rsid w:val="2FFAE092"/>
    <w:rsid w:val="300A6F60"/>
    <w:rsid w:val="30185CCC"/>
    <w:rsid w:val="30255C79"/>
    <w:rsid w:val="3025C485"/>
    <w:rsid w:val="302A7494"/>
    <w:rsid w:val="302A799E"/>
    <w:rsid w:val="302ABBF7"/>
    <w:rsid w:val="303348B4"/>
    <w:rsid w:val="303D1F72"/>
    <w:rsid w:val="30422D49"/>
    <w:rsid w:val="304A28ED"/>
    <w:rsid w:val="30528034"/>
    <w:rsid w:val="30586A11"/>
    <w:rsid w:val="305B02AF"/>
    <w:rsid w:val="306746AE"/>
    <w:rsid w:val="3067C272"/>
    <w:rsid w:val="306E3146"/>
    <w:rsid w:val="306FA233"/>
    <w:rsid w:val="307B185C"/>
    <w:rsid w:val="30811584"/>
    <w:rsid w:val="3086F6E5"/>
    <w:rsid w:val="308A01B7"/>
    <w:rsid w:val="30AEC524"/>
    <w:rsid w:val="30C243A0"/>
    <w:rsid w:val="30C49F92"/>
    <w:rsid w:val="30C83AF0"/>
    <w:rsid w:val="30C9053D"/>
    <w:rsid w:val="30D5F8CD"/>
    <w:rsid w:val="30DD5542"/>
    <w:rsid w:val="30E8CFB2"/>
    <w:rsid w:val="30FBE3DA"/>
    <w:rsid w:val="31097E4C"/>
    <w:rsid w:val="310D4304"/>
    <w:rsid w:val="310E213E"/>
    <w:rsid w:val="3112AD68"/>
    <w:rsid w:val="312E470E"/>
    <w:rsid w:val="313A786B"/>
    <w:rsid w:val="316321D9"/>
    <w:rsid w:val="31750FF9"/>
    <w:rsid w:val="3176CDAE"/>
    <w:rsid w:val="31777C25"/>
    <w:rsid w:val="3179279B"/>
    <w:rsid w:val="317DF71D"/>
    <w:rsid w:val="31845C38"/>
    <w:rsid w:val="318E14CE"/>
    <w:rsid w:val="318FD732"/>
    <w:rsid w:val="3199108F"/>
    <w:rsid w:val="319C46A3"/>
    <w:rsid w:val="31B22756"/>
    <w:rsid w:val="31C1450F"/>
    <w:rsid w:val="31C61758"/>
    <w:rsid w:val="31D4BB07"/>
    <w:rsid w:val="31D76A49"/>
    <w:rsid w:val="31DB021F"/>
    <w:rsid w:val="31DBCF8D"/>
    <w:rsid w:val="31E340B8"/>
    <w:rsid w:val="31EA18EB"/>
    <w:rsid w:val="31F14A27"/>
    <w:rsid w:val="31F2655C"/>
    <w:rsid w:val="32054F07"/>
    <w:rsid w:val="320E62CA"/>
    <w:rsid w:val="321A575D"/>
    <w:rsid w:val="322412A7"/>
    <w:rsid w:val="322546D1"/>
    <w:rsid w:val="3229BA16"/>
    <w:rsid w:val="32381984"/>
    <w:rsid w:val="323925D3"/>
    <w:rsid w:val="323FF97F"/>
    <w:rsid w:val="32449937"/>
    <w:rsid w:val="324A3ED3"/>
    <w:rsid w:val="325D3E6B"/>
    <w:rsid w:val="326001D8"/>
    <w:rsid w:val="32679121"/>
    <w:rsid w:val="326EE7DC"/>
    <w:rsid w:val="32753372"/>
    <w:rsid w:val="327F8EBB"/>
    <w:rsid w:val="32891A16"/>
    <w:rsid w:val="328E610C"/>
    <w:rsid w:val="329316B8"/>
    <w:rsid w:val="32934DE5"/>
    <w:rsid w:val="329BCB6A"/>
    <w:rsid w:val="32A30E8C"/>
    <w:rsid w:val="32A44717"/>
    <w:rsid w:val="32A56829"/>
    <w:rsid w:val="32A57F53"/>
    <w:rsid w:val="32AB5B3C"/>
    <w:rsid w:val="32BA306B"/>
    <w:rsid w:val="32BBE7A2"/>
    <w:rsid w:val="32D50F9C"/>
    <w:rsid w:val="32D900CC"/>
    <w:rsid w:val="32DC175B"/>
    <w:rsid w:val="32E41054"/>
    <w:rsid w:val="32E57B7B"/>
    <w:rsid w:val="32EB425A"/>
    <w:rsid w:val="32FE61C3"/>
    <w:rsid w:val="33180A41"/>
    <w:rsid w:val="3321758E"/>
    <w:rsid w:val="3329169B"/>
    <w:rsid w:val="33404D4B"/>
    <w:rsid w:val="33460DA3"/>
    <w:rsid w:val="33492641"/>
    <w:rsid w:val="33528FEF"/>
    <w:rsid w:val="3353ACDD"/>
    <w:rsid w:val="335CE0B9"/>
    <w:rsid w:val="336BA4A1"/>
    <w:rsid w:val="336D1429"/>
    <w:rsid w:val="336DFC8F"/>
    <w:rsid w:val="337AEEAF"/>
    <w:rsid w:val="338E464A"/>
    <w:rsid w:val="339A7FF6"/>
    <w:rsid w:val="33AA5BE9"/>
    <w:rsid w:val="33AC4071"/>
    <w:rsid w:val="33BAE270"/>
    <w:rsid w:val="33C8FC8E"/>
    <w:rsid w:val="33CA3782"/>
    <w:rsid w:val="33D30012"/>
    <w:rsid w:val="33D4652C"/>
    <w:rsid w:val="33DA7116"/>
    <w:rsid w:val="33E1CD5D"/>
    <w:rsid w:val="33EE573A"/>
    <w:rsid w:val="33F00D0E"/>
    <w:rsid w:val="33F4114D"/>
    <w:rsid w:val="33FEF277"/>
    <w:rsid w:val="340AB7E9"/>
    <w:rsid w:val="34162071"/>
    <w:rsid w:val="34287D0E"/>
    <w:rsid w:val="342B0640"/>
    <w:rsid w:val="343230D5"/>
    <w:rsid w:val="3438677C"/>
    <w:rsid w:val="344A2B14"/>
    <w:rsid w:val="3451D852"/>
    <w:rsid w:val="34561BE4"/>
    <w:rsid w:val="345E5328"/>
    <w:rsid w:val="34607065"/>
    <w:rsid w:val="346E6803"/>
    <w:rsid w:val="34741DF5"/>
    <w:rsid w:val="347B0F20"/>
    <w:rsid w:val="34871747"/>
    <w:rsid w:val="348C55CC"/>
    <w:rsid w:val="34943D90"/>
    <w:rsid w:val="34955E0D"/>
    <w:rsid w:val="34C9239B"/>
    <w:rsid w:val="34CE3DDF"/>
    <w:rsid w:val="34CFDE35"/>
    <w:rsid w:val="34D08743"/>
    <w:rsid w:val="34D67F04"/>
    <w:rsid w:val="34DBBAC5"/>
    <w:rsid w:val="34E725BF"/>
    <w:rsid w:val="34E75ECD"/>
    <w:rsid w:val="34FB0C79"/>
    <w:rsid w:val="34FE03DF"/>
    <w:rsid w:val="3505A09A"/>
    <w:rsid w:val="350DCC8F"/>
    <w:rsid w:val="3513143C"/>
    <w:rsid w:val="35177903"/>
    <w:rsid w:val="352001C4"/>
    <w:rsid w:val="35200D3E"/>
    <w:rsid w:val="3527DC61"/>
    <w:rsid w:val="35335357"/>
    <w:rsid w:val="353B015E"/>
    <w:rsid w:val="35433585"/>
    <w:rsid w:val="35503E2F"/>
    <w:rsid w:val="3558FDFA"/>
    <w:rsid w:val="355BC24C"/>
    <w:rsid w:val="355C2AFF"/>
    <w:rsid w:val="355D3219"/>
    <w:rsid w:val="355D7B50"/>
    <w:rsid w:val="35741C8E"/>
    <w:rsid w:val="35827561"/>
    <w:rsid w:val="35903483"/>
    <w:rsid w:val="359F29EC"/>
    <w:rsid w:val="35A036C1"/>
    <w:rsid w:val="35AE4ADD"/>
    <w:rsid w:val="35AF162A"/>
    <w:rsid w:val="35B67D9C"/>
    <w:rsid w:val="35B8788C"/>
    <w:rsid w:val="35C0FED0"/>
    <w:rsid w:val="35DF2C5C"/>
    <w:rsid w:val="35E64F9D"/>
    <w:rsid w:val="35ED08AB"/>
    <w:rsid w:val="35F811DC"/>
    <w:rsid w:val="35F8C5DE"/>
    <w:rsid w:val="36096A53"/>
    <w:rsid w:val="360C5A2A"/>
    <w:rsid w:val="361433DA"/>
    <w:rsid w:val="361C6E9E"/>
    <w:rsid w:val="3637DB26"/>
    <w:rsid w:val="36494613"/>
    <w:rsid w:val="3649D029"/>
    <w:rsid w:val="3660695E"/>
    <w:rsid w:val="36653B6C"/>
    <w:rsid w:val="366C56EE"/>
    <w:rsid w:val="366F23BE"/>
    <w:rsid w:val="3676773F"/>
    <w:rsid w:val="36832D7F"/>
    <w:rsid w:val="3683C5DF"/>
    <w:rsid w:val="369323EF"/>
    <w:rsid w:val="3697570B"/>
    <w:rsid w:val="369A22FE"/>
    <w:rsid w:val="36A6CADD"/>
    <w:rsid w:val="36AD4B13"/>
    <w:rsid w:val="36AF0177"/>
    <w:rsid w:val="36C12B9F"/>
    <w:rsid w:val="36C85A67"/>
    <w:rsid w:val="36D6643F"/>
    <w:rsid w:val="36DB4DD0"/>
    <w:rsid w:val="36DB6796"/>
    <w:rsid w:val="36DB993F"/>
    <w:rsid w:val="36DD0D4D"/>
    <w:rsid w:val="36DE1572"/>
    <w:rsid w:val="36E83B79"/>
    <w:rsid w:val="36E9051A"/>
    <w:rsid w:val="36F079A3"/>
    <w:rsid w:val="36F10409"/>
    <w:rsid w:val="36FC6348"/>
    <w:rsid w:val="37052D23"/>
    <w:rsid w:val="370D2AA4"/>
    <w:rsid w:val="371E03B1"/>
    <w:rsid w:val="3733AC39"/>
    <w:rsid w:val="37345F69"/>
    <w:rsid w:val="373DEFCD"/>
    <w:rsid w:val="373F4487"/>
    <w:rsid w:val="374A8F9C"/>
    <w:rsid w:val="374B52EE"/>
    <w:rsid w:val="377DB555"/>
    <w:rsid w:val="377F08BA"/>
    <w:rsid w:val="37863E63"/>
    <w:rsid w:val="3790B4B5"/>
    <w:rsid w:val="379B77FE"/>
    <w:rsid w:val="37AB2656"/>
    <w:rsid w:val="37B0004E"/>
    <w:rsid w:val="37B01C24"/>
    <w:rsid w:val="37B1D528"/>
    <w:rsid w:val="37B9197D"/>
    <w:rsid w:val="37BA2E0A"/>
    <w:rsid w:val="37BD26E6"/>
    <w:rsid w:val="37CC5460"/>
    <w:rsid w:val="37CF18B8"/>
    <w:rsid w:val="37E40454"/>
    <w:rsid w:val="37E64902"/>
    <w:rsid w:val="37F01431"/>
    <w:rsid w:val="37FBAAEE"/>
    <w:rsid w:val="38024370"/>
    <w:rsid w:val="380B6117"/>
    <w:rsid w:val="3827320A"/>
    <w:rsid w:val="382BD8EE"/>
    <w:rsid w:val="383836F5"/>
    <w:rsid w:val="38679BD3"/>
    <w:rsid w:val="38682923"/>
    <w:rsid w:val="3882287D"/>
    <w:rsid w:val="38866FBF"/>
    <w:rsid w:val="38995E18"/>
    <w:rsid w:val="38A06337"/>
    <w:rsid w:val="38AD3105"/>
    <w:rsid w:val="38B8081E"/>
    <w:rsid w:val="38BD1F22"/>
    <w:rsid w:val="38C1D993"/>
    <w:rsid w:val="38CA4556"/>
    <w:rsid w:val="38CB4C23"/>
    <w:rsid w:val="38D7EC17"/>
    <w:rsid w:val="38D8249D"/>
    <w:rsid w:val="38DF1913"/>
    <w:rsid w:val="38E01351"/>
    <w:rsid w:val="38E22245"/>
    <w:rsid w:val="38E896EF"/>
    <w:rsid w:val="38E91F46"/>
    <w:rsid w:val="38EAB500"/>
    <w:rsid w:val="38F50B8E"/>
    <w:rsid w:val="3921237D"/>
    <w:rsid w:val="39236DC5"/>
    <w:rsid w:val="392515F3"/>
    <w:rsid w:val="392576AC"/>
    <w:rsid w:val="392AA746"/>
    <w:rsid w:val="392B2788"/>
    <w:rsid w:val="392B54D9"/>
    <w:rsid w:val="39433F83"/>
    <w:rsid w:val="39536599"/>
    <w:rsid w:val="39545D5A"/>
    <w:rsid w:val="3956C608"/>
    <w:rsid w:val="395F5E27"/>
    <w:rsid w:val="39605645"/>
    <w:rsid w:val="39633ACC"/>
    <w:rsid w:val="39661D26"/>
    <w:rsid w:val="3973A4FA"/>
    <w:rsid w:val="39787109"/>
    <w:rsid w:val="3979B3C5"/>
    <w:rsid w:val="39842625"/>
    <w:rsid w:val="398A655F"/>
    <w:rsid w:val="39987E7E"/>
    <w:rsid w:val="399F745E"/>
    <w:rsid w:val="39A46823"/>
    <w:rsid w:val="39AAD0D9"/>
    <w:rsid w:val="39B26114"/>
    <w:rsid w:val="39B52A0B"/>
    <w:rsid w:val="39C03398"/>
    <w:rsid w:val="39C90B80"/>
    <w:rsid w:val="39D619FA"/>
    <w:rsid w:val="39E13777"/>
    <w:rsid w:val="39F237E8"/>
    <w:rsid w:val="39F42076"/>
    <w:rsid w:val="39F64526"/>
    <w:rsid w:val="39F9073F"/>
    <w:rsid w:val="3A0FCD30"/>
    <w:rsid w:val="3A141DA5"/>
    <w:rsid w:val="3A1E65D5"/>
    <w:rsid w:val="3A217DCE"/>
    <w:rsid w:val="3A248DF8"/>
    <w:rsid w:val="3A3A3E32"/>
    <w:rsid w:val="3A4FB4FB"/>
    <w:rsid w:val="3A57F24E"/>
    <w:rsid w:val="3A594803"/>
    <w:rsid w:val="3A5B49B0"/>
    <w:rsid w:val="3A6CE80E"/>
    <w:rsid w:val="3A7BC87E"/>
    <w:rsid w:val="3A84BF47"/>
    <w:rsid w:val="3A8540F3"/>
    <w:rsid w:val="3A8B49E9"/>
    <w:rsid w:val="3A958385"/>
    <w:rsid w:val="3A99D4BD"/>
    <w:rsid w:val="3AA43717"/>
    <w:rsid w:val="3ABC52C8"/>
    <w:rsid w:val="3AC31CD6"/>
    <w:rsid w:val="3AC65D89"/>
    <w:rsid w:val="3AD153F6"/>
    <w:rsid w:val="3ADA1AF1"/>
    <w:rsid w:val="3ADA59BA"/>
    <w:rsid w:val="3ADE5A3E"/>
    <w:rsid w:val="3AEE11BE"/>
    <w:rsid w:val="3AEE41FA"/>
    <w:rsid w:val="3B0C0B24"/>
    <w:rsid w:val="3B2D5874"/>
    <w:rsid w:val="3B32436D"/>
    <w:rsid w:val="3B364DBE"/>
    <w:rsid w:val="3B384488"/>
    <w:rsid w:val="3B3A0E35"/>
    <w:rsid w:val="3B3D6F2F"/>
    <w:rsid w:val="3B4F8942"/>
    <w:rsid w:val="3B5B73B5"/>
    <w:rsid w:val="3B60D87C"/>
    <w:rsid w:val="3B623685"/>
    <w:rsid w:val="3B6335B4"/>
    <w:rsid w:val="3B6BD28D"/>
    <w:rsid w:val="3B6C3C26"/>
    <w:rsid w:val="3B71236F"/>
    <w:rsid w:val="3B88A2F1"/>
    <w:rsid w:val="3B8C756F"/>
    <w:rsid w:val="3BBA431D"/>
    <w:rsid w:val="3BBB7D8A"/>
    <w:rsid w:val="3BCDD139"/>
    <w:rsid w:val="3BE54480"/>
    <w:rsid w:val="3BED44B1"/>
    <w:rsid w:val="3C00BAA8"/>
    <w:rsid w:val="3C0CEADE"/>
    <w:rsid w:val="3C1B948C"/>
    <w:rsid w:val="3C250CD2"/>
    <w:rsid w:val="3C2D863F"/>
    <w:rsid w:val="3C3293B2"/>
    <w:rsid w:val="3C335053"/>
    <w:rsid w:val="3C38E4BA"/>
    <w:rsid w:val="3C3C047F"/>
    <w:rsid w:val="3C3D6ABB"/>
    <w:rsid w:val="3C3E2F5F"/>
    <w:rsid w:val="3C3E655A"/>
    <w:rsid w:val="3C41D584"/>
    <w:rsid w:val="3C4B28F4"/>
    <w:rsid w:val="3C4B7CFA"/>
    <w:rsid w:val="3C532DCA"/>
    <w:rsid w:val="3C555D6C"/>
    <w:rsid w:val="3C5832CA"/>
    <w:rsid w:val="3C6651AD"/>
    <w:rsid w:val="3C6729FB"/>
    <w:rsid w:val="3C6959EE"/>
    <w:rsid w:val="3C741450"/>
    <w:rsid w:val="3C761C2F"/>
    <w:rsid w:val="3C795FB8"/>
    <w:rsid w:val="3C9708C1"/>
    <w:rsid w:val="3CB90829"/>
    <w:rsid w:val="3CBEAEDA"/>
    <w:rsid w:val="3CBF7655"/>
    <w:rsid w:val="3CCC97A2"/>
    <w:rsid w:val="3CCE07EF"/>
    <w:rsid w:val="3CD7D4C9"/>
    <w:rsid w:val="3CE358B4"/>
    <w:rsid w:val="3CEBF9E1"/>
    <w:rsid w:val="3CED5E62"/>
    <w:rsid w:val="3CEF3CEB"/>
    <w:rsid w:val="3CF15D85"/>
    <w:rsid w:val="3CF33136"/>
    <w:rsid w:val="3CF921A0"/>
    <w:rsid w:val="3D177DB6"/>
    <w:rsid w:val="3D3135FA"/>
    <w:rsid w:val="3D4556FE"/>
    <w:rsid w:val="3D4B7763"/>
    <w:rsid w:val="3D4D2616"/>
    <w:rsid w:val="3D502FF2"/>
    <w:rsid w:val="3D5F318D"/>
    <w:rsid w:val="3D6A1B31"/>
    <w:rsid w:val="3D7AA440"/>
    <w:rsid w:val="3D7F36BA"/>
    <w:rsid w:val="3D812E1F"/>
    <w:rsid w:val="3D8F0727"/>
    <w:rsid w:val="3D97D5AD"/>
    <w:rsid w:val="3DA64D16"/>
    <w:rsid w:val="3DAB706B"/>
    <w:rsid w:val="3DAC61D1"/>
    <w:rsid w:val="3DAC7BA8"/>
    <w:rsid w:val="3DCE0970"/>
    <w:rsid w:val="3DE006C3"/>
    <w:rsid w:val="3DE23D2B"/>
    <w:rsid w:val="3E014244"/>
    <w:rsid w:val="3E03620E"/>
    <w:rsid w:val="3E05314D"/>
    <w:rsid w:val="3E063608"/>
    <w:rsid w:val="3E12306B"/>
    <w:rsid w:val="3E141922"/>
    <w:rsid w:val="3E172CC6"/>
    <w:rsid w:val="3E212B11"/>
    <w:rsid w:val="3E26E300"/>
    <w:rsid w:val="3E2EDFBD"/>
    <w:rsid w:val="3E573E64"/>
    <w:rsid w:val="3E716345"/>
    <w:rsid w:val="3E905365"/>
    <w:rsid w:val="3E935A7D"/>
    <w:rsid w:val="3E9E84E3"/>
    <w:rsid w:val="3EA4A7D1"/>
    <w:rsid w:val="3EA6303D"/>
    <w:rsid w:val="3EAB709A"/>
    <w:rsid w:val="3EAE4D88"/>
    <w:rsid w:val="3EC42D45"/>
    <w:rsid w:val="3ED87C24"/>
    <w:rsid w:val="3EDD4F72"/>
    <w:rsid w:val="3EE1D4E1"/>
    <w:rsid w:val="3EE9AAFB"/>
    <w:rsid w:val="3EEC29CC"/>
    <w:rsid w:val="3EFCA49C"/>
    <w:rsid w:val="3F08A75F"/>
    <w:rsid w:val="3F122481"/>
    <w:rsid w:val="3F1C0C82"/>
    <w:rsid w:val="3F2E1BC9"/>
    <w:rsid w:val="3F2FA7BB"/>
    <w:rsid w:val="3F3B74ED"/>
    <w:rsid w:val="3F402B4A"/>
    <w:rsid w:val="3F4514E1"/>
    <w:rsid w:val="3F479C45"/>
    <w:rsid w:val="3F4DEFE1"/>
    <w:rsid w:val="3F4E40CB"/>
    <w:rsid w:val="3F5F80E5"/>
    <w:rsid w:val="3F673712"/>
    <w:rsid w:val="3F6A7BC7"/>
    <w:rsid w:val="3F737A08"/>
    <w:rsid w:val="3F77BB78"/>
    <w:rsid w:val="3F8287DD"/>
    <w:rsid w:val="3F8D689B"/>
    <w:rsid w:val="3FC16D2E"/>
    <w:rsid w:val="3FC9C088"/>
    <w:rsid w:val="3FCAA7D1"/>
    <w:rsid w:val="3FCABE97"/>
    <w:rsid w:val="3FCDC39E"/>
    <w:rsid w:val="3FD7CBB5"/>
    <w:rsid w:val="3FE4169F"/>
    <w:rsid w:val="3FE988D6"/>
    <w:rsid w:val="3FED3FC3"/>
    <w:rsid w:val="3FF027C2"/>
    <w:rsid w:val="3FF67B4E"/>
    <w:rsid w:val="3FF762AF"/>
    <w:rsid w:val="3FFF2A05"/>
    <w:rsid w:val="40043DCD"/>
    <w:rsid w:val="40135CAF"/>
    <w:rsid w:val="40150675"/>
    <w:rsid w:val="4016CA15"/>
    <w:rsid w:val="401D4CF8"/>
    <w:rsid w:val="4022CF2B"/>
    <w:rsid w:val="40266504"/>
    <w:rsid w:val="402BB3FE"/>
    <w:rsid w:val="4039F87A"/>
    <w:rsid w:val="4042E6AC"/>
    <w:rsid w:val="40477064"/>
    <w:rsid w:val="40544572"/>
    <w:rsid w:val="4057DFE3"/>
    <w:rsid w:val="406FC0D9"/>
    <w:rsid w:val="4081341A"/>
    <w:rsid w:val="40827642"/>
    <w:rsid w:val="4087290F"/>
    <w:rsid w:val="40927D7D"/>
    <w:rsid w:val="40994246"/>
    <w:rsid w:val="409F073B"/>
    <w:rsid w:val="409F7D44"/>
    <w:rsid w:val="40AB493B"/>
    <w:rsid w:val="40B1F41A"/>
    <w:rsid w:val="40B2769E"/>
    <w:rsid w:val="40C8EC7A"/>
    <w:rsid w:val="40D33A77"/>
    <w:rsid w:val="40D88E51"/>
    <w:rsid w:val="40DDC341"/>
    <w:rsid w:val="40E35E83"/>
    <w:rsid w:val="40E51A6D"/>
    <w:rsid w:val="40F81813"/>
    <w:rsid w:val="410C4E7C"/>
    <w:rsid w:val="410E4055"/>
    <w:rsid w:val="4114603C"/>
    <w:rsid w:val="411D7CE3"/>
    <w:rsid w:val="41210394"/>
    <w:rsid w:val="41230324"/>
    <w:rsid w:val="412F2700"/>
    <w:rsid w:val="41333819"/>
    <w:rsid w:val="4133DA1D"/>
    <w:rsid w:val="414715C7"/>
    <w:rsid w:val="414E04AD"/>
    <w:rsid w:val="4163372A"/>
    <w:rsid w:val="4166CD2B"/>
    <w:rsid w:val="41685B41"/>
    <w:rsid w:val="4171348E"/>
    <w:rsid w:val="418A1F04"/>
    <w:rsid w:val="41A2478F"/>
    <w:rsid w:val="41A45B37"/>
    <w:rsid w:val="41C055D0"/>
    <w:rsid w:val="41C118F7"/>
    <w:rsid w:val="41C6A8EC"/>
    <w:rsid w:val="41CB669E"/>
    <w:rsid w:val="41CBB4F8"/>
    <w:rsid w:val="41D51FBA"/>
    <w:rsid w:val="41DA48B6"/>
    <w:rsid w:val="41E40104"/>
    <w:rsid w:val="41F43DEF"/>
    <w:rsid w:val="41FD0FE6"/>
    <w:rsid w:val="41FDF538"/>
    <w:rsid w:val="41FE1C62"/>
    <w:rsid w:val="41FF73D5"/>
    <w:rsid w:val="42014715"/>
    <w:rsid w:val="421B5449"/>
    <w:rsid w:val="42209AA8"/>
    <w:rsid w:val="42240501"/>
    <w:rsid w:val="42293A7D"/>
    <w:rsid w:val="42455690"/>
    <w:rsid w:val="424FE2D6"/>
    <w:rsid w:val="42510051"/>
    <w:rsid w:val="42661148"/>
    <w:rsid w:val="426C3C56"/>
    <w:rsid w:val="42726895"/>
    <w:rsid w:val="427A284E"/>
    <w:rsid w:val="427D189A"/>
    <w:rsid w:val="42845255"/>
    <w:rsid w:val="428C324A"/>
    <w:rsid w:val="42914323"/>
    <w:rsid w:val="42918B2E"/>
    <w:rsid w:val="429E24FE"/>
    <w:rsid w:val="42ABEA90"/>
    <w:rsid w:val="42C5436B"/>
    <w:rsid w:val="42C700D1"/>
    <w:rsid w:val="42C7B090"/>
    <w:rsid w:val="42E207F6"/>
    <w:rsid w:val="42E53A59"/>
    <w:rsid w:val="42FB68D0"/>
    <w:rsid w:val="4305C4F5"/>
    <w:rsid w:val="43106CD7"/>
    <w:rsid w:val="43190416"/>
    <w:rsid w:val="432A9830"/>
    <w:rsid w:val="432C3E2C"/>
    <w:rsid w:val="432D21C6"/>
    <w:rsid w:val="4334C4D0"/>
    <w:rsid w:val="433D09C3"/>
    <w:rsid w:val="434A3F97"/>
    <w:rsid w:val="434D2879"/>
    <w:rsid w:val="4355C925"/>
    <w:rsid w:val="4359272C"/>
    <w:rsid w:val="43746D40"/>
    <w:rsid w:val="43831019"/>
    <w:rsid w:val="4384B4D2"/>
    <w:rsid w:val="4393E5A1"/>
    <w:rsid w:val="43A02694"/>
    <w:rsid w:val="43A05F36"/>
    <w:rsid w:val="43B1E62F"/>
    <w:rsid w:val="43C00270"/>
    <w:rsid w:val="43C30056"/>
    <w:rsid w:val="43C301D4"/>
    <w:rsid w:val="43CA280D"/>
    <w:rsid w:val="43D2E5CD"/>
    <w:rsid w:val="43D87DF6"/>
    <w:rsid w:val="43DD54D7"/>
    <w:rsid w:val="43F06879"/>
    <w:rsid w:val="43F72214"/>
    <w:rsid w:val="43FADF08"/>
    <w:rsid w:val="44106A72"/>
    <w:rsid w:val="44247F9D"/>
    <w:rsid w:val="442BED7A"/>
    <w:rsid w:val="4434219D"/>
    <w:rsid w:val="443F68DF"/>
    <w:rsid w:val="4441B697"/>
    <w:rsid w:val="4445DE7E"/>
    <w:rsid w:val="444D2A0A"/>
    <w:rsid w:val="444F94FA"/>
    <w:rsid w:val="4459B7EB"/>
    <w:rsid w:val="445B0426"/>
    <w:rsid w:val="445B2780"/>
    <w:rsid w:val="446B0669"/>
    <w:rsid w:val="446E3580"/>
    <w:rsid w:val="447339C1"/>
    <w:rsid w:val="44777C7A"/>
    <w:rsid w:val="447F79E2"/>
    <w:rsid w:val="448B58EB"/>
    <w:rsid w:val="44936149"/>
    <w:rsid w:val="449D0A3E"/>
    <w:rsid w:val="449EA9F0"/>
    <w:rsid w:val="449F47B6"/>
    <w:rsid w:val="44B56CCD"/>
    <w:rsid w:val="44BE40F3"/>
    <w:rsid w:val="44ECB3AE"/>
    <w:rsid w:val="44F06DC0"/>
    <w:rsid w:val="44F79221"/>
    <w:rsid w:val="45013B88"/>
    <w:rsid w:val="45045908"/>
    <w:rsid w:val="450C6879"/>
    <w:rsid w:val="45112BFF"/>
    <w:rsid w:val="45185DAE"/>
    <w:rsid w:val="451A77F2"/>
    <w:rsid w:val="452B8BF6"/>
    <w:rsid w:val="4531979C"/>
    <w:rsid w:val="453561CD"/>
    <w:rsid w:val="453671ED"/>
    <w:rsid w:val="453F3437"/>
    <w:rsid w:val="454A7B44"/>
    <w:rsid w:val="454FB5BB"/>
    <w:rsid w:val="45534031"/>
    <w:rsid w:val="45592BB7"/>
    <w:rsid w:val="45783434"/>
    <w:rsid w:val="457BF5F3"/>
    <w:rsid w:val="45AAE403"/>
    <w:rsid w:val="45AF4585"/>
    <w:rsid w:val="45B93656"/>
    <w:rsid w:val="45C53DA9"/>
    <w:rsid w:val="45C855E0"/>
    <w:rsid w:val="45C86836"/>
    <w:rsid w:val="45CB2883"/>
    <w:rsid w:val="45E07AE6"/>
    <w:rsid w:val="45ED3300"/>
    <w:rsid w:val="45FF68EC"/>
    <w:rsid w:val="46030049"/>
    <w:rsid w:val="461B7E22"/>
    <w:rsid w:val="461CA121"/>
    <w:rsid w:val="462E2AA2"/>
    <w:rsid w:val="4637E20D"/>
    <w:rsid w:val="463D9A74"/>
    <w:rsid w:val="46464D4A"/>
    <w:rsid w:val="464F9584"/>
    <w:rsid w:val="464FCCDB"/>
    <w:rsid w:val="46580C57"/>
    <w:rsid w:val="465AEAD8"/>
    <w:rsid w:val="4669FEE9"/>
    <w:rsid w:val="466B2BA2"/>
    <w:rsid w:val="466EE684"/>
    <w:rsid w:val="467001B9"/>
    <w:rsid w:val="467457EE"/>
    <w:rsid w:val="4674757D"/>
    <w:rsid w:val="4677DFB1"/>
    <w:rsid w:val="4688D979"/>
    <w:rsid w:val="469AB0CF"/>
    <w:rsid w:val="469B0FAE"/>
    <w:rsid w:val="46A61FC9"/>
    <w:rsid w:val="46AA4E85"/>
    <w:rsid w:val="46AB043C"/>
    <w:rsid w:val="46BB70E5"/>
    <w:rsid w:val="46BD2CD2"/>
    <w:rsid w:val="46BE569E"/>
    <w:rsid w:val="46C54942"/>
    <w:rsid w:val="46C66AAA"/>
    <w:rsid w:val="46D149CF"/>
    <w:rsid w:val="46D6A761"/>
    <w:rsid w:val="46D8351B"/>
    <w:rsid w:val="46D91694"/>
    <w:rsid w:val="46DB6B62"/>
    <w:rsid w:val="46E46608"/>
    <w:rsid w:val="46EF45EC"/>
    <w:rsid w:val="46FF2A33"/>
    <w:rsid w:val="46FF97DC"/>
    <w:rsid w:val="470B1C8F"/>
    <w:rsid w:val="47117DEE"/>
    <w:rsid w:val="47130B5B"/>
    <w:rsid w:val="471326EF"/>
    <w:rsid w:val="471C3E9C"/>
    <w:rsid w:val="47231AD8"/>
    <w:rsid w:val="472C96FB"/>
    <w:rsid w:val="4733F1BD"/>
    <w:rsid w:val="47347438"/>
    <w:rsid w:val="473E449F"/>
    <w:rsid w:val="47436F96"/>
    <w:rsid w:val="474D22A8"/>
    <w:rsid w:val="476E4379"/>
    <w:rsid w:val="47723ABC"/>
    <w:rsid w:val="4775599F"/>
    <w:rsid w:val="47774056"/>
    <w:rsid w:val="47804AF5"/>
    <w:rsid w:val="478095B0"/>
    <w:rsid w:val="478832E0"/>
    <w:rsid w:val="4799BBEC"/>
    <w:rsid w:val="479A3013"/>
    <w:rsid w:val="47AF2F63"/>
    <w:rsid w:val="47B74269"/>
    <w:rsid w:val="47BC4A61"/>
    <w:rsid w:val="47C63E08"/>
    <w:rsid w:val="47CB7D43"/>
    <w:rsid w:val="47D718D7"/>
    <w:rsid w:val="47DCBE05"/>
    <w:rsid w:val="47F1F6F5"/>
    <w:rsid w:val="481A36EE"/>
    <w:rsid w:val="481E3C44"/>
    <w:rsid w:val="48206981"/>
    <w:rsid w:val="482F05BB"/>
    <w:rsid w:val="48315483"/>
    <w:rsid w:val="483C31DF"/>
    <w:rsid w:val="483FF442"/>
    <w:rsid w:val="484511D1"/>
    <w:rsid w:val="48484614"/>
    <w:rsid w:val="484E4529"/>
    <w:rsid w:val="484F02A2"/>
    <w:rsid w:val="4855ED79"/>
    <w:rsid w:val="486231D4"/>
    <w:rsid w:val="486E0837"/>
    <w:rsid w:val="487B2E45"/>
    <w:rsid w:val="4881C791"/>
    <w:rsid w:val="48924591"/>
    <w:rsid w:val="489EFE89"/>
    <w:rsid w:val="48A4241D"/>
    <w:rsid w:val="48A7F73C"/>
    <w:rsid w:val="48A97669"/>
    <w:rsid w:val="48AFFC27"/>
    <w:rsid w:val="48B26B77"/>
    <w:rsid w:val="48BE574D"/>
    <w:rsid w:val="48C72BD1"/>
    <w:rsid w:val="48C7FB1D"/>
    <w:rsid w:val="48CDD600"/>
    <w:rsid w:val="48CFDCC5"/>
    <w:rsid w:val="48D17861"/>
    <w:rsid w:val="48D43A0A"/>
    <w:rsid w:val="48D66B7A"/>
    <w:rsid w:val="48D697E0"/>
    <w:rsid w:val="48F21359"/>
    <w:rsid w:val="48F232BB"/>
    <w:rsid w:val="48FF7556"/>
    <w:rsid w:val="490C66E5"/>
    <w:rsid w:val="4913E7D6"/>
    <w:rsid w:val="49352CBA"/>
    <w:rsid w:val="493DDC09"/>
    <w:rsid w:val="493FD41B"/>
    <w:rsid w:val="4947B2B1"/>
    <w:rsid w:val="4955177E"/>
    <w:rsid w:val="495CAB4B"/>
    <w:rsid w:val="4968130F"/>
    <w:rsid w:val="4995878E"/>
    <w:rsid w:val="49A18785"/>
    <w:rsid w:val="49B74892"/>
    <w:rsid w:val="49B81348"/>
    <w:rsid w:val="49D86182"/>
    <w:rsid w:val="49DA0E1D"/>
    <w:rsid w:val="49DC61E1"/>
    <w:rsid w:val="49DE604E"/>
    <w:rsid w:val="49E94016"/>
    <w:rsid w:val="49EEF7D9"/>
    <w:rsid w:val="49F65530"/>
    <w:rsid w:val="49F66C27"/>
    <w:rsid w:val="49FC160E"/>
    <w:rsid w:val="4A000FF6"/>
    <w:rsid w:val="4A06287D"/>
    <w:rsid w:val="4A08488C"/>
    <w:rsid w:val="4A187736"/>
    <w:rsid w:val="4A2EEE2B"/>
    <w:rsid w:val="4A326562"/>
    <w:rsid w:val="4A32D095"/>
    <w:rsid w:val="4A33FE29"/>
    <w:rsid w:val="4A394214"/>
    <w:rsid w:val="4A455B21"/>
    <w:rsid w:val="4A525952"/>
    <w:rsid w:val="4A5A0818"/>
    <w:rsid w:val="4A62CEBA"/>
    <w:rsid w:val="4A69564B"/>
    <w:rsid w:val="4A6CA929"/>
    <w:rsid w:val="4A770362"/>
    <w:rsid w:val="4A7B712C"/>
    <w:rsid w:val="4A7F4E6E"/>
    <w:rsid w:val="4A850B8C"/>
    <w:rsid w:val="4A8D297D"/>
    <w:rsid w:val="4A940171"/>
    <w:rsid w:val="4A98926E"/>
    <w:rsid w:val="4AB48435"/>
    <w:rsid w:val="4AB876B6"/>
    <w:rsid w:val="4ABA0786"/>
    <w:rsid w:val="4ABA5EA6"/>
    <w:rsid w:val="4ACC6D98"/>
    <w:rsid w:val="4AD5B3E2"/>
    <w:rsid w:val="4AD8457E"/>
    <w:rsid w:val="4ADE9506"/>
    <w:rsid w:val="4AE3BC58"/>
    <w:rsid w:val="4AE459A4"/>
    <w:rsid w:val="4AE747C1"/>
    <w:rsid w:val="4AF97BDF"/>
    <w:rsid w:val="4AFC9766"/>
    <w:rsid w:val="4AFF919B"/>
    <w:rsid w:val="4B025357"/>
    <w:rsid w:val="4B0EDC0C"/>
    <w:rsid w:val="4B156763"/>
    <w:rsid w:val="4B19CD81"/>
    <w:rsid w:val="4B1E0128"/>
    <w:rsid w:val="4B2109A9"/>
    <w:rsid w:val="4B216CA8"/>
    <w:rsid w:val="4B2201D1"/>
    <w:rsid w:val="4B3435EA"/>
    <w:rsid w:val="4B38501D"/>
    <w:rsid w:val="4B3A9695"/>
    <w:rsid w:val="4B435EFD"/>
    <w:rsid w:val="4B4E4934"/>
    <w:rsid w:val="4B4F1292"/>
    <w:rsid w:val="4B7D226C"/>
    <w:rsid w:val="4B840EE1"/>
    <w:rsid w:val="4B8821E0"/>
    <w:rsid w:val="4B8B9DFB"/>
    <w:rsid w:val="4B8F3361"/>
    <w:rsid w:val="4B9506C1"/>
    <w:rsid w:val="4B9F509C"/>
    <w:rsid w:val="4BA31B64"/>
    <w:rsid w:val="4BA9C79C"/>
    <w:rsid w:val="4BAF3C6B"/>
    <w:rsid w:val="4BB40B47"/>
    <w:rsid w:val="4BBDA59E"/>
    <w:rsid w:val="4BC74B17"/>
    <w:rsid w:val="4BD47AF0"/>
    <w:rsid w:val="4BEB7082"/>
    <w:rsid w:val="4BEB7E9C"/>
    <w:rsid w:val="4BED6507"/>
    <w:rsid w:val="4BF453E8"/>
    <w:rsid w:val="4C158F1E"/>
    <w:rsid w:val="4C1648E3"/>
    <w:rsid w:val="4C2E5308"/>
    <w:rsid w:val="4C3B4B8F"/>
    <w:rsid w:val="4C3E6C5D"/>
    <w:rsid w:val="4C4621F3"/>
    <w:rsid w:val="4C53D918"/>
    <w:rsid w:val="4C5D11DF"/>
    <w:rsid w:val="4C63431C"/>
    <w:rsid w:val="4C66E3A4"/>
    <w:rsid w:val="4C681232"/>
    <w:rsid w:val="4C824015"/>
    <w:rsid w:val="4C8A5705"/>
    <w:rsid w:val="4CAC6C9C"/>
    <w:rsid w:val="4CAC946C"/>
    <w:rsid w:val="4CB80AD8"/>
    <w:rsid w:val="4CC37546"/>
    <w:rsid w:val="4CC89CAF"/>
    <w:rsid w:val="4CE92EAA"/>
    <w:rsid w:val="4CEC2563"/>
    <w:rsid w:val="4CF79776"/>
    <w:rsid w:val="4CFB26C0"/>
    <w:rsid w:val="4CFE47D7"/>
    <w:rsid w:val="4D07739D"/>
    <w:rsid w:val="4D078ECF"/>
    <w:rsid w:val="4D0A4F2E"/>
    <w:rsid w:val="4D160DCB"/>
    <w:rsid w:val="4D242C29"/>
    <w:rsid w:val="4D283BB2"/>
    <w:rsid w:val="4D31D0FE"/>
    <w:rsid w:val="4D474003"/>
    <w:rsid w:val="4D573F4D"/>
    <w:rsid w:val="4D64DDA8"/>
    <w:rsid w:val="4D7CBB14"/>
    <w:rsid w:val="4D7F0265"/>
    <w:rsid w:val="4D83E6D7"/>
    <w:rsid w:val="4D98024B"/>
    <w:rsid w:val="4DA8622E"/>
    <w:rsid w:val="4DAF1600"/>
    <w:rsid w:val="4DB246CD"/>
    <w:rsid w:val="4DB56DF9"/>
    <w:rsid w:val="4DB841F3"/>
    <w:rsid w:val="4DBF37D4"/>
    <w:rsid w:val="4DC86B2C"/>
    <w:rsid w:val="4DC942D5"/>
    <w:rsid w:val="4DD73C76"/>
    <w:rsid w:val="4DEDA2AD"/>
    <w:rsid w:val="4DF818FE"/>
    <w:rsid w:val="4E061A9A"/>
    <w:rsid w:val="4E0A01BA"/>
    <w:rsid w:val="4E1C9AED"/>
    <w:rsid w:val="4E1E175C"/>
    <w:rsid w:val="4E233F3B"/>
    <w:rsid w:val="4E3F06EA"/>
    <w:rsid w:val="4E4501CA"/>
    <w:rsid w:val="4E5D283A"/>
    <w:rsid w:val="4E5E699B"/>
    <w:rsid w:val="4E60783F"/>
    <w:rsid w:val="4E695C3B"/>
    <w:rsid w:val="4E6B9AD2"/>
    <w:rsid w:val="4E6C5709"/>
    <w:rsid w:val="4E791C52"/>
    <w:rsid w:val="4E83037D"/>
    <w:rsid w:val="4EA43E2D"/>
    <w:rsid w:val="4EA604F0"/>
    <w:rsid w:val="4EAC1CEF"/>
    <w:rsid w:val="4EAD14DE"/>
    <w:rsid w:val="4EC3074B"/>
    <w:rsid w:val="4ED81985"/>
    <w:rsid w:val="4EDA32B7"/>
    <w:rsid w:val="4EDFA407"/>
    <w:rsid w:val="4EE2A17B"/>
    <w:rsid w:val="4EEDE9DA"/>
    <w:rsid w:val="4EF23735"/>
    <w:rsid w:val="4F005E52"/>
    <w:rsid w:val="4F00D641"/>
    <w:rsid w:val="4F022203"/>
    <w:rsid w:val="4F027E1C"/>
    <w:rsid w:val="4F02C946"/>
    <w:rsid w:val="4F167D88"/>
    <w:rsid w:val="4F387BAE"/>
    <w:rsid w:val="4F3D6179"/>
    <w:rsid w:val="4F477F24"/>
    <w:rsid w:val="4F519396"/>
    <w:rsid w:val="4F7041F8"/>
    <w:rsid w:val="4F7BED5B"/>
    <w:rsid w:val="4F802C14"/>
    <w:rsid w:val="4F8DF78E"/>
    <w:rsid w:val="4F8FE0A9"/>
    <w:rsid w:val="4F90146C"/>
    <w:rsid w:val="4F9DEDB4"/>
    <w:rsid w:val="4FB57C2C"/>
    <w:rsid w:val="4FC078A9"/>
    <w:rsid w:val="4FCA9130"/>
    <w:rsid w:val="4FCC6425"/>
    <w:rsid w:val="4FCDF361"/>
    <w:rsid w:val="4FE406EA"/>
    <w:rsid w:val="4FF327AA"/>
    <w:rsid w:val="50113C97"/>
    <w:rsid w:val="501174D1"/>
    <w:rsid w:val="501AFEC6"/>
    <w:rsid w:val="5028D02B"/>
    <w:rsid w:val="50433143"/>
    <w:rsid w:val="504A1E9B"/>
    <w:rsid w:val="505950F0"/>
    <w:rsid w:val="505AAC63"/>
    <w:rsid w:val="506CA358"/>
    <w:rsid w:val="507302A2"/>
    <w:rsid w:val="507A5E8C"/>
    <w:rsid w:val="50823AA3"/>
    <w:rsid w:val="50855E66"/>
    <w:rsid w:val="50862EBF"/>
    <w:rsid w:val="50974594"/>
    <w:rsid w:val="50A42F9D"/>
    <w:rsid w:val="50ADA6F8"/>
    <w:rsid w:val="50BD049E"/>
    <w:rsid w:val="50C79166"/>
    <w:rsid w:val="50D61560"/>
    <w:rsid w:val="50D87321"/>
    <w:rsid w:val="50DCB186"/>
    <w:rsid w:val="50DCEA28"/>
    <w:rsid w:val="50EF7551"/>
    <w:rsid w:val="50F992E8"/>
    <w:rsid w:val="5117642F"/>
    <w:rsid w:val="51316796"/>
    <w:rsid w:val="513454B5"/>
    <w:rsid w:val="51387B25"/>
    <w:rsid w:val="514286AE"/>
    <w:rsid w:val="5144FFD0"/>
    <w:rsid w:val="51456CC0"/>
    <w:rsid w:val="515AA79D"/>
    <w:rsid w:val="518170E8"/>
    <w:rsid w:val="51888B51"/>
    <w:rsid w:val="51905BB3"/>
    <w:rsid w:val="5196A200"/>
    <w:rsid w:val="5199CABD"/>
    <w:rsid w:val="51A83A95"/>
    <w:rsid w:val="51A9FF65"/>
    <w:rsid w:val="51AF7623"/>
    <w:rsid w:val="51BF4B92"/>
    <w:rsid w:val="51C21AE4"/>
    <w:rsid w:val="51C51AAA"/>
    <w:rsid w:val="51C63A03"/>
    <w:rsid w:val="51DB875F"/>
    <w:rsid w:val="51E05D03"/>
    <w:rsid w:val="51F15515"/>
    <w:rsid w:val="51F57CB5"/>
    <w:rsid w:val="51F80164"/>
    <w:rsid w:val="51F85506"/>
    <w:rsid w:val="51FC6DA4"/>
    <w:rsid w:val="520C37C7"/>
    <w:rsid w:val="521EAFDE"/>
    <w:rsid w:val="5220523B"/>
    <w:rsid w:val="52377DDC"/>
    <w:rsid w:val="523E3599"/>
    <w:rsid w:val="52419ED9"/>
    <w:rsid w:val="524E5126"/>
    <w:rsid w:val="52526E54"/>
    <w:rsid w:val="525B7AE4"/>
    <w:rsid w:val="52642B9B"/>
    <w:rsid w:val="526A2BDA"/>
    <w:rsid w:val="526A6351"/>
    <w:rsid w:val="5274049D"/>
    <w:rsid w:val="527F6D11"/>
    <w:rsid w:val="5285582D"/>
    <w:rsid w:val="528F52FD"/>
    <w:rsid w:val="52923265"/>
    <w:rsid w:val="529A7217"/>
    <w:rsid w:val="52A82A88"/>
    <w:rsid w:val="52AA6F3C"/>
    <w:rsid w:val="52AC0229"/>
    <w:rsid w:val="52B72CCB"/>
    <w:rsid w:val="52BE2228"/>
    <w:rsid w:val="52C74389"/>
    <w:rsid w:val="52D20966"/>
    <w:rsid w:val="52D95337"/>
    <w:rsid w:val="52DB5C6B"/>
    <w:rsid w:val="52DE64AA"/>
    <w:rsid w:val="52DEE136"/>
    <w:rsid w:val="52E55A8A"/>
    <w:rsid w:val="52E856EE"/>
    <w:rsid w:val="52E9CEEB"/>
    <w:rsid w:val="52FEFC2D"/>
    <w:rsid w:val="53174839"/>
    <w:rsid w:val="532B11E2"/>
    <w:rsid w:val="53425821"/>
    <w:rsid w:val="5347425E"/>
    <w:rsid w:val="5350BE31"/>
    <w:rsid w:val="53539700"/>
    <w:rsid w:val="535946E7"/>
    <w:rsid w:val="535B1E41"/>
    <w:rsid w:val="535C4953"/>
    <w:rsid w:val="5368EA17"/>
    <w:rsid w:val="5369653B"/>
    <w:rsid w:val="53696B9C"/>
    <w:rsid w:val="53735641"/>
    <w:rsid w:val="53811823"/>
    <w:rsid w:val="53813CE2"/>
    <w:rsid w:val="538F3C48"/>
    <w:rsid w:val="5394300C"/>
    <w:rsid w:val="53A63AD7"/>
    <w:rsid w:val="53AE63A5"/>
    <w:rsid w:val="53B69ADE"/>
    <w:rsid w:val="53B813F1"/>
    <w:rsid w:val="53BA6DE3"/>
    <w:rsid w:val="53CF1BD1"/>
    <w:rsid w:val="53EB543D"/>
    <w:rsid w:val="53EC109A"/>
    <w:rsid w:val="53EE90C6"/>
    <w:rsid w:val="53FE682D"/>
    <w:rsid w:val="54004756"/>
    <w:rsid w:val="540887C9"/>
    <w:rsid w:val="5434797E"/>
    <w:rsid w:val="543D36A4"/>
    <w:rsid w:val="5449029B"/>
    <w:rsid w:val="544C41DB"/>
    <w:rsid w:val="54532E8D"/>
    <w:rsid w:val="54534C76"/>
    <w:rsid w:val="545E3D46"/>
    <w:rsid w:val="548752AC"/>
    <w:rsid w:val="5494EE21"/>
    <w:rsid w:val="549A1BD9"/>
    <w:rsid w:val="549C400B"/>
    <w:rsid w:val="549D7C5D"/>
    <w:rsid w:val="54A2BC2C"/>
    <w:rsid w:val="54B221E6"/>
    <w:rsid w:val="54B5E63B"/>
    <w:rsid w:val="54CB13EC"/>
    <w:rsid w:val="54D272FC"/>
    <w:rsid w:val="54EA026D"/>
    <w:rsid w:val="54EA61CA"/>
    <w:rsid w:val="54EB4EAE"/>
    <w:rsid w:val="54FB244B"/>
    <w:rsid w:val="550E11EB"/>
    <w:rsid w:val="552C4EDD"/>
    <w:rsid w:val="55345490"/>
    <w:rsid w:val="55367579"/>
    <w:rsid w:val="55396628"/>
    <w:rsid w:val="553E1482"/>
    <w:rsid w:val="55500D93"/>
    <w:rsid w:val="555962BC"/>
    <w:rsid w:val="556D5388"/>
    <w:rsid w:val="556F013F"/>
    <w:rsid w:val="557A9834"/>
    <w:rsid w:val="558F7DBF"/>
    <w:rsid w:val="5590D213"/>
    <w:rsid w:val="55A73316"/>
    <w:rsid w:val="55A84456"/>
    <w:rsid w:val="55B33C1E"/>
    <w:rsid w:val="55D2198F"/>
    <w:rsid w:val="55D27BCF"/>
    <w:rsid w:val="55E07A11"/>
    <w:rsid w:val="55E80094"/>
    <w:rsid w:val="55E8413E"/>
    <w:rsid w:val="55F834D2"/>
    <w:rsid w:val="55FD758F"/>
    <w:rsid w:val="5604091D"/>
    <w:rsid w:val="5624747B"/>
    <w:rsid w:val="562F5931"/>
    <w:rsid w:val="564E3947"/>
    <w:rsid w:val="564E4D8B"/>
    <w:rsid w:val="56617C11"/>
    <w:rsid w:val="567560A0"/>
    <w:rsid w:val="567E5C4F"/>
    <w:rsid w:val="567FA363"/>
    <w:rsid w:val="56884158"/>
    <w:rsid w:val="568C2018"/>
    <w:rsid w:val="569021B1"/>
    <w:rsid w:val="5695E3B4"/>
    <w:rsid w:val="5698F2E6"/>
    <w:rsid w:val="56994EB6"/>
    <w:rsid w:val="56C43C09"/>
    <w:rsid w:val="56C8038A"/>
    <w:rsid w:val="56CCB5B5"/>
    <w:rsid w:val="56CE544D"/>
    <w:rsid w:val="56DC0F52"/>
    <w:rsid w:val="56E29B98"/>
    <w:rsid w:val="56F73FDE"/>
    <w:rsid w:val="56FD67D3"/>
    <w:rsid w:val="570C4EC7"/>
    <w:rsid w:val="570C51B9"/>
    <w:rsid w:val="5717B46F"/>
    <w:rsid w:val="571DE6E6"/>
    <w:rsid w:val="57256D9D"/>
    <w:rsid w:val="573C50F0"/>
    <w:rsid w:val="574C6E3E"/>
    <w:rsid w:val="575269F6"/>
    <w:rsid w:val="5754C36C"/>
    <w:rsid w:val="57560D05"/>
    <w:rsid w:val="575B03D7"/>
    <w:rsid w:val="575E5E0B"/>
    <w:rsid w:val="576F5271"/>
    <w:rsid w:val="5775CE09"/>
    <w:rsid w:val="578C4726"/>
    <w:rsid w:val="579564FB"/>
    <w:rsid w:val="5795D27D"/>
    <w:rsid w:val="579E41FD"/>
    <w:rsid w:val="57AF132F"/>
    <w:rsid w:val="57B420FD"/>
    <w:rsid w:val="57B7297E"/>
    <w:rsid w:val="57C7431A"/>
    <w:rsid w:val="57CA4B14"/>
    <w:rsid w:val="57D4BD5C"/>
    <w:rsid w:val="57D7F2CC"/>
    <w:rsid w:val="57EC9E48"/>
    <w:rsid w:val="5801EEA6"/>
    <w:rsid w:val="58057B48"/>
    <w:rsid w:val="5808B135"/>
    <w:rsid w:val="580FFE25"/>
    <w:rsid w:val="581CC216"/>
    <w:rsid w:val="581D5CC6"/>
    <w:rsid w:val="581F120B"/>
    <w:rsid w:val="58396281"/>
    <w:rsid w:val="583A0626"/>
    <w:rsid w:val="584658CD"/>
    <w:rsid w:val="58534E71"/>
    <w:rsid w:val="58535244"/>
    <w:rsid w:val="585A2A77"/>
    <w:rsid w:val="585F40A4"/>
    <w:rsid w:val="586A3E31"/>
    <w:rsid w:val="586F4F75"/>
    <w:rsid w:val="5879A803"/>
    <w:rsid w:val="587D49B7"/>
    <w:rsid w:val="58833CD6"/>
    <w:rsid w:val="58836422"/>
    <w:rsid w:val="58944979"/>
    <w:rsid w:val="589F66DB"/>
    <w:rsid w:val="58B25DE6"/>
    <w:rsid w:val="58C4295A"/>
    <w:rsid w:val="58E1624D"/>
    <w:rsid w:val="58E30CBE"/>
    <w:rsid w:val="58E86856"/>
    <w:rsid w:val="58E91652"/>
    <w:rsid w:val="58ED7D90"/>
    <w:rsid w:val="58F05C46"/>
    <w:rsid w:val="58FE4346"/>
    <w:rsid w:val="5902ADE2"/>
    <w:rsid w:val="59032F0D"/>
    <w:rsid w:val="5915D05E"/>
    <w:rsid w:val="59170042"/>
    <w:rsid w:val="59184A67"/>
    <w:rsid w:val="591D00B1"/>
    <w:rsid w:val="594043C9"/>
    <w:rsid w:val="594378AA"/>
    <w:rsid w:val="595B4D46"/>
    <w:rsid w:val="596015AA"/>
    <w:rsid w:val="59771A9C"/>
    <w:rsid w:val="59777658"/>
    <w:rsid w:val="5983CB70"/>
    <w:rsid w:val="598C4EB2"/>
    <w:rsid w:val="59906464"/>
    <w:rsid w:val="5992EE9F"/>
    <w:rsid w:val="59935824"/>
    <w:rsid w:val="599F3D71"/>
    <w:rsid w:val="59A46E75"/>
    <w:rsid w:val="59A5DFF3"/>
    <w:rsid w:val="59B07ECE"/>
    <w:rsid w:val="59B30690"/>
    <w:rsid w:val="59B44408"/>
    <w:rsid w:val="59B616E2"/>
    <w:rsid w:val="59BC9AA7"/>
    <w:rsid w:val="59BF3212"/>
    <w:rsid w:val="59C668F2"/>
    <w:rsid w:val="59CA3D5B"/>
    <w:rsid w:val="59FD6C8C"/>
    <w:rsid w:val="59FED3ED"/>
    <w:rsid w:val="5A1B042C"/>
    <w:rsid w:val="5A265CD1"/>
    <w:rsid w:val="5A3A11E6"/>
    <w:rsid w:val="5A3E0521"/>
    <w:rsid w:val="5A435957"/>
    <w:rsid w:val="5A49BFD3"/>
    <w:rsid w:val="5A5D22CE"/>
    <w:rsid w:val="5A723858"/>
    <w:rsid w:val="5A761D3D"/>
    <w:rsid w:val="5A83CD8C"/>
    <w:rsid w:val="5A8F5734"/>
    <w:rsid w:val="5A932E9B"/>
    <w:rsid w:val="5A9B72D3"/>
    <w:rsid w:val="5A9BDBE3"/>
    <w:rsid w:val="5AA5413A"/>
    <w:rsid w:val="5AA92A97"/>
    <w:rsid w:val="5AAD28A9"/>
    <w:rsid w:val="5AC98BA0"/>
    <w:rsid w:val="5ACA5642"/>
    <w:rsid w:val="5AD430E1"/>
    <w:rsid w:val="5AE5BC9A"/>
    <w:rsid w:val="5B0AAF32"/>
    <w:rsid w:val="5B190DE6"/>
    <w:rsid w:val="5B1C2265"/>
    <w:rsid w:val="5B238DAA"/>
    <w:rsid w:val="5B245BBA"/>
    <w:rsid w:val="5B256031"/>
    <w:rsid w:val="5B286BCF"/>
    <w:rsid w:val="5B2B2602"/>
    <w:rsid w:val="5B2B70DD"/>
    <w:rsid w:val="5B5642A4"/>
    <w:rsid w:val="5B5AD59C"/>
    <w:rsid w:val="5B5B0FE0"/>
    <w:rsid w:val="5B637E94"/>
    <w:rsid w:val="5B69A91A"/>
    <w:rsid w:val="5B6B0AF7"/>
    <w:rsid w:val="5B6E59D0"/>
    <w:rsid w:val="5B6ECA37"/>
    <w:rsid w:val="5B765E19"/>
    <w:rsid w:val="5B7B6323"/>
    <w:rsid w:val="5B800982"/>
    <w:rsid w:val="5B8F6EDB"/>
    <w:rsid w:val="5B954979"/>
    <w:rsid w:val="5B9A5389"/>
    <w:rsid w:val="5BA106C3"/>
    <w:rsid w:val="5BA23E64"/>
    <w:rsid w:val="5BBE156E"/>
    <w:rsid w:val="5BCAA4B3"/>
    <w:rsid w:val="5BD6850C"/>
    <w:rsid w:val="5BE10DB9"/>
    <w:rsid w:val="5BE15A3F"/>
    <w:rsid w:val="5BF9173E"/>
    <w:rsid w:val="5BFF5BB0"/>
    <w:rsid w:val="5C076A71"/>
    <w:rsid w:val="5C146002"/>
    <w:rsid w:val="5C1543A8"/>
    <w:rsid w:val="5C17ED04"/>
    <w:rsid w:val="5C208BC7"/>
    <w:rsid w:val="5C24356D"/>
    <w:rsid w:val="5C432B46"/>
    <w:rsid w:val="5C537F09"/>
    <w:rsid w:val="5C5E1E87"/>
    <w:rsid w:val="5C6F1A55"/>
    <w:rsid w:val="5C77E5B4"/>
    <w:rsid w:val="5C85424F"/>
    <w:rsid w:val="5C996454"/>
    <w:rsid w:val="5C9C47ED"/>
    <w:rsid w:val="5CA263B9"/>
    <w:rsid w:val="5CA5040C"/>
    <w:rsid w:val="5CA72002"/>
    <w:rsid w:val="5CA7498E"/>
    <w:rsid w:val="5CAC4688"/>
    <w:rsid w:val="5CB14C2F"/>
    <w:rsid w:val="5CB77F77"/>
    <w:rsid w:val="5CC32676"/>
    <w:rsid w:val="5CD27C04"/>
    <w:rsid w:val="5CD86660"/>
    <w:rsid w:val="5CDC95AD"/>
    <w:rsid w:val="5CE43E71"/>
    <w:rsid w:val="5CFA3237"/>
    <w:rsid w:val="5D015BB7"/>
    <w:rsid w:val="5D10AA0C"/>
    <w:rsid w:val="5D1A27D4"/>
    <w:rsid w:val="5D1D22C5"/>
    <w:rsid w:val="5D27B91A"/>
    <w:rsid w:val="5D3C4797"/>
    <w:rsid w:val="5D3C98A9"/>
    <w:rsid w:val="5D3D3809"/>
    <w:rsid w:val="5D4847A4"/>
    <w:rsid w:val="5D574612"/>
    <w:rsid w:val="5D5C467E"/>
    <w:rsid w:val="5D641CA2"/>
    <w:rsid w:val="5D730D16"/>
    <w:rsid w:val="5D8660BC"/>
    <w:rsid w:val="5D8D744A"/>
    <w:rsid w:val="5D9462AE"/>
    <w:rsid w:val="5D9C58DF"/>
    <w:rsid w:val="5DAF56EE"/>
    <w:rsid w:val="5DB859AD"/>
    <w:rsid w:val="5DD276B3"/>
    <w:rsid w:val="5DD27DBF"/>
    <w:rsid w:val="5DFD4E23"/>
    <w:rsid w:val="5DFF3018"/>
    <w:rsid w:val="5E052FC6"/>
    <w:rsid w:val="5E056FE1"/>
    <w:rsid w:val="5E13EDD5"/>
    <w:rsid w:val="5E1BBB92"/>
    <w:rsid w:val="5E22846C"/>
    <w:rsid w:val="5E27164D"/>
    <w:rsid w:val="5E2A2988"/>
    <w:rsid w:val="5E3A3E62"/>
    <w:rsid w:val="5E530C5B"/>
    <w:rsid w:val="5E56208B"/>
    <w:rsid w:val="5E572A89"/>
    <w:rsid w:val="5E7053EF"/>
    <w:rsid w:val="5E841D16"/>
    <w:rsid w:val="5E85483E"/>
    <w:rsid w:val="5E920EAC"/>
    <w:rsid w:val="5EA406BF"/>
    <w:rsid w:val="5EA666D3"/>
    <w:rsid w:val="5EAE7C5F"/>
    <w:rsid w:val="5EB669F0"/>
    <w:rsid w:val="5EB86740"/>
    <w:rsid w:val="5EC13E46"/>
    <w:rsid w:val="5ECA3D86"/>
    <w:rsid w:val="5ECD1C7C"/>
    <w:rsid w:val="5ECD2757"/>
    <w:rsid w:val="5ED56E00"/>
    <w:rsid w:val="5EDB5515"/>
    <w:rsid w:val="5EDBD309"/>
    <w:rsid w:val="5EDF9BB3"/>
    <w:rsid w:val="5EDFE3B4"/>
    <w:rsid w:val="5EF6E4D3"/>
    <w:rsid w:val="5EFF6126"/>
    <w:rsid w:val="5F0D6DC8"/>
    <w:rsid w:val="5F21A3E3"/>
    <w:rsid w:val="5F36A23B"/>
    <w:rsid w:val="5F3758C0"/>
    <w:rsid w:val="5F396434"/>
    <w:rsid w:val="5F485356"/>
    <w:rsid w:val="5F4E105B"/>
    <w:rsid w:val="5F521131"/>
    <w:rsid w:val="5F55AF5B"/>
    <w:rsid w:val="5F561D71"/>
    <w:rsid w:val="5F604DD9"/>
    <w:rsid w:val="5F65058B"/>
    <w:rsid w:val="5F70492E"/>
    <w:rsid w:val="5F8BD493"/>
    <w:rsid w:val="5F8D4FB7"/>
    <w:rsid w:val="5F95AFE4"/>
    <w:rsid w:val="5FAA42E4"/>
    <w:rsid w:val="5FC2B7E4"/>
    <w:rsid w:val="5FC7B3CE"/>
    <w:rsid w:val="5FD00486"/>
    <w:rsid w:val="5FD26CE1"/>
    <w:rsid w:val="5FD72B7F"/>
    <w:rsid w:val="5FDF447A"/>
    <w:rsid w:val="5FE46980"/>
    <w:rsid w:val="5FE5AD7B"/>
    <w:rsid w:val="600F24C5"/>
    <w:rsid w:val="600F669C"/>
    <w:rsid w:val="6010F1A4"/>
    <w:rsid w:val="6015606F"/>
    <w:rsid w:val="601E4686"/>
    <w:rsid w:val="60210357"/>
    <w:rsid w:val="60321A79"/>
    <w:rsid w:val="60541FE3"/>
    <w:rsid w:val="6065ED77"/>
    <w:rsid w:val="607062CF"/>
    <w:rsid w:val="607465D6"/>
    <w:rsid w:val="60752BE8"/>
    <w:rsid w:val="60762418"/>
    <w:rsid w:val="60765F74"/>
    <w:rsid w:val="60852305"/>
    <w:rsid w:val="6087A90D"/>
    <w:rsid w:val="6087B4BA"/>
    <w:rsid w:val="608DD309"/>
    <w:rsid w:val="60909314"/>
    <w:rsid w:val="60915CE5"/>
    <w:rsid w:val="60B3541A"/>
    <w:rsid w:val="60B87F50"/>
    <w:rsid w:val="60B9ACCB"/>
    <w:rsid w:val="60EB373B"/>
    <w:rsid w:val="60FC8F90"/>
    <w:rsid w:val="60FE7241"/>
    <w:rsid w:val="61012E91"/>
    <w:rsid w:val="61235AD9"/>
    <w:rsid w:val="612F3876"/>
    <w:rsid w:val="612FD598"/>
    <w:rsid w:val="613656E9"/>
    <w:rsid w:val="61366567"/>
    <w:rsid w:val="613D0F3B"/>
    <w:rsid w:val="6142054C"/>
    <w:rsid w:val="6142E359"/>
    <w:rsid w:val="6145218D"/>
    <w:rsid w:val="61475A8E"/>
    <w:rsid w:val="61504A17"/>
    <w:rsid w:val="61506FE6"/>
    <w:rsid w:val="617406C7"/>
    <w:rsid w:val="617A9759"/>
    <w:rsid w:val="618162DA"/>
    <w:rsid w:val="6188B6AF"/>
    <w:rsid w:val="61A15297"/>
    <w:rsid w:val="61A62CB1"/>
    <w:rsid w:val="61A7318E"/>
    <w:rsid w:val="61AF1358"/>
    <w:rsid w:val="61B522CA"/>
    <w:rsid w:val="61C3168D"/>
    <w:rsid w:val="61CE25B5"/>
    <w:rsid w:val="61CEE9E1"/>
    <w:rsid w:val="61D93BE8"/>
    <w:rsid w:val="61E7553D"/>
    <w:rsid w:val="61E948E1"/>
    <w:rsid w:val="61E9C027"/>
    <w:rsid w:val="61EACF7E"/>
    <w:rsid w:val="61F215CC"/>
    <w:rsid w:val="61F316F6"/>
    <w:rsid w:val="6204054C"/>
    <w:rsid w:val="62042BEA"/>
    <w:rsid w:val="6225983F"/>
    <w:rsid w:val="622D2FAA"/>
    <w:rsid w:val="62371985"/>
    <w:rsid w:val="62374EE0"/>
    <w:rsid w:val="623936FD"/>
    <w:rsid w:val="623F4814"/>
    <w:rsid w:val="624E30E9"/>
    <w:rsid w:val="624F2F20"/>
    <w:rsid w:val="627109AC"/>
    <w:rsid w:val="62771ACB"/>
    <w:rsid w:val="62847865"/>
    <w:rsid w:val="629D7D91"/>
    <w:rsid w:val="62A35132"/>
    <w:rsid w:val="62A43E06"/>
    <w:rsid w:val="62A93073"/>
    <w:rsid w:val="62D16AC9"/>
    <w:rsid w:val="62DB4D1F"/>
    <w:rsid w:val="62E53885"/>
    <w:rsid w:val="62F039CB"/>
    <w:rsid w:val="62F2BE3F"/>
    <w:rsid w:val="62FA2D59"/>
    <w:rsid w:val="62FC3FD2"/>
    <w:rsid w:val="62FC5E66"/>
    <w:rsid w:val="63034E66"/>
    <w:rsid w:val="6303C257"/>
    <w:rsid w:val="63065CD5"/>
    <w:rsid w:val="63091321"/>
    <w:rsid w:val="630B9A30"/>
    <w:rsid w:val="632A1297"/>
    <w:rsid w:val="6357BC10"/>
    <w:rsid w:val="636B5B38"/>
    <w:rsid w:val="637846F9"/>
    <w:rsid w:val="639257BA"/>
    <w:rsid w:val="63A4104A"/>
    <w:rsid w:val="63A454EE"/>
    <w:rsid w:val="63BB3E76"/>
    <w:rsid w:val="63C66480"/>
    <w:rsid w:val="63C82253"/>
    <w:rsid w:val="63DE255A"/>
    <w:rsid w:val="63E56E61"/>
    <w:rsid w:val="63E8CA76"/>
    <w:rsid w:val="63EF49BB"/>
    <w:rsid w:val="641C6E32"/>
    <w:rsid w:val="642C7EEB"/>
    <w:rsid w:val="6436FA83"/>
    <w:rsid w:val="644A5925"/>
    <w:rsid w:val="6451255C"/>
    <w:rsid w:val="64547870"/>
    <w:rsid w:val="646C7BE2"/>
    <w:rsid w:val="647136B6"/>
    <w:rsid w:val="647371FB"/>
    <w:rsid w:val="64744EC0"/>
    <w:rsid w:val="64833FCA"/>
    <w:rsid w:val="64934472"/>
    <w:rsid w:val="649A5806"/>
    <w:rsid w:val="649B1A22"/>
    <w:rsid w:val="64A60F99"/>
    <w:rsid w:val="64B1E61F"/>
    <w:rsid w:val="64C04F46"/>
    <w:rsid w:val="64DC684A"/>
    <w:rsid w:val="64DD2A65"/>
    <w:rsid w:val="64F93617"/>
    <w:rsid w:val="64FB051F"/>
    <w:rsid w:val="64FC402D"/>
    <w:rsid w:val="650C15A7"/>
    <w:rsid w:val="652B5A36"/>
    <w:rsid w:val="6530E409"/>
    <w:rsid w:val="6532281F"/>
    <w:rsid w:val="65383B86"/>
    <w:rsid w:val="653B2000"/>
    <w:rsid w:val="65445983"/>
    <w:rsid w:val="6544E02D"/>
    <w:rsid w:val="654523B9"/>
    <w:rsid w:val="655B2F43"/>
    <w:rsid w:val="65612ECE"/>
    <w:rsid w:val="656861D4"/>
    <w:rsid w:val="656876F5"/>
    <w:rsid w:val="656B0AAB"/>
    <w:rsid w:val="656E440F"/>
    <w:rsid w:val="65D247E6"/>
    <w:rsid w:val="65EE26B7"/>
    <w:rsid w:val="660AB75B"/>
    <w:rsid w:val="66119C2C"/>
    <w:rsid w:val="661F05C7"/>
    <w:rsid w:val="66211F05"/>
    <w:rsid w:val="66299B0C"/>
    <w:rsid w:val="662A5C78"/>
    <w:rsid w:val="662C0633"/>
    <w:rsid w:val="663A7A43"/>
    <w:rsid w:val="663E5786"/>
    <w:rsid w:val="66466592"/>
    <w:rsid w:val="664A7767"/>
    <w:rsid w:val="6651863C"/>
    <w:rsid w:val="66535EEF"/>
    <w:rsid w:val="665FC52C"/>
    <w:rsid w:val="66612F0E"/>
    <w:rsid w:val="66631D0B"/>
    <w:rsid w:val="6677D1FE"/>
    <w:rsid w:val="667F048D"/>
    <w:rsid w:val="6686E4CD"/>
    <w:rsid w:val="669C06FE"/>
    <w:rsid w:val="66A1A49E"/>
    <w:rsid w:val="66B01CD9"/>
    <w:rsid w:val="66B2BEBA"/>
    <w:rsid w:val="66B54604"/>
    <w:rsid w:val="66BBA7B2"/>
    <w:rsid w:val="66BE86EC"/>
    <w:rsid w:val="66D0782E"/>
    <w:rsid w:val="66D5FFC3"/>
    <w:rsid w:val="66DA8088"/>
    <w:rsid w:val="66DC4A4B"/>
    <w:rsid w:val="66DE4873"/>
    <w:rsid w:val="66E63727"/>
    <w:rsid w:val="66EA1469"/>
    <w:rsid w:val="66F4428B"/>
    <w:rsid w:val="66F66FFA"/>
    <w:rsid w:val="670057E3"/>
    <w:rsid w:val="6712276E"/>
    <w:rsid w:val="67147DD5"/>
    <w:rsid w:val="67172DA7"/>
    <w:rsid w:val="67310E46"/>
    <w:rsid w:val="6739DF26"/>
    <w:rsid w:val="673E5311"/>
    <w:rsid w:val="67435FE3"/>
    <w:rsid w:val="67492634"/>
    <w:rsid w:val="6749BC7A"/>
    <w:rsid w:val="67567483"/>
    <w:rsid w:val="675E46B1"/>
    <w:rsid w:val="67666F15"/>
    <w:rsid w:val="67694B35"/>
    <w:rsid w:val="6793565D"/>
    <w:rsid w:val="67982C74"/>
    <w:rsid w:val="67A1DDF0"/>
    <w:rsid w:val="67AD287C"/>
    <w:rsid w:val="67BA3B71"/>
    <w:rsid w:val="67C24194"/>
    <w:rsid w:val="67C577E1"/>
    <w:rsid w:val="67D3135C"/>
    <w:rsid w:val="67D3D62F"/>
    <w:rsid w:val="67E6B3D3"/>
    <w:rsid w:val="67ED9A4D"/>
    <w:rsid w:val="67F0B390"/>
    <w:rsid w:val="67F51F1B"/>
    <w:rsid w:val="67FF00BD"/>
    <w:rsid w:val="68016F1A"/>
    <w:rsid w:val="680E51F3"/>
    <w:rsid w:val="6818192D"/>
    <w:rsid w:val="6818CD69"/>
    <w:rsid w:val="681CFDB9"/>
    <w:rsid w:val="68376A4C"/>
    <w:rsid w:val="683C20D3"/>
    <w:rsid w:val="684687F3"/>
    <w:rsid w:val="685FAB70"/>
    <w:rsid w:val="686553E0"/>
    <w:rsid w:val="68680898"/>
    <w:rsid w:val="6887A814"/>
    <w:rsid w:val="688C5948"/>
    <w:rsid w:val="68955405"/>
    <w:rsid w:val="6896A155"/>
    <w:rsid w:val="68A39E48"/>
    <w:rsid w:val="68AF0507"/>
    <w:rsid w:val="68B12E7A"/>
    <w:rsid w:val="68B20463"/>
    <w:rsid w:val="68B4D92D"/>
    <w:rsid w:val="68BA0E02"/>
    <w:rsid w:val="68BB130F"/>
    <w:rsid w:val="68C42F08"/>
    <w:rsid w:val="68CAD16E"/>
    <w:rsid w:val="68D1E1E7"/>
    <w:rsid w:val="68D347A9"/>
    <w:rsid w:val="68DCCDEC"/>
    <w:rsid w:val="68E135A9"/>
    <w:rsid w:val="68F62348"/>
    <w:rsid w:val="68FB170C"/>
    <w:rsid w:val="68FC6958"/>
    <w:rsid w:val="69042EF7"/>
    <w:rsid w:val="69071DC4"/>
    <w:rsid w:val="69183592"/>
    <w:rsid w:val="691933D8"/>
    <w:rsid w:val="691C62D1"/>
    <w:rsid w:val="691E4CC0"/>
    <w:rsid w:val="69224EEB"/>
    <w:rsid w:val="69256789"/>
    <w:rsid w:val="692F5993"/>
    <w:rsid w:val="693410C2"/>
    <w:rsid w:val="69362969"/>
    <w:rsid w:val="693C3AD3"/>
    <w:rsid w:val="694D7A8E"/>
    <w:rsid w:val="6955407F"/>
    <w:rsid w:val="6955A9D2"/>
    <w:rsid w:val="69573D76"/>
    <w:rsid w:val="696C5DC5"/>
    <w:rsid w:val="69757DC7"/>
    <w:rsid w:val="69777A85"/>
    <w:rsid w:val="69821E2D"/>
    <w:rsid w:val="6996ABA7"/>
    <w:rsid w:val="699A2FE0"/>
    <w:rsid w:val="699B6517"/>
    <w:rsid w:val="69B17B8A"/>
    <w:rsid w:val="69B90A59"/>
    <w:rsid w:val="69B9477B"/>
    <w:rsid w:val="69BB7EAF"/>
    <w:rsid w:val="69C7DB7E"/>
    <w:rsid w:val="69CCB83C"/>
    <w:rsid w:val="69DF5604"/>
    <w:rsid w:val="69EA26D0"/>
    <w:rsid w:val="69F12901"/>
    <w:rsid w:val="6A107439"/>
    <w:rsid w:val="6A12746A"/>
    <w:rsid w:val="6A1C0D06"/>
    <w:rsid w:val="6A271505"/>
    <w:rsid w:val="6A30E4BA"/>
    <w:rsid w:val="6A313CEF"/>
    <w:rsid w:val="6A39656C"/>
    <w:rsid w:val="6A3DF2B9"/>
    <w:rsid w:val="6A42E8AE"/>
    <w:rsid w:val="6A643EB2"/>
    <w:rsid w:val="6A64DA2B"/>
    <w:rsid w:val="6A687275"/>
    <w:rsid w:val="6A725F1C"/>
    <w:rsid w:val="6A7E9DA4"/>
    <w:rsid w:val="6A882AE7"/>
    <w:rsid w:val="6A8D6D5B"/>
    <w:rsid w:val="6A93044D"/>
    <w:rsid w:val="6A97DA62"/>
    <w:rsid w:val="6A9BD7DD"/>
    <w:rsid w:val="6A9C2A7B"/>
    <w:rsid w:val="6A9CCE15"/>
    <w:rsid w:val="6AA3CC81"/>
    <w:rsid w:val="6AAE0EF3"/>
    <w:rsid w:val="6AC10E41"/>
    <w:rsid w:val="6AC26C7C"/>
    <w:rsid w:val="6ACE1D1F"/>
    <w:rsid w:val="6AD902B6"/>
    <w:rsid w:val="6ADA35A3"/>
    <w:rsid w:val="6AE33F47"/>
    <w:rsid w:val="6AE7C0E2"/>
    <w:rsid w:val="6B15DCFE"/>
    <w:rsid w:val="6B182A49"/>
    <w:rsid w:val="6B1D0421"/>
    <w:rsid w:val="6B1FC481"/>
    <w:rsid w:val="6B206B06"/>
    <w:rsid w:val="6B22A4E1"/>
    <w:rsid w:val="6B463E9A"/>
    <w:rsid w:val="6B4D0C45"/>
    <w:rsid w:val="6B4DDC16"/>
    <w:rsid w:val="6B5F5D14"/>
    <w:rsid w:val="6B70C833"/>
    <w:rsid w:val="6B7E2561"/>
    <w:rsid w:val="6B80A617"/>
    <w:rsid w:val="6B924837"/>
    <w:rsid w:val="6B925D84"/>
    <w:rsid w:val="6B9AB8EA"/>
    <w:rsid w:val="6BABCD20"/>
    <w:rsid w:val="6BCA22CF"/>
    <w:rsid w:val="6BCC55E2"/>
    <w:rsid w:val="6BCEE472"/>
    <w:rsid w:val="6BE9562E"/>
    <w:rsid w:val="6BEA109C"/>
    <w:rsid w:val="6BF341A8"/>
    <w:rsid w:val="6BF6440D"/>
    <w:rsid w:val="6BF8A409"/>
    <w:rsid w:val="6BFC5483"/>
    <w:rsid w:val="6BFD1C3F"/>
    <w:rsid w:val="6BFE9DA8"/>
    <w:rsid w:val="6C203C84"/>
    <w:rsid w:val="6C2C42D2"/>
    <w:rsid w:val="6C2D70F8"/>
    <w:rsid w:val="6C33D355"/>
    <w:rsid w:val="6C3B1C8B"/>
    <w:rsid w:val="6C3B62C3"/>
    <w:rsid w:val="6C54EF71"/>
    <w:rsid w:val="6C55F457"/>
    <w:rsid w:val="6C5B205C"/>
    <w:rsid w:val="6C6D2921"/>
    <w:rsid w:val="6C6D4C1F"/>
    <w:rsid w:val="6C70C175"/>
    <w:rsid w:val="6C835E6F"/>
    <w:rsid w:val="6C8A2BED"/>
    <w:rsid w:val="6C8F1956"/>
    <w:rsid w:val="6C9010F1"/>
    <w:rsid w:val="6C905AC8"/>
    <w:rsid w:val="6C96698A"/>
    <w:rsid w:val="6CC69274"/>
    <w:rsid w:val="6CEA08A6"/>
    <w:rsid w:val="6CEBC431"/>
    <w:rsid w:val="6CF77A68"/>
    <w:rsid w:val="6D003795"/>
    <w:rsid w:val="6D0392E5"/>
    <w:rsid w:val="6D13497E"/>
    <w:rsid w:val="6D1F6F88"/>
    <w:rsid w:val="6D22A512"/>
    <w:rsid w:val="6D3B2A1F"/>
    <w:rsid w:val="6D3FE8F0"/>
    <w:rsid w:val="6D400C97"/>
    <w:rsid w:val="6D491E8E"/>
    <w:rsid w:val="6D572448"/>
    <w:rsid w:val="6D702199"/>
    <w:rsid w:val="6D920165"/>
    <w:rsid w:val="6D9E4D5C"/>
    <w:rsid w:val="6D9E6B0A"/>
    <w:rsid w:val="6DAD78B3"/>
    <w:rsid w:val="6DB5EB16"/>
    <w:rsid w:val="6DBD115A"/>
    <w:rsid w:val="6DC04CD2"/>
    <w:rsid w:val="6DC1331E"/>
    <w:rsid w:val="6DD8622F"/>
    <w:rsid w:val="6DDE33AA"/>
    <w:rsid w:val="6DE693D0"/>
    <w:rsid w:val="6DEAD7E5"/>
    <w:rsid w:val="6DEE2DA9"/>
    <w:rsid w:val="6DF50A40"/>
    <w:rsid w:val="6E0290D9"/>
    <w:rsid w:val="6E0710DA"/>
    <w:rsid w:val="6E0C7F17"/>
    <w:rsid w:val="6E0D7EC3"/>
    <w:rsid w:val="6E125A4F"/>
    <w:rsid w:val="6E1E77A6"/>
    <w:rsid w:val="6E245E0D"/>
    <w:rsid w:val="6E2D18C8"/>
    <w:rsid w:val="6E3043DA"/>
    <w:rsid w:val="6E502BB9"/>
    <w:rsid w:val="6E505B4B"/>
    <w:rsid w:val="6E6865C5"/>
    <w:rsid w:val="6E781A51"/>
    <w:rsid w:val="6E78714C"/>
    <w:rsid w:val="6E8757F0"/>
    <w:rsid w:val="6E8B7514"/>
    <w:rsid w:val="6E90C670"/>
    <w:rsid w:val="6E96C921"/>
    <w:rsid w:val="6E9E4A35"/>
    <w:rsid w:val="6E9EF4C8"/>
    <w:rsid w:val="6EA113FA"/>
    <w:rsid w:val="6EB717E1"/>
    <w:rsid w:val="6EB760D5"/>
    <w:rsid w:val="6EBF289F"/>
    <w:rsid w:val="6EC77B92"/>
    <w:rsid w:val="6ECC02F1"/>
    <w:rsid w:val="6ECF180A"/>
    <w:rsid w:val="6ED0A945"/>
    <w:rsid w:val="6ED9D1E9"/>
    <w:rsid w:val="6EE4487B"/>
    <w:rsid w:val="6EF2073D"/>
    <w:rsid w:val="6EF44517"/>
    <w:rsid w:val="6EFC4EC3"/>
    <w:rsid w:val="6F05181C"/>
    <w:rsid w:val="6F26E190"/>
    <w:rsid w:val="6F3704CB"/>
    <w:rsid w:val="6F60243C"/>
    <w:rsid w:val="6F753FA7"/>
    <w:rsid w:val="6F8166E3"/>
    <w:rsid w:val="6F9C5A16"/>
    <w:rsid w:val="6F9F556C"/>
    <w:rsid w:val="6FB10D76"/>
    <w:rsid w:val="6FB30265"/>
    <w:rsid w:val="6FB5BA1E"/>
    <w:rsid w:val="6FC51D1E"/>
    <w:rsid w:val="6FD2F4FC"/>
    <w:rsid w:val="6FD34577"/>
    <w:rsid w:val="6FE07E43"/>
    <w:rsid w:val="6FED5B27"/>
    <w:rsid w:val="6FF76C81"/>
    <w:rsid w:val="6FFD3FBC"/>
    <w:rsid w:val="7006D864"/>
    <w:rsid w:val="70171AC2"/>
    <w:rsid w:val="701D5A8F"/>
    <w:rsid w:val="70327CD9"/>
    <w:rsid w:val="7032A378"/>
    <w:rsid w:val="70496B50"/>
    <w:rsid w:val="704C204A"/>
    <w:rsid w:val="705088C4"/>
    <w:rsid w:val="70671BF4"/>
    <w:rsid w:val="7069AA55"/>
    <w:rsid w:val="706A7223"/>
    <w:rsid w:val="706A7CAE"/>
    <w:rsid w:val="706B361B"/>
    <w:rsid w:val="70760D3D"/>
    <w:rsid w:val="70827DB6"/>
    <w:rsid w:val="70904E30"/>
    <w:rsid w:val="70A9CDDB"/>
    <w:rsid w:val="70B2238B"/>
    <w:rsid w:val="70B96084"/>
    <w:rsid w:val="70BA1E5A"/>
    <w:rsid w:val="70BA3C5B"/>
    <w:rsid w:val="70CC45E4"/>
    <w:rsid w:val="70E8EE6E"/>
    <w:rsid w:val="70F0F12F"/>
    <w:rsid w:val="70F508A8"/>
    <w:rsid w:val="70F81D2B"/>
    <w:rsid w:val="70FF5B11"/>
    <w:rsid w:val="7104B7EE"/>
    <w:rsid w:val="713DB27F"/>
    <w:rsid w:val="7148395C"/>
    <w:rsid w:val="71485386"/>
    <w:rsid w:val="71557E27"/>
    <w:rsid w:val="7159444A"/>
    <w:rsid w:val="715EFAED"/>
    <w:rsid w:val="715F0E52"/>
    <w:rsid w:val="7164A3B4"/>
    <w:rsid w:val="716BB912"/>
    <w:rsid w:val="71716C8A"/>
    <w:rsid w:val="717B6CF2"/>
    <w:rsid w:val="71815CB9"/>
    <w:rsid w:val="71864485"/>
    <w:rsid w:val="718D8C56"/>
    <w:rsid w:val="719402CF"/>
    <w:rsid w:val="71A4B362"/>
    <w:rsid w:val="71B803D0"/>
    <w:rsid w:val="71C90E15"/>
    <w:rsid w:val="71CC2A55"/>
    <w:rsid w:val="71D04CD8"/>
    <w:rsid w:val="71D19263"/>
    <w:rsid w:val="71E26F38"/>
    <w:rsid w:val="71EC035D"/>
    <w:rsid w:val="71F60C84"/>
    <w:rsid w:val="71F6CA3B"/>
    <w:rsid w:val="71FD567B"/>
    <w:rsid w:val="72181611"/>
    <w:rsid w:val="721D2F40"/>
    <w:rsid w:val="722A07FB"/>
    <w:rsid w:val="723B701D"/>
    <w:rsid w:val="723C374D"/>
    <w:rsid w:val="723D27D0"/>
    <w:rsid w:val="723F92A2"/>
    <w:rsid w:val="7246DFB7"/>
    <w:rsid w:val="727188AB"/>
    <w:rsid w:val="72750771"/>
    <w:rsid w:val="729DEF5B"/>
    <w:rsid w:val="72C3E0AC"/>
    <w:rsid w:val="72C60FDD"/>
    <w:rsid w:val="72CE6855"/>
    <w:rsid w:val="72D527BB"/>
    <w:rsid w:val="72E63AB2"/>
    <w:rsid w:val="72EA41E5"/>
    <w:rsid w:val="72F23886"/>
    <w:rsid w:val="72FAF577"/>
    <w:rsid w:val="7302773F"/>
    <w:rsid w:val="73054C1F"/>
    <w:rsid w:val="73075151"/>
    <w:rsid w:val="73163866"/>
    <w:rsid w:val="732A7DD4"/>
    <w:rsid w:val="733A3FDB"/>
    <w:rsid w:val="733D5928"/>
    <w:rsid w:val="7342564E"/>
    <w:rsid w:val="734A6EFF"/>
    <w:rsid w:val="734C50BA"/>
    <w:rsid w:val="737009CF"/>
    <w:rsid w:val="7375061D"/>
    <w:rsid w:val="7378CE46"/>
    <w:rsid w:val="738E13CF"/>
    <w:rsid w:val="73916786"/>
    <w:rsid w:val="73935EEA"/>
    <w:rsid w:val="7399224D"/>
    <w:rsid w:val="73AECEBF"/>
    <w:rsid w:val="73BD15C2"/>
    <w:rsid w:val="73C352AF"/>
    <w:rsid w:val="73C4551F"/>
    <w:rsid w:val="73D35837"/>
    <w:rsid w:val="73D40785"/>
    <w:rsid w:val="73E5678B"/>
    <w:rsid w:val="73E95F03"/>
    <w:rsid w:val="73F2195D"/>
    <w:rsid w:val="73FF0C68"/>
    <w:rsid w:val="740244EA"/>
    <w:rsid w:val="740A58F3"/>
    <w:rsid w:val="740ABFAA"/>
    <w:rsid w:val="74129E13"/>
    <w:rsid w:val="741527D0"/>
    <w:rsid w:val="74235FBB"/>
    <w:rsid w:val="74278C92"/>
    <w:rsid w:val="7435ABA5"/>
    <w:rsid w:val="74385888"/>
    <w:rsid w:val="74387E76"/>
    <w:rsid w:val="74515D69"/>
    <w:rsid w:val="7457184C"/>
    <w:rsid w:val="745EDA66"/>
    <w:rsid w:val="74633A05"/>
    <w:rsid w:val="746EAB98"/>
    <w:rsid w:val="746F1200"/>
    <w:rsid w:val="74A236FB"/>
    <w:rsid w:val="74B67630"/>
    <w:rsid w:val="74B92901"/>
    <w:rsid w:val="74BF250F"/>
    <w:rsid w:val="74C635F2"/>
    <w:rsid w:val="74D65A4E"/>
    <w:rsid w:val="750180AE"/>
    <w:rsid w:val="7504A841"/>
    <w:rsid w:val="7513AF66"/>
    <w:rsid w:val="751F3049"/>
    <w:rsid w:val="75221C39"/>
    <w:rsid w:val="7542F194"/>
    <w:rsid w:val="754524E5"/>
    <w:rsid w:val="75491A51"/>
    <w:rsid w:val="7555CB75"/>
    <w:rsid w:val="7565D308"/>
    <w:rsid w:val="756708DA"/>
    <w:rsid w:val="756B4DD2"/>
    <w:rsid w:val="756B818B"/>
    <w:rsid w:val="757A8857"/>
    <w:rsid w:val="757C348F"/>
    <w:rsid w:val="757E77E7"/>
    <w:rsid w:val="758B4C22"/>
    <w:rsid w:val="75A55A90"/>
    <w:rsid w:val="75B01AD0"/>
    <w:rsid w:val="75B831EC"/>
    <w:rsid w:val="75C67307"/>
    <w:rsid w:val="75D4E280"/>
    <w:rsid w:val="75DE7ACB"/>
    <w:rsid w:val="75DFE338"/>
    <w:rsid w:val="75E17DA8"/>
    <w:rsid w:val="75EA691D"/>
    <w:rsid w:val="75EEFA3C"/>
    <w:rsid w:val="75FC6F83"/>
    <w:rsid w:val="7602E9D2"/>
    <w:rsid w:val="760ABDB4"/>
    <w:rsid w:val="760DBCBB"/>
    <w:rsid w:val="760E1A1F"/>
    <w:rsid w:val="761E2EDE"/>
    <w:rsid w:val="762B73A9"/>
    <w:rsid w:val="76324586"/>
    <w:rsid w:val="76360227"/>
    <w:rsid w:val="763B5E9B"/>
    <w:rsid w:val="7643042F"/>
    <w:rsid w:val="76524935"/>
    <w:rsid w:val="76593F16"/>
    <w:rsid w:val="76632BC2"/>
    <w:rsid w:val="76642529"/>
    <w:rsid w:val="76663680"/>
    <w:rsid w:val="766DB363"/>
    <w:rsid w:val="7673E367"/>
    <w:rsid w:val="76744EB1"/>
    <w:rsid w:val="76766EF2"/>
    <w:rsid w:val="7676ECA3"/>
    <w:rsid w:val="7679DB58"/>
    <w:rsid w:val="767D324F"/>
    <w:rsid w:val="767E397C"/>
    <w:rsid w:val="76850A2D"/>
    <w:rsid w:val="76A15D65"/>
    <w:rsid w:val="76A16802"/>
    <w:rsid w:val="76A3A2F5"/>
    <w:rsid w:val="76A553AD"/>
    <w:rsid w:val="76AB7B72"/>
    <w:rsid w:val="76AF3B36"/>
    <w:rsid w:val="76B76937"/>
    <w:rsid w:val="76C59367"/>
    <w:rsid w:val="76E1E957"/>
    <w:rsid w:val="76E533F4"/>
    <w:rsid w:val="7702635B"/>
    <w:rsid w:val="7702BD5F"/>
    <w:rsid w:val="771C605E"/>
    <w:rsid w:val="774B18F9"/>
    <w:rsid w:val="77525939"/>
    <w:rsid w:val="775766A7"/>
    <w:rsid w:val="77594D7A"/>
    <w:rsid w:val="7761C467"/>
    <w:rsid w:val="776D37C8"/>
    <w:rsid w:val="77754D7F"/>
    <w:rsid w:val="77765E3D"/>
    <w:rsid w:val="77855C75"/>
    <w:rsid w:val="778D46F0"/>
    <w:rsid w:val="778D4AAF"/>
    <w:rsid w:val="779A5CCA"/>
    <w:rsid w:val="77C117E6"/>
    <w:rsid w:val="77C94925"/>
    <w:rsid w:val="77CAFE0E"/>
    <w:rsid w:val="77D871CF"/>
    <w:rsid w:val="77DC13E8"/>
    <w:rsid w:val="77EA54F9"/>
    <w:rsid w:val="77EE0C42"/>
    <w:rsid w:val="77F85AD8"/>
    <w:rsid w:val="78081252"/>
    <w:rsid w:val="7809266F"/>
    <w:rsid w:val="7837C42C"/>
    <w:rsid w:val="78393FFF"/>
    <w:rsid w:val="783AC2E8"/>
    <w:rsid w:val="784704EF"/>
    <w:rsid w:val="784C4D4D"/>
    <w:rsid w:val="785AF852"/>
    <w:rsid w:val="785B5855"/>
    <w:rsid w:val="787011A5"/>
    <w:rsid w:val="78767001"/>
    <w:rsid w:val="78811502"/>
    <w:rsid w:val="78AD22F7"/>
    <w:rsid w:val="78C55623"/>
    <w:rsid w:val="78CB5492"/>
    <w:rsid w:val="78D9775C"/>
    <w:rsid w:val="78E068EC"/>
    <w:rsid w:val="78F46178"/>
    <w:rsid w:val="78F56184"/>
    <w:rsid w:val="78FA19E0"/>
    <w:rsid w:val="79035AED"/>
    <w:rsid w:val="79055E20"/>
    <w:rsid w:val="790E9B1B"/>
    <w:rsid w:val="794123C8"/>
    <w:rsid w:val="794AF18D"/>
    <w:rsid w:val="794B3FEA"/>
    <w:rsid w:val="7961D8E5"/>
    <w:rsid w:val="79742825"/>
    <w:rsid w:val="797937F9"/>
    <w:rsid w:val="798B6AD4"/>
    <w:rsid w:val="799C4845"/>
    <w:rsid w:val="799D5A89"/>
    <w:rsid w:val="79B0D666"/>
    <w:rsid w:val="79B569B7"/>
    <w:rsid w:val="79C79A9F"/>
    <w:rsid w:val="79CD2C51"/>
    <w:rsid w:val="79D614B5"/>
    <w:rsid w:val="79D95E5F"/>
    <w:rsid w:val="79DF0BD6"/>
    <w:rsid w:val="79E405BB"/>
    <w:rsid w:val="79F38A70"/>
    <w:rsid w:val="7A007A1A"/>
    <w:rsid w:val="7A01A0B2"/>
    <w:rsid w:val="7A05D632"/>
    <w:rsid w:val="7A080935"/>
    <w:rsid w:val="7A161428"/>
    <w:rsid w:val="7A1B644E"/>
    <w:rsid w:val="7A1B7741"/>
    <w:rsid w:val="7A210E8A"/>
    <w:rsid w:val="7A220EA6"/>
    <w:rsid w:val="7A24C09B"/>
    <w:rsid w:val="7A2C26DB"/>
    <w:rsid w:val="7A493259"/>
    <w:rsid w:val="7A58C73D"/>
    <w:rsid w:val="7A5C9F74"/>
    <w:rsid w:val="7A603743"/>
    <w:rsid w:val="7A765F18"/>
    <w:rsid w:val="7A7E03EF"/>
    <w:rsid w:val="7AA03EBA"/>
    <w:rsid w:val="7AAE6A56"/>
    <w:rsid w:val="7AB7D87E"/>
    <w:rsid w:val="7AB822C6"/>
    <w:rsid w:val="7ABB519F"/>
    <w:rsid w:val="7ABC7855"/>
    <w:rsid w:val="7ABE0BF2"/>
    <w:rsid w:val="7AD234BE"/>
    <w:rsid w:val="7AD51B86"/>
    <w:rsid w:val="7ADC6EC3"/>
    <w:rsid w:val="7AED175F"/>
    <w:rsid w:val="7AF131D3"/>
    <w:rsid w:val="7B001222"/>
    <w:rsid w:val="7B0FB75D"/>
    <w:rsid w:val="7B136D89"/>
    <w:rsid w:val="7B1F0B5E"/>
    <w:rsid w:val="7B20E858"/>
    <w:rsid w:val="7B2117CA"/>
    <w:rsid w:val="7B214161"/>
    <w:rsid w:val="7B3C3525"/>
    <w:rsid w:val="7B4038F6"/>
    <w:rsid w:val="7B4505F7"/>
    <w:rsid w:val="7B45877C"/>
    <w:rsid w:val="7B4E4E87"/>
    <w:rsid w:val="7B587DB5"/>
    <w:rsid w:val="7B5B479A"/>
    <w:rsid w:val="7B615D46"/>
    <w:rsid w:val="7B6C6499"/>
    <w:rsid w:val="7B6E7040"/>
    <w:rsid w:val="7B72B3C0"/>
    <w:rsid w:val="7B76BB99"/>
    <w:rsid w:val="7B89D37D"/>
    <w:rsid w:val="7B8A691F"/>
    <w:rsid w:val="7B8D898F"/>
    <w:rsid w:val="7B8E6410"/>
    <w:rsid w:val="7B945C7C"/>
    <w:rsid w:val="7B963516"/>
    <w:rsid w:val="7B9A9AB9"/>
    <w:rsid w:val="7B9CC170"/>
    <w:rsid w:val="7BA3331B"/>
    <w:rsid w:val="7BB40569"/>
    <w:rsid w:val="7BB451E2"/>
    <w:rsid w:val="7BB53C08"/>
    <w:rsid w:val="7BB876BE"/>
    <w:rsid w:val="7BBE0C84"/>
    <w:rsid w:val="7BBE2911"/>
    <w:rsid w:val="7BD302C6"/>
    <w:rsid w:val="7BDB0887"/>
    <w:rsid w:val="7BE008EC"/>
    <w:rsid w:val="7BE8FBEA"/>
    <w:rsid w:val="7BEC3136"/>
    <w:rsid w:val="7BF31578"/>
    <w:rsid w:val="7BF71835"/>
    <w:rsid w:val="7BF81ADB"/>
    <w:rsid w:val="7C02A326"/>
    <w:rsid w:val="7C07E7C2"/>
    <w:rsid w:val="7C0E5F3D"/>
    <w:rsid w:val="7C267753"/>
    <w:rsid w:val="7C2B5EBA"/>
    <w:rsid w:val="7C2BC6D3"/>
    <w:rsid w:val="7C2E374F"/>
    <w:rsid w:val="7C361E52"/>
    <w:rsid w:val="7C48965C"/>
    <w:rsid w:val="7C503FB1"/>
    <w:rsid w:val="7C6271DB"/>
    <w:rsid w:val="7C6C668B"/>
    <w:rsid w:val="7C81BFEB"/>
    <w:rsid w:val="7C842372"/>
    <w:rsid w:val="7C84365C"/>
    <w:rsid w:val="7C88D003"/>
    <w:rsid w:val="7C996EFF"/>
    <w:rsid w:val="7CAD41E9"/>
    <w:rsid w:val="7CB305F0"/>
    <w:rsid w:val="7CBE0F77"/>
    <w:rsid w:val="7CCD6009"/>
    <w:rsid w:val="7CCDFB99"/>
    <w:rsid w:val="7CD06326"/>
    <w:rsid w:val="7CD0EF05"/>
    <w:rsid w:val="7CDECAB3"/>
    <w:rsid w:val="7D0B6407"/>
    <w:rsid w:val="7D197F5B"/>
    <w:rsid w:val="7D2E2C54"/>
    <w:rsid w:val="7D439633"/>
    <w:rsid w:val="7D44623B"/>
    <w:rsid w:val="7D5D09A6"/>
    <w:rsid w:val="7D5DC44C"/>
    <w:rsid w:val="7D6991D6"/>
    <w:rsid w:val="7D6F2271"/>
    <w:rsid w:val="7D751845"/>
    <w:rsid w:val="7D751E6F"/>
    <w:rsid w:val="7D7978AF"/>
    <w:rsid w:val="7D7E9981"/>
    <w:rsid w:val="7D7EB3F0"/>
    <w:rsid w:val="7D821FA4"/>
    <w:rsid w:val="7D9AB518"/>
    <w:rsid w:val="7DA47C45"/>
    <w:rsid w:val="7DAC05C2"/>
    <w:rsid w:val="7DCE30A7"/>
    <w:rsid w:val="7DD100A4"/>
    <w:rsid w:val="7DD2DE84"/>
    <w:rsid w:val="7DD7F9E7"/>
    <w:rsid w:val="7DDD7A5A"/>
    <w:rsid w:val="7DDF4C28"/>
    <w:rsid w:val="7DE32BD1"/>
    <w:rsid w:val="7DE6E6DD"/>
    <w:rsid w:val="7DF35413"/>
    <w:rsid w:val="7DFC02FA"/>
    <w:rsid w:val="7DFD25D2"/>
    <w:rsid w:val="7E040C0B"/>
    <w:rsid w:val="7E066731"/>
    <w:rsid w:val="7E0B776A"/>
    <w:rsid w:val="7E1CCAF2"/>
    <w:rsid w:val="7E2532BD"/>
    <w:rsid w:val="7E292420"/>
    <w:rsid w:val="7E2D5E88"/>
    <w:rsid w:val="7E2F3F42"/>
    <w:rsid w:val="7E3C03A5"/>
    <w:rsid w:val="7E40126C"/>
    <w:rsid w:val="7E4DA65D"/>
    <w:rsid w:val="7E503E50"/>
    <w:rsid w:val="7E56DC19"/>
    <w:rsid w:val="7E576B0C"/>
    <w:rsid w:val="7E5B440C"/>
    <w:rsid w:val="7E690C03"/>
    <w:rsid w:val="7E73D858"/>
    <w:rsid w:val="7E7EDFAB"/>
    <w:rsid w:val="7E991412"/>
    <w:rsid w:val="7E9CF357"/>
    <w:rsid w:val="7EA6356B"/>
    <w:rsid w:val="7EA67F14"/>
    <w:rsid w:val="7EA83C8C"/>
    <w:rsid w:val="7EB80DAA"/>
    <w:rsid w:val="7EBB3FC3"/>
    <w:rsid w:val="7EBCF1B2"/>
    <w:rsid w:val="7EC16749"/>
    <w:rsid w:val="7EC54E6B"/>
    <w:rsid w:val="7ED0C5CE"/>
    <w:rsid w:val="7ED3780E"/>
    <w:rsid w:val="7ED4DAC8"/>
    <w:rsid w:val="7EE0DB1F"/>
    <w:rsid w:val="7EE8A810"/>
    <w:rsid w:val="7EFD0E72"/>
    <w:rsid w:val="7F055AEC"/>
    <w:rsid w:val="7F07192C"/>
    <w:rsid w:val="7F0B1356"/>
    <w:rsid w:val="7F272563"/>
    <w:rsid w:val="7F2C4EE1"/>
    <w:rsid w:val="7F2D6D2A"/>
    <w:rsid w:val="7F38BBAF"/>
    <w:rsid w:val="7F402117"/>
    <w:rsid w:val="7F47E530"/>
    <w:rsid w:val="7F504FC5"/>
    <w:rsid w:val="7F5369F2"/>
    <w:rsid w:val="7F56A393"/>
    <w:rsid w:val="7F5E259D"/>
    <w:rsid w:val="7F5E3D77"/>
    <w:rsid w:val="7F616899"/>
    <w:rsid w:val="7F82628B"/>
    <w:rsid w:val="7F9D4E73"/>
    <w:rsid w:val="7FA744A6"/>
    <w:rsid w:val="7FAE3F09"/>
    <w:rsid w:val="7FB5192D"/>
    <w:rsid w:val="7FBA2206"/>
    <w:rsid w:val="7FBD6F09"/>
    <w:rsid w:val="7FBD72C3"/>
    <w:rsid w:val="7FCD511D"/>
    <w:rsid w:val="7FD708D1"/>
    <w:rsid w:val="7FFC0707"/>
    <w:rsid w:val="801A1A6C"/>
    <w:rsid w:val="801B1697"/>
    <w:rsid w:val="801C1946"/>
    <w:rsid w:val="805C79E9"/>
    <w:rsid w:val="8061AAA1"/>
    <w:rsid w:val="807D88AD"/>
    <w:rsid w:val="808A9612"/>
    <w:rsid w:val="808B2981"/>
    <w:rsid w:val="80985F0F"/>
    <w:rsid w:val="80A8EEDD"/>
    <w:rsid w:val="80DDA9F0"/>
    <w:rsid w:val="8133BF33"/>
    <w:rsid w:val="816CB983"/>
    <w:rsid w:val="81773836"/>
    <w:rsid w:val="818534D9"/>
    <w:rsid w:val="819F9391"/>
    <w:rsid w:val="81A47DA4"/>
    <w:rsid w:val="81A720AA"/>
    <w:rsid w:val="81B4E9CA"/>
    <w:rsid w:val="81C0B2D1"/>
    <w:rsid w:val="81D140DE"/>
    <w:rsid w:val="81F77799"/>
    <w:rsid w:val="81F9BEE2"/>
    <w:rsid w:val="81FC06CE"/>
    <w:rsid w:val="8201AE50"/>
    <w:rsid w:val="82094859"/>
    <w:rsid w:val="82223572"/>
    <w:rsid w:val="82437802"/>
    <w:rsid w:val="824FF9AC"/>
    <w:rsid w:val="827A92BF"/>
    <w:rsid w:val="8292E2DA"/>
    <w:rsid w:val="82B8C5C1"/>
    <w:rsid w:val="82C14453"/>
    <w:rsid w:val="82CF1E4C"/>
    <w:rsid w:val="82E01355"/>
    <w:rsid w:val="82E2D44B"/>
    <w:rsid w:val="82E71721"/>
    <w:rsid w:val="82F4138A"/>
    <w:rsid w:val="83360ECC"/>
    <w:rsid w:val="834E15BD"/>
    <w:rsid w:val="835B8957"/>
    <w:rsid w:val="839D8311"/>
    <w:rsid w:val="83A8B099"/>
    <w:rsid w:val="83AA7848"/>
    <w:rsid w:val="83C935C8"/>
    <w:rsid w:val="83D5EB51"/>
    <w:rsid w:val="83EC82D6"/>
    <w:rsid w:val="83ECE870"/>
    <w:rsid w:val="840A36FB"/>
    <w:rsid w:val="84175DF9"/>
    <w:rsid w:val="8491DDC8"/>
    <w:rsid w:val="84AB4198"/>
    <w:rsid w:val="84CF60F2"/>
    <w:rsid w:val="84F84ADD"/>
    <w:rsid w:val="85233FE8"/>
    <w:rsid w:val="856926A1"/>
    <w:rsid w:val="856B2BF2"/>
    <w:rsid w:val="856B6DA0"/>
    <w:rsid w:val="857944F4"/>
    <w:rsid w:val="857B7C94"/>
    <w:rsid w:val="857E5453"/>
    <w:rsid w:val="85870E66"/>
    <w:rsid w:val="858AF734"/>
    <w:rsid w:val="8594F2D9"/>
    <w:rsid w:val="8596BEAE"/>
    <w:rsid w:val="85B605CE"/>
    <w:rsid w:val="85B7300C"/>
    <w:rsid w:val="85BD0062"/>
    <w:rsid w:val="85E56A40"/>
    <w:rsid w:val="85ED9F97"/>
    <w:rsid w:val="85EED03D"/>
    <w:rsid w:val="86148CB1"/>
    <w:rsid w:val="861DE799"/>
    <w:rsid w:val="86214503"/>
    <w:rsid w:val="8622BBDC"/>
    <w:rsid w:val="862C09FA"/>
    <w:rsid w:val="8634A471"/>
    <w:rsid w:val="865225C0"/>
    <w:rsid w:val="865D4683"/>
    <w:rsid w:val="8662E9CA"/>
    <w:rsid w:val="86689A81"/>
    <w:rsid w:val="86748218"/>
    <w:rsid w:val="86AB239F"/>
    <w:rsid w:val="86FE1C94"/>
    <w:rsid w:val="86FE7CF3"/>
    <w:rsid w:val="871AE85A"/>
    <w:rsid w:val="872AFF6B"/>
    <w:rsid w:val="872F8AC8"/>
    <w:rsid w:val="874854BC"/>
    <w:rsid w:val="875715D5"/>
    <w:rsid w:val="875B61C6"/>
    <w:rsid w:val="8769B038"/>
    <w:rsid w:val="877253CD"/>
    <w:rsid w:val="878966B4"/>
    <w:rsid w:val="879C432B"/>
    <w:rsid w:val="87B3100F"/>
    <w:rsid w:val="87DA844D"/>
    <w:rsid w:val="87ECCCBB"/>
    <w:rsid w:val="87FE3886"/>
    <w:rsid w:val="88206016"/>
    <w:rsid w:val="8848CFB3"/>
    <w:rsid w:val="884927CB"/>
    <w:rsid w:val="884B81D0"/>
    <w:rsid w:val="884D1CAC"/>
    <w:rsid w:val="88B33DB9"/>
    <w:rsid w:val="88BA5C45"/>
    <w:rsid w:val="88BF5459"/>
    <w:rsid w:val="88C89195"/>
    <w:rsid w:val="88CB509D"/>
    <w:rsid w:val="88EB1009"/>
    <w:rsid w:val="89046322"/>
    <w:rsid w:val="89319217"/>
    <w:rsid w:val="893F81FD"/>
    <w:rsid w:val="899B3DF1"/>
    <w:rsid w:val="899C6BB1"/>
    <w:rsid w:val="89A617C5"/>
    <w:rsid w:val="89A7108F"/>
    <w:rsid w:val="89BA7697"/>
    <w:rsid w:val="89D613CE"/>
    <w:rsid w:val="89F43819"/>
    <w:rsid w:val="8A16BD55"/>
    <w:rsid w:val="8A25BF7F"/>
    <w:rsid w:val="8A2FF08F"/>
    <w:rsid w:val="8A34A648"/>
    <w:rsid w:val="8A3A12B4"/>
    <w:rsid w:val="8A41F6A8"/>
    <w:rsid w:val="8A6C4C9E"/>
    <w:rsid w:val="8AB3EA01"/>
    <w:rsid w:val="8AB76326"/>
    <w:rsid w:val="8ADB265C"/>
    <w:rsid w:val="8AF10A4A"/>
    <w:rsid w:val="8AF31780"/>
    <w:rsid w:val="8AF9F786"/>
    <w:rsid w:val="8AFF823A"/>
    <w:rsid w:val="8B251FC3"/>
    <w:rsid w:val="8B3F857F"/>
    <w:rsid w:val="8B4E7013"/>
    <w:rsid w:val="8B58B51D"/>
    <w:rsid w:val="8B5B088A"/>
    <w:rsid w:val="8B5D1BD3"/>
    <w:rsid w:val="8B9684B4"/>
    <w:rsid w:val="8B9AECDA"/>
    <w:rsid w:val="8BA3859D"/>
    <w:rsid w:val="8BAF4222"/>
    <w:rsid w:val="8BE5D2AD"/>
    <w:rsid w:val="8BF2C22F"/>
    <w:rsid w:val="8BF52E59"/>
    <w:rsid w:val="8BFC0AD1"/>
    <w:rsid w:val="8C395053"/>
    <w:rsid w:val="8C49DAA3"/>
    <w:rsid w:val="8C5EF6C0"/>
    <w:rsid w:val="8C799359"/>
    <w:rsid w:val="8C7DB0C2"/>
    <w:rsid w:val="8C850392"/>
    <w:rsid w:val="8C889756"/>
    <w:rsid w:val="8C8AC383"/>
    <w:rsid w:val="8C8BCD27"/>
    <w:rsid w:val="8CAABF9D"/>
    <w:rsid w:val="8CAAEF92"/>
    <w:rsid w:val="8CAE5201"/>
    <w:rsid w:val="8CB69D58"/>
    <w:rsid w:val="8CC65AF1"/>
    <w:rsid w:val="8CCDECD5"/>
    <w:rsid w:val="8CCE4F94"/>
    <w:rsid w:val="8D12B6F1"/>
    <w:rsid w:val="8D2140C3"/>
    <w:rsid w:val="8D24CAED"/>
    <w:rsid w:val="8D2A12F0"/>
    <w:rsid w:val="8D2F995E"/>
    <w:rsid w:val="8D304B8B"/>
    <w:rsid w:val="8D4A9933"/>
    <w:rsid w:val="8D606381"/>
    <w:rsid w:val="8DA285FC"/>
    <w:rsid w:val="8DA4FC86"/>
    <w:rsid w:val="8DED2B48"/>
    <w:rsid w:val="8E0B87D1"/>
    <w:rsid w:val="8E1525EB"/>
    <w:rsid w:val="8E3F5B3E"/>
    <w:rsid w:val="8E524D03"/>
    <w:rsid w:val="8E55A09D"/>
    <w:rsid w:val="8E5A8164"/>
    <w:rsid w:val="8E63C7FD"/>
    <w:rsid w:val="8E73FF19"/>
    <w:rsid w:val="8E79FAAF"/>
    <w:rsid w:val="8E7E4618"/>
    <w:rsid w:val="8EAEEFD2"/>
    <w:rsid w:val="8EE28C1C"/>
    <w:rsid w:val="8EE6D461"/>
    <w:rsid w:val="8F1425F3"/>
    <w:rsid w:val="8F48B202"/>
    <w:rsid w:val="8F4A41D2"/>
    <w:rsid w:val="8F4A4F76"/>
    <w:rsid w:val="8F4FF0E7"/>
    <w:rsid w:val="8F5BE223"/>
    <w:rsid w:val="8F63A9CD"/>
    <w:rsid w:val="8F850050"/>
    <w:rsid w:val="8F8C0AC6"/>
    <w:rsid w:val="8FA08022"/>
    <w:rsid w:val="8FB02249"/>
    <w:rsid w:val="8FB0F5BD"/>
    <w:rsid w:val="8FB6CFE7"/>
    <w:rsid w:val="8FC1DDB3"/>
    <w:rsid w:val="8FCB1370"/>
    <w:rsid w:val="8FDA35F5"/>
    <w:rsid w:val="8FF0A246"/>
    <w:rsid w:val="90028038"/>
    <w:rsid w:val="901AD265"/>
    <w:rsid w:val="9023957D"/>
    <w:rsid w:val="90354E36"/>
    <w:rsid w:val="90556252"/>
    <w:rsid w:val="905E56C0"/>
    <w:rsid w:val="9061A601"/>
    <w:rsid w:val="908924DA"/>
    <w:rsid w:val="90BD8280"/>
    <w:rsid w:val="90DFD378"/>
    <w:rsid w:val="90E53C35"/>
    <w:rsid w:val="90EE9E19"/>
    <w:rsid w:val="90F3FA07"/>
    <w:rsid w:val="9102F139"/>
    <w:rsid w:val="911181FE"/>
    <w:rsid w:val="911E5BF0"/>
    <w:rsid w:val="912BE02B"/>
    <w:rsid w:val="914C9436"/>
    <w:rsid w:val="91526420"/>
    <w:rsid w:val="915CCD11"/>
    <w:rsid w:val="9164A0EE"/>
    <w:rsid w:val="91666A9C"/>
    <w:rsid w:val="917E00C2"/>
    <w:rsid w:val="917F858D"/>
    <w:rsid w:val="91822678"/>
    <w:rsid w:val="919BCE27"/>
    <w:rsid w:val="91A3DC77"/>
    <w:rsid w:val="91B1E31C"/>
    <w:rsid w:val="91E48220"/>
    <w:rsid w:val="91F30F60"/>
    <w:rsid w:val="92050E22"/>
    <w:rsid w:val="92119B43"/>
    <w:rsid w:val="921E5732"/>
    <w:rsid w:val="922BDDE0"/>
    <w:rsid w:val="924F5AF6"/>
    <w:rsid w:val="928909F7"/>
    <w:rsid w:val="9289CF64"/>
    <w:rsid w:val="929968B5"/>
    <w:rsid w:val="92BAB8AB"/>
    <w:rsid w:val="92BEA62C"/>
    <w:rsid w:val="92E76A1C"/>
    <w:rsid w:val="92F078DA"/>
    <w:rsid w:val="92FA4330"/>
    <w:rsid w:val="92FFA261"/>
    <w:rsid w:val="93051F3C"/>
    <w:rsid w:val="9348A97D"/>
    <w:rsid w:val="934E9233"/>
    <w:rsid w:val="93733060"/>
    <w:rsid w:val="937F5F98"/>
    <w:rsid w:val="938A6230"/>
    <w:rsid w:val="93994A0D"/>
    <w:rsid w:val="939DD0EB"/>
    <w:rsid w:val="939F4F05"/>
    <w:rsid w:val="93A31C8B"/>
    <w:rsid w:val="93B8ED65"/>
    <w:rsid w:val="93BAE8A0"/>
    <w:rsid w:val="93E146B8"/>
    <w:rsid w:val="93F966F5"/>
    <w:rsid w:val="94291C32"/>
    <w:rsid w:val="9438B678"/>
    <w:rsid w:val="943A4CE7"/>
    <w:rsid w:val="94480B4F"/>
    <w:rsid w:val="9480A507"/>
    <w:rsid w:val="94C87D96"/>
    <w:rsid w:val="94CD4A7F"/>
    <w:rsid w:val="94FF1A10"/>
    <w:rsid w:val="95009772"/>
    <w:rsid w:val="9516D32B"/>
    <w:rsid w:val="951C92BA"/>
    <w:rsid w:val="953285E8"/>
    <w:rsid w:val="953D310D"/>
    <w:rsid w:val="953F2996"/>
    <w:rsid w:val="9552EE8A"/>
    <w:rsid w:val="9590075C"/>
    <w:rsid w:val="9590E91F"/>
    <w:rsid w:val="95A3D44A"/>
    <w:rsid w:val="95AF045F"/>
    <w:rsid w:val="95D11D8B"/>
    <w:rsid w:val="9618724E"/>
    <w:rsid w:val="9643C95F"/>
    <w:rsid w:val="9653838F"/>
    <w:rsid w:val="9659A86A"/>
    <w:rsid w:val="967D7E7F"/>
    <w:rsid w:val="96806492"/>
    <w:rsid w:val="96873D98"/>
    <w:rsid w:val="9693AF7D"/>
    <w:rsid w:val="96ABFCBF"/>
    <w:rsid w:val="96AE6648"/>
    <w:rsid w:val="96B0A90A"/>
    <w:rsid w:val="96B1AEE7"/>
    <w:rsid w:val="96BDE515"/>
    <w:rsid w:val="96E84637"/>
    <w:rsid w:val="96F51867"/>
    <w:rsid w:val="9729B5AA"/>
    <w:rsid w:val="972FB355"/>
    <w:rsid w:val="976BFD40"/>
    <w:rsid w:val="978B46EC"/>
    <w:rsid w:val="97B9F163"/>
    <w:rsid w:val="97BBA584"/>
    <w:rsid w:val="97C5F2DE"/>
    <w:rsid w:val="97D39DEA"/>
    <w:rsid w:val="98118C77"/>
    <w:rsid w:val="9819CBA4"/>
    <w:rsid w:val="9831B3AF"/>
    <w:rsid w:val="98453BFF"/>
    <w:rsid w:val="98499EAC"/>
    <w:rsid w:val="985F6F44"/>
    <w:rsid w:val="9874E909"/>
    <w:rsid w:val="988F518E"/>
    <w:rsid w:val="98C34FF1"/>
    <w:rsid w:val="98CB79F6"/>
    <w:rsid w:val="98CD9645"/>
    <w:rsid w:val="98E605B8"/>
    <w:rsid w:val="991E6863"/>
    <w:rsid w:val="99453633"/>
    <w:rsid w:val="994ED43B"/>
    <w:rsid w:val="995FDC8A"/>
    <w:rsid w:val="99643215"/>
    <w:rsid w:val="99744C08"/>
    <w:rsid w:val="99845177"/>
    <w:rsid w:val="9986AB72"/>
    <w:rsid w:val="99C3F458"/>
    <w:rsid w:val="99F6E2F0"/>
    <w:rsid w:val="99FDCE1C"/>
    <w:rsid w:val="9A09E5E5"/>
    <w:rsid w:val="9A287A49"/>
    <w:rsid w:val="9A2AF14E"/>
    <w:rsid w:val="9A3F878A"/>
    <w:rsid w:val="9A4D062E"/>
    <w:rsid w:val="9A719237"/>
    <w:rsid w:val="9A777E34"/>
    <w:rsid w:val="9A7D1E19"/>
    <w:rsid w:val="9A875A84"/>
    <w:rsid w:val="9AE4A565"/>
    <w:rsid w:val="9AF1ACB9"/>
    <w:rsid w:val="9B23AA1A"/>
    <w:rsid w:val="9B3248A1"/>
    <w:rsid w:val="9B43FA5E"/>
    <w:rsid w:val="9B47726D"/>
    <w:rsid w:val="9B6BDA77"/>
    <w:rsid w:val="9B70A1E1"/>
    <w:rsid w:val="9B85585D"/>
    <w:rsid w:val="9B8C5A2C"/>
    <w:rsid w:val="9BAB8983"/>
    <w:rsid w:val="9BB48137"/>
    <w:rsid w:val="9BBDA364"/>
    <w:rsid w:val="9BC1BDCF"/>
    <w:rsid w:val="9BC21B73"/>
    <w:rsid w:val="9BCD7764"/>
    <w:rsid w:val="9BDBDFED"/>
    <w:rsid w:val="9BF1B727"/>
    <w:rsid w:val="9BF2B03A"/>
    <w:rsid w:val="9C158F1D"/>
    <w:rsid w:val="9C1E1555"/>
    <w:rsid w:val="9C3BE8BE"/>
    <w:rsid w:val="9C3BE97F"/>
    <w:rsid w:val="9C9ED9B8"/>
    <w:rsid w:val="9CA0C591"/>
    <w:rsid w:val="9CA52A93"/>
    <w:rsid w:val="9CA545F1"/>
    <w:rsid w:val="9CA72CA7"/>
    <w:rsid w:val="9CBAE6FB"/>
    <w:rsid w:val="9CC412B5"/>
    <w:rsid w:val="9CCDDD6D"/>
    <w:rsid w:val="9CCE84B3"/>
    <w:rsid w:val="9CF2472E"/>
    <w:rsid w:val="9CF4061F"/>
    <w:rsid w:val="9CFFACEE"/>
    <w:rsid w:val="9D1D6280"/>
    <w:rsid w:val="9D2A4B4B"/>
    <w:rsid w:val="9D33F033"/>
    <w:rsid w:val="9D3F1844"/>
    <w:rsid w:val="9D744FED"/>
    <w:rsid w:val="9D90488C"/>
    <w:rsid w:val="9D96642C"/>
    <w:rsid w:val="9DA217A7"/>
    <w:rsid w:val="9DA9CCEB"/>
    <w:rsid w:val="9DB04962"/>
    <w:rsid w:val="9DB9587E"/>
    <w:rsid w:val="9DCE7EB1"/>
    <w:rsid w:val="9DCFFEA3"/>
    <w:rsid w:val="9DE1A59D"/>
    <w:rsid w:val="9E16C9A3"/>
    <w:rsid w:val="9E225DBE"/>
    <w:rsid w:val="9E4C1873"/>
    <w:rsid w:val="9E548824"/>
    <w:rsid w:val="9E726B80"/>
    <w:rsid w:val="9EA40D2F"/>
    <w:rsid w:val="9EA8F854"/>
    <w:rsid w:val="9EBC7B24"/>
    <w:rsid w:val="9EE53FB1"/>
    <w:rsid w:val="9EFCC1A0"/>
    <w:rsid w:val="9F0076AF"/>
    <w:rsid w:val="9F0DFDC3"/>
    <w:rsid w:val="9F199225"/>
    <w:rsid w:val="9F20ED78"/>
    <w:rsid w:val="9F23549C"/>
    <w:rsid w:val="9F2B88DD"/>
    <w:rsid w:val="9F469C76"/>
    <w:rsid w:val="9F48CB1D"/>
    <w:rsid w:val="9F5DDFA5"/>
    <w:rsid w:val="9F72B454"/>
    <w:rsid w:val="9F7BC9FA"/>
    <w:rsid w:val="9F980C97"/>
    <w:rsid w:val="9FD16728"/>
    <w:rsid w:val="9FD78BCD"/>
    <w:rsid w:val="9FF4C568"/>
    <w:rsid w:val="A009E2A4"/>
    <w:rsid w:val="A01AA404"/>
    <w:rsid w:val="A026CF50"/>
    <w:rsid w:val="A0303D08"/>
    <w:rsid w:val="A035BBFF"/>
    <w:rsid w:val="A0373A45"/>
    <w:rsid w:val="A042D844"/>
    <w:rsid w:val="A05803E6"/>
    <w:rsid w:val="A05945AD"/>
    <w:rsid w:val="A05C481D"/>
    <w:rsid w:val="A063B099"/>
    <w:rsid w:val="A06B7A6E"/>
    <w:rsid w:val="A0777C92"/>
    <w:rsid w:val="A085A78A"/>
    <w:rsid w:val="A087F18A"/>
    <w:rsid w:val="A0A34651"/>
    <w:rsid w:val="A0B47E78"/>
    <w:rsid w:val="A0B80473"/>
    <w:rsid w:val="A0E9F177"/>
    <w:rsid w:val="A108515C"/>
    <w:rsid w:val="A1193001"/>
    <w:rsid w:val="A120564A"/>
    <w:rsid w:val="A122DFDE"/>
    <w:rsid w:val="A12F232D"/>
    <w:rsid w:val="A14069A6"/>
    <w:rsid w:val="A14D154C"/>
    <w:rsid w:val="A158F31A"/>
    <w:rsid w:val="A15C674B"/>
    <w:rsid w:val="A1966E0E"/>
    <w:rsid w:val="A1E8D3D6"/>
    <w:rsid w:val="A1F95592"/>
    <w:rsid w:val="A244C561"/>
    <w:rsid w:val="A249D3B0"/>
    <w:rsid w:val="A25B6878"/>
    <w:rsid w:val="A271E0AD"/>
    <w:rsid w:val="A279371F"/>
    <w:rsid w:val="A29D0025"/>
    <w:rsid w:val="A2C6A471"/>
    <w:rsid w:val="A2C84E28"/>
    <w:rsid w:val="A2FAE141"/>
    <w:rsid w:val="A3321F71"/>
    <w:rsid w:val="A33762EE"/>
    <w:rsid w:val="A3594EC3"/>
    <w:rsid w:val="A3614D56"/>
    <w:rsid w:val="A3AD243D"/>
    <w:rsid w:val="A3BB16D7"/>
    <w:rsid w:val="A3D15A22"/>
    <w:rsid w:val="A4105FB1"/>
    <w:rsid w:val="A4161FFD"/>
    <w:rsid w:val="A41836EE"/>
    <w:rsid w:val="A42E5EC9"/>
    <w:rsid w:val="A43F1267"/>
    <w:rsid w:val="A44E2940"/>
    <w:rsid w:val="A45E03D4"/>
    <w:rsid w:val="A46AFFA7"/>
    <w:rsid w:val="A47E6DD4"/>
    <w:rsid w:val="A4A718F9"/>
    <w:rsid w:val="A4B04723"/>
    <w:rsid w:val="A4BB46F5"/>
    <w:rsid w:val="A4E9303C"/>
    <w:rsid w:val="A4EC7E0F"/>
    <w:rsid w:val="A4EFF498"/>
    <w:rsid w:val="A50139B9"/>
    <w:rsid w:val="A50310C5"/>
    <w:rsid w:val="A5073712"/>
    <w:rsid w:val="A51ECF75"/>
    <w:rsid w:val="A5322950"/>
    <w:rsid w:val="A55D9CCA"/>
    <w:rsid w:val="A569FB1B"/>
    <w:rsid w:val="A56DC7CF"/>
    <w:rsid w:val="A56F95A0"/>
    <w:rsid w:val="A57A05C1"/>
    <w:rsid w:val="A58A7D71"/>
    <w:rsid w:val="A597F7E1"/>
    <w:rsid w:val="A5A87C2F"/>
    <w:rsid w:val="A5B7D0D4"/>
    <w:rsid w:val="A5BED3B6"/>
    <w:rsid w:val="A5CBABA7"/>
    <w:rsid w:val="A5DA5251"/>
    <w:rsid w:val="A6438B83"/>
    <w:rsid w:val="A65D6909"/>
    <w:rsid w:val="A6612040"/>
    <w:rsid w:val="A6629818"/>
    <w:rsid w:val="A6702A68"/>
    <w:rsid w:val="A696CBD0"/>
    <w:rsid w:val="A6DD7818"/>
    <w:rsid w:val="A6E23B62"/>
    <w:rsid w:val="A6F31319"/>
    <w:rsid w:val="A6F8A6DA"/>
    <w:rsid w:val="A76B65C0"/>
    <w:rsid w:val="A78D025B"/>
    <w:rsid w:val="A79E784F"/>
    <w:rsid w:val="A7B9286D"/>
    <w:rsid w:val="A7D4BF72"/>
    <w:rsid w:val="A7E7D8C8"/>
    <w:rsid w:val="A807EAAA"/>
    <w:rsid w:val="A82275E8"/>
    <w:rsid w:val="A82483E0"/>
    <w:rsid w:val="A838415D"/>
    <w:rsid w:val="A8578C94"/>
    <w:rsid w:val="A860C83D"/>
    <w:rsid w:val="A8610DBF"/>
    <w:rsid w:val="A8642CAE"/>
    <w:rsid w:val="A86ED90B"/>
    <w:rsid w:val="A879E29C"/>
    <w:rsid w:val="A88ED96B"/>
    <w:rsid w:val="A89B3BD3"/>
    <w:rsid w:val="A89D7A9A"/>
    <w:rsid w:val="A8AEFD3D"/>
    <w:rsid w:val="A8B01649"/>
    <w:rsid w:val="A8DA966D"/>
    <w:rsid w:val="A8DDA4AA"/>
    <w:rsid w:val="A8E617E5"/>
    <w:rsid w:val="A9033432"/>
    <w:rsid w:val="A90CF28B"/>
    <w:rsid w:val="A92441DF"/>
    <w:rsid w:val="A9312EAF"/>
    <w:rsid w:val="A932FC20"/>
    <w:rsid w:val="A93D7855"/>
    <w:rsid w:val="A95EB832"/>
    <w:rsid w:val="A96CABD4"/>
    <w:rsid w:val="A9741A08"/>
    <w:rsid w:val="A9829C1C"/>
    <w:rsid w:val="A98522CE"/>
    <w:rsid w:val="A99469EC"/>
    <w:rsid w:val="A99D59B2"/>
    <w:rsid w:val="A9A2EB39"/>
    <w:rsid w:val="A9D19872"/>
    <w:rsid w:val="A9F1CA53"/>
    <w:rsid w:val="A9F43012"/>
    <w:rsid w:val="A9F864BA"/>
    <w:rsid w:val="AA16E1F0"/>
    <w:rsid w:val="AA3BE61E"/>
    <w:rsid w:val="AA595FFB"/>
    <w:rsid w:val="AA813E7A"/>
    <w:rsid w:val="AAB6A80B"/>
    <w:rsid w:val="AAD2B860"/>
    <w:rsid w:val="AAE77B43"/>
    <w:rsid w:val="AAF1A619"/>
    <w:rsid w:val="AB1F084B"/>
    <w:rsid w:val="AB2297E2"/>
    <w:rsid w:val="AB251D4B"/>
    <w:rsid w:val="AB25527D"/>
    <w:rsid w:val="AB28B823"/>
    <w:rsid w:val="AB3E1B6B"/>
    <w:rsid w:val="AB6B6BA8"/>
    <w:rsid w:val="AB71169F"/>
    <w:rsid w:val="AB88874C"/>
    <w:rsid w:val="AB92BCC1"/>
    <w:rsid w:val="ABA68E9E"/>
    <w:rsid w:val="ABB41123"/>
    <w:rsid w:val="ABC24415"/>
    <w:rsid w:val="ABC3A31A"/>
    <w:rsid w:val="ABD6B3E1"/>
    <w:rsid w:val="ABE207F0"/>
    <w:rsid w:val="ABED44CA"/>
    <w:rsid w:val="ABEDE6AE"/>
    <w:rsid w:val="AC072466"/>
    <w:rsid w:val="AC15F8B6"/>
    <w:rsid w:val="AC5C1DC7"/>
    <w:rsid w:val="AC6A7432"/>
    <w:rsid w:val="AC6F95DC"/>
    <w:rsid w:val="AC94A049"/>
    <w:rsid w:val="AC970BD5"/>
    <w:rsid w:val="AC9E9261"/>
    <w:rsid w:val="ACB9C940"/>
    <w:rsid w:val="ACC73C52"/>
    <w:rsid w:val="ACD33E89"/>
    <w:rsid w:val="ACF28AC0"/>
    <w:rsid w:val="AD0F1E0D"/>
    <w:rsid w:val="AD15544A"/>
    <w:rsid w:val="AD173034"/>
    <w:rsid w:val="AD283178"/>
    <w:rsid w:val="AD2D552A"/>
    <w:rsid w:val="AD43F0FD"/>
    <w:rsid w:val="AD6DE1FB"/>
    <w:rsid w:val="AD75BD5C"/>
    <w:rsid w:val="AD78034B"/>
    <w:rsid w:val="AD823E60"/>
    <w:rsid w:val="AD90B7E0"/>
    <w:rsid w:val="ADA9D84A"/>
    <w:rsid w:val="ADBD6AFD"/>
    <w:rsid w:val="ADC95D91"/>
    <w:rsid w:val="ADCAF9D0"/>
    <w:rsid w:val="ADCD4D89"/>
    <w:rsid w:val="ADE596D4"/>
    <w:rsid w:val="ADFEEE41"/>
    <w:rsid w:val="AE0F9DFC"/>
    <w:rsid w:val="AE10D472"/>
    <w:rsid w:val="AE167020"/>
    <w:rsid w:val="AE23D4FE"/>
    <w:rsid w:val="AE332484"/>
    <w:rsid w:val="AE427A0C"/>
    <w:rsid w:val="AE4DA812"/>
    <w:rsid w:val="AE58BB85"/>
    <w:rsid w:val="AE5EB5E4"/>
    <w:rsid w:val="AE6338CB"/>
    <w:rsid w:val="AE63465A"/>
    <w:rsid w:val="AE72D423"/>
    <w:rsid w:val="AE939B0D"/>
    <w:rsid w:val="AE994A8A"/>
    <w:rsid w:val="AEAD6BF2"/>
    <w:rsid w:val="AEAFD126"/>
    <w:rsid w:val="AEC22A0B"/>
    <w:rsid w:val="AEE6B587"/>
    <w:rsid w:val="AEF6F408"/>
    <w:rsid w:val="AEFAB124"/>
    <w:rsid w:val="AEFEFEE3"/>
    <w:rsid w:val="AF0A7687"/>
    <w:rsid w:val="AF1FB041"/>
    <w:rsid w:val="AF2341D7"/>
    <w:rsid w:val="AF241CDD"/>
    <w:rsid w:val="AF69C95F"/>
    <w:rsid w:val="AF739E01"/>
    <w:rsid w:val="AF8D55F7"/>
    <w:rsid w:val="AF9EA922"/>
    <w:rsid w:val="AF9FE19D"/>
    <w:rsid w:val="AFB62B05"/>
    <w:rsid w:val="AFE60CE4"/>
    <w:rsid w:val="AFE6A038"/>
    <w:rsid w:val="AFEA4273"/>
    <w:rsid w:val="AFEBB019"/>
    <w:rsid w:val="AFEDDB8C"/>
    <w:rsid w:val="AFFFD5FA"/>
    <w:rsid w:val="B0113259"/>
    <w:rsid w:val="B0321E69"/>
    <w:rsid w:val="B05A28FB"/>
    <w:rsid w:val="B05BF726"/>
    <w:rsid w:val="B08D8382"/>
    <w:rsid w:val="B0B2C7DB"/>
    <w:rsid w:val="B0C67777"/>
    <w:rsid w:val="B0D24C15"/>
    <w:rsid w:val="B0D31737"/>
    <w:rsid w:val="B0D7170D"/>
    <w:rsid w:val="B0E3C85E"/>
    <w:rsid w:val="B0FA35C1"/>
    <w:rsid w:val="B14F1BC8"/>
    <w:rsid w:val="B16B037E"/>
    <w:rsid w:val="B177C01E"/>
    <w:rsid w:val="B1A9A47B"/>
    <w:rsid w:val="B1C40085"/>
    <w:rsid w:val="B1D1CE9B"/>
    <w:rsid w:val="B1E33043"/>
    <w:rsid w:val="B205547E"/>
    <w:rsid w:val="B20A54E8"/>
    <w:rsid w:val="B211BB3C"/>
    <w:rsid w:val="B227A22C"/>
    <w:rsid w:val="B22E0CE2"/>
    <w:rsid w:val="B2314569"/>
    <w:rsid w:val="B247FFBB"/>
    <w:rsid w:val="B24981DF"/>
    <w:rsid w:val="B298F663"/>
    <w:rsid w:val="B2BB64ED"/>
    <w:rsid w:val="B2ED6592"/>
    <w:rsid w:val="B307B2B9"/>
    <w:rsid w:val="B31C926B"/>
    <w:rsid w:val="B32430CF"/>
    <w:rsid w:val="B32F5A5F"/>
    <w:rsid w:val="B33EB263"/>
    <w:rsid w:val="B363149F"/>
    <w:rsid w:val="B3662224"/>
    <w:rsid w:val="B3785523"/>
    <w:rsid w:val="B38251E3"/>
    <w:rsid w:val="B3E1A543"/>
    <w:rsid w:val="B3FA91B1"/>
    <w:rsid w:val="B418C5E2"/>
    <w:rsid w:val="B4221D28"/>
    <w:rsid w:val="B44D0294"/>
    <w:rsid w:val="B44E332D"/>
    <w:rsid w:val="B44F2A79"/>
    <w:rsid w:val="B47989A6"/>
    <w:rsid w:val="B47A964E"/>
    <w:rsid w:val="B4A2F132"/>
    <w:rsid w:val="B4C26A06"/>
    <w:rsid w:val="B4D7A4D3"/>
    <w:rsid w:val="B4D9F63A"/>
    <w:rsid w:val="B51E57E4"/>
    <w:rsid w:val="B52A2E60"/>
    <w:rsid w:val="B538DD66"/>
    <w:rsid w:val="B53D12E9"/>
    <w:rsid w:val="B58C5A89"/>
    <w:rsid w:val="B5971119"/>
    <w:rsid w:val="B5B6C0BC"/>
    <w:rsid w:val="B5B77883"/>
    <w:rsid w:val="B5B99FCD"/>
    <w:rsid w:val="B5C55BE2"/>
    <w:rsid w:val="B5C82A88"/>
    <w:rsid w:val="B5D58303"/>
    <w:rsid w:val="B5E2CABA"/>
    <w:rsid w:val="B5F5FE60"/>
    <w:rsid w:val="B5F5FFA6"/>
    <w:rsid w:val="B60E2F4A"/>
    <w:rsid w:val="B621B7EE"/>
    <w:rsid w:val="B630345D"/>
    <w:rsid w:val="B6458EE9"/>
    <w:rsid w:val="B667F8E5"/>
    <w:rsid w:val="B66CCDD7"/>
    <w:rsid w:val="B66D3483"/>
    <w:rsid w:val="B68DCB5E"/>
    <w:rsid w:val="B6981525"/>
    <w:rsid w:val="B6B33775"/>
    <w:rsid w:val="B6B52F2D"/>
    <w:rsid w:val="B6B92FAB"/>
    <w:rsid w:val="B6C2A924"/>
    <w:rsid w:val="B6DDB4E1"/>
    <w:rsid w:val="B6E78E6A"/>
    <w:rsid w:val="B70BF6C8"/>
    <w:rsid w:val="B715218A"/>
    <w:rsid w:val="B7225C68"/>
    <w:rsid w:val="B727EFBF"/>
    <w:rsid w:val="B72F1447"/>
    <w:rsid w:val="B7392C33"/>
    <w:rsid w:val="B73E3697"/>
    <w:rsid w:val="B752B72F"/>
    <w:rsid w:val="B75B58FF"/>
    <w:rsid w:val="B7874B89"/>
    <w:rsid w:val="B7A38435"/>
    <w:rsid w:val="B7B2E44F"/>
    <w:rsid w:val="B7BD4163"/>
    <w:rsid w:val="B7BD5DA9"/>
    <w:rsid w:val="B7DFF895"/>
    <w:rsid w:val="B7EF1376"/>
    <w:rsid w:val="B819CD09"/>
    <w:rsid w:val="B8293BAA"/>
    <w:rsid w:val="B8326491"/>
    <w:rsid w:val="B841BE12"/>
    <w:rsid w:val="B84CAA00"/>
    <w:rsid w:val="B85752F7"/>
    <w:rsid w:val="B85982EF"/>
    <w:rsid w:val="B8665389"/>
    <w:rsid w:val="B87B4D79"/>
    <w:rsid w:val="B889CD17"/>
    <w:rsid w:val="B8930FEB"/>
    <w:rsid w:val="B8995785"/>
    <w:rsid w:val="B89EA1F1"/>
    <w:rsid w:val="B8B2FB8D"/>
    <w:rsid w:val="B8B7A523"/>
    <w:rsid w:val="B8C3158A"/>
    <w:rsid w:val="B8E088D2"/>
    <w:rsid w:val="B8FA62AC"/>
    <w:rsid w:val="B901EED1"/>
    <w:rsid w:val="B9042A28"/>
    <w:rsid w:val="B91ADCD5"/>
    <w:rsid w:val="B9207F4C"/>
    <w:rsid w:val="B9419B9C"/>
    <w:rsid w:val="B9460FFF"/>
    <w:rsid w:val="B96085CC"/>
    <w:rsid w:val="B963C930"/>
    <w:rsid w:val="B968289F"/>
    <w:rsid w:val="B97080A4"/>
    <w:rsid w:val="B97AA936"/>
    <w:rsid w:val="B9809C9E"/>
    <w:rsid w:val="B985B71B"/>
    <w:rsid w:val="B9A75FC6"/>
    <w:rsid w:val="B9A88A0D"/>
    <w:rsid w:val="B9BF1414"/>
    <w:rsid w:val="B9C9909A"/>
    <w:rsid w:val="B9F0046D"/>
    <w:rsid w:val="BA1CB0FF"/>
    <w:rsid w:val="BA3D29A3"/>
    <w:rsid w:val="BA4A529D"/>
    <w:rsid w:val="BA58D390"/>
    <w:rsid w:val="BA73464C"/>
    <w:rsid w:val="BA88459A"/>
    <w:rsid w:val="BA91A711"/>
    <w:rsid w:val="BA923526"/>
    <w:rsid w:val="BA96A431"/>
    <w:rsid w:val="BAAC2668"/>
    <w:rsid w:val="BAAC420C"/>
    <w:rsid w:val="BAAD613C"/>
    <w:rsid w:val="BAB43311"/>
    <w:rsid w:val="BACB9179"/>
    <w:rsid w:val="BADCD5EE"/>
    <w:rsid w:val="BAEDD87C"/>
    <w:rsid w:val="BAEE3E30"/>
    <w:rsid w:val="BAF1A13F"/>
    <w:rsid w:val="BAFC1226"/>
    <w:rsid w:val="BB019B1E"/>
    <w:rsid w:val="BB24EC2C"/>
    <w:rsid w:val="BB2CEA75"/>
    <w:rsid w:val="BB352155"/>
    <w:rsid w:val="BB35A711"/>
    <w:rsid w:val="BB561933"/>
    <w:rsid w:val="BB7E05F3"/>
    <w:rsid w:val="BBBF0646"/>
    <w:rsid w:val="BBC0B520"/>
    <w:rsid w:val="BBE1E025"/>
    <w:rsid w:val="BBEB0525"/>
    <w:rsid w:val="BBF4F22C"/>
    <w:rsid w:val="BBFCD202"/>
    <w:rsid w:val="BC047916"/>
    <w:rsid w:val="BC0A7343"/>
    <w:rsid w:val="BC0A7D1D"/>
    <w:rsid w:val="BC1045FC"/>
    <w:rsid w:val="BC2D7814"/>
    <w:rsid w:val="BC4FE72F"/>
    <w:rsid w:val="BCCACDCE"/>
    <w:rsid w:val="BCD4B0C9"/>
    <w:rsid w:val="BCDC3D8B"/>
    <w:rsid w:val="BCDCE573"/>
    <w:rsid w:val="BCE83FCD"/>
    <w:rsid w:val="BD22887C"/>
    <w:rsid w:val="BD639DCA"/>
    <w:rsid w:val="BD6E15D4"/>
    <w:rsid w:val="BD7B329D"/>
    <w:rsid w:val="BD7FDC45"/>
    <w:rsid w:val="BD818890"/>
    <w:rsid w:val="BD840CEF"/>
    <w:rsid w:val="BD9477A6"/>
    <w:rsid w:val="BD94D825"/>
    <w:rsid w:val="BD98969C"/>
    <w:rsid w:val="BDA0200C"/>
    <w:rsid w:val="BDD7D910"/>
    <w:rsid w:val="BDFA6F67"/>
    <w:rsid w:val="BE2812BD"/>
    <w:rsid w:val="BE2FBDA9"/>
    <w:rsid w:val="BE3AB2E1"/>
    <w:rsid w:val="BE4312E5"/>
    <w:rsid w:val="BE57C225"/>
    <w:rsid w:val="BE8577CE"/>
    <w:rsid w:val="BE8F11A0"/>
    <w:rsid w:val="BE8FB19E"/>
    <w:rsid w:val="BEB30ABC"/>
    <w:rsid w:val="BEBA2242"/>
    <w:rsid w:val="BEC4CC5F"/>
    <w:rsid w:val="BED44D53"/>
    <w:rsid w:val="BED5410A"/>
    <w:rsid w:val="BEE27511"/>
    <w:rsid w:val="BEE63780"/>
    <w:rsid w:val="BF09149D"/>
    <w:rsid w:val="BF0AC262"/>
    <w:rsid w:val="BF0F928A"/>
    <w:rsid w:val="BF1296E2"/>
    <w:rsid w:val="BF142B2B"/>
    <w:rsid w:val="BF28BDEF"/>
    <w:rsid w:val="BF298019"/>
    <w:rsid w:val="BF417422"/>
    <w:rsid w:val="BF46E3B0"/>
    <w:rsid w:val="BF650B63"/>
    <w:rsid w:val="BFAFD98E"/>
    <w:rsid w:val="BFB14B93"/>
    <w:rsid w:val="BFC6346A"/>
    <w:rsid w:val="BFCFFF38"/>
    <w:rsid w:val="BFD9F870"/>
    <w:rsid w:val="BFDBB71C"/>
    <w:rsid w:val="BFE60C2F"/>
    <w:rsid w:val="BFE7EA6F"/>
    <w:rsid w:val="BFF77C26"/>
    <w:rsid w:val="C003B48F"/>
    <w:rsid w:val="C020218B"/>
    <w:rsid w:val="C03E6BF6"/>
    <w:rsid w:val="C050E9D9"/>
    <w:rsid w:val="C05562FF"/>
    <w:rsid w:val="C05A7472"/>
    <w:rsid w:val="C05F11BC"/>
    <w:rsid w:val="C08269A8"/>
    <w:rsid w:val="C09D2420"/>
    <w:rsid w:val="C0A86836"/>
    <w:rsid w:val="C0B643F8"/>
    <w:rsid w:val="C0C7835E"/>
    <w:rsid w:val="C0CD2623"/>
    <w:rsid w:val="C12E15E6"/>
    <w:rsid w:val="C1309D29"/>
    <w:rsid w:val="C14EC5B5"/>
    <w:rsid w:val="C15B6F09"/>
    <w:rsid w:val="C1AC3268"/>
    <w:rsid w:val="C1B1F06D"/>
    <w:rsid w:val="C1B872F5"/>
    <w:rsid w:val="C1BC7162"/>
    <w:rsid w:val="C1C35D48"/>
    <w:rsid w:val="C1C79A3F"/>
    <w:rsid w:val="C1CCB5CA"/>
    <w:rsid w:val="C1CEE6F4"/>
    <w:rsid w:val="C1D1A25A"/>
    <w:rsid w:val="C1FF432D"/>
    <w:rsid w:val="C21C9C70"/>
    <w:rsid w:val="C22865E5"/>
    <w:rsid w:val="C248878F"/>
    <w:rsid w:val="C25EAAFD"/>
    <w:rsid w:val="C2622D41"/>
    <w:rsid w:val="C27934BC"/>
    <w:rsid w:val="C28801F4"/>
    <w:rsid w:val="C2BC48FA"/>
    <w:rsid w:val="C2BCEE85"/>
    <w:rsid w:val="C2C71AE1"/>
    <w:rsid w:val="C2CD1BE6"/>
    <w:rsid w:val="C2DF511C"/>
    <w:rsid w:val="C2E4DD11"/>
    <w:rsid w:val="C2FD3603"/>
    <w:rsid w:val="C328589D"/>
    <w:rsid w:val="C35F9E81"/>
    <w:rsid w:val="C39878F9"/>
    <w:rsid w:val="C3B0AACA"/>
    <w:rsid w:val="C3CF556C"/>
    <w:rsid w:val="C3D16B16"/>
    <w:rsid w:val="C3DB2FF5"/>
    <w:rsid w:val="C3DF3895"/>
    <w:rsid w:val="C3F04C00"/>
    <w:rsid w:val="C4120F6B"/>
    <w:rsid w:val="C41B3477"/>
    <w:rsid w:val="C4222E8E"/>
    <w:rsid w:val="C43F207E"/>
    <w:rsid w:val="C4595AB3"/>
    <w:rsid w:val="C4704AAA"/>
    <w:rsid w:val="C4834227"/>
    <w:rsid w:val="C4873C6A"/>
    <w:rsid w:val="C48835A5"/>
    <w:rsid w:val="C495E7A4"/>
    <w:rsid w:val="C4CFDEE1"/>
    <w:rsid w:val="C4DEE22B"/>
    <w:rsid w:val="C4E32BE0"/>
    <w:rsid w:val="C4E7E44B"/>
    <w:rsid w:val="C4EFC9D2"/>
    <w:rsid w:val="C4F92D22"/>
    <w:rsid w:val="C4FFBBCD"/>
    <w:rsid w:val="C504F5EC"/>
    <w:rsid w:val="C516C6B3"/>
    <w:rsid w:val="C51E24E4"/>
    <w:rsid w:val="C527AF0C"/>
    <w:rsid w:val="C52D1E1C"/>
    <w:rsid w:val="C530D4C0"/>
    <w:rsid w:val="C5335FFC"/>
    <w:rsid w:val="C533CDA6"/>
    <w:rsid w:val="C53F6596"/>
    <w:rsid w:val="C541501F"/>
    <w:rsid w:val="C54937F1"/>
    <w:rsid w:val="C552F8FE"/>
    <w:rsid w:val="C55DCDF8"/>
    <w:rsid w:val="C585260A"/>
    <w:rsid w:val="C5CCB885"/>
    <w:rsid w:val="C5DD76A9"/>
    <w:rsid w:val="C5E07369"/>
    <w:rsid w:val="C5E42CB8"/>
    <w:rsid w:val="C625FF8E"/>
    <w:rsid w:val="C62BE24F"/>
    <w:rsid w:val="C62D116C"/>
    <w:rsid w:val="C643252C"/>
    <w:rsid w:val="C66FF1B0"/>
    <w:rsid w:val="C6748D6A"/>
    <w:rsid w:val="C6848CBF"/>
    <w:rsid w:val="C685136C"/>
    <w:rsid w:val="C6A710D6"/>
    <w:rsid w:val="C6DAF05A"/>
    <w:rsid w:val="C6E12AAA"/>
    <w:rsid w:val="C6ECF5A6"/>
    <w:rsid w:val="C702EC00"/>
    <w:rsid w:val="C708DC82"/>
    <w:rsid w:val="C70CE702"/>
    <w:rsid w:val="C720799F"/>
    <w:rsid w:val="C7340340"/>
    <w:rsid w:val="C73EEC6C"/>
    <w:rsid w:val="C749B4C6"/>
    <w:rsid w:val="C74FC71F"/>
    <w:rsid w:val="C75A6F17"/>
    <w:rsid w:val="C76F3F16"/>
    <w:rsid w:val="C770A810"/>
    <w:rsid w:val="C77DF52A"/>
    <w:rsid w:val="C77ED1D1"/>
    <w:rsid w:val="C793D12E"/>
    <w:rsid w:val="C797C8EF"/>
    <w:rsid w:val="C7AA78C2"/>
    <w:rsid w:val="C7B10002"/>
    <w:rsid w:val="C7BB5BFB"/>
    <w:rsid w:val="C7C02F9C"/>
    <w:rsid w:val="C7C7140C"/>
    <w:rsid w:val="C7EB2B0E"/>
    <w:rsid w:val="C80AF693"/>
    <w:rsid w:val="C818E0D1"/>
    <w:rsid w:val="C835E240"/>
    <w:rsid w:val="C83BB7DE"/>
    <w:rsid w:val="C8519E65"/>
    <w:rsid w:val="C86729A0"/>
    <w:rsid w:val="C874F8F4"/>
    <w:rsid w:val="C890C5A5"/>
    <w:rsid w:val="C89E0388"/>
    <w:rsid w:val="C89E4A77"/>
    <w:rsid w:val="C89EC1B9"/>
    <w:rsid w:val="C8A6384E"/>
    <w:rsid w:val="C8A760EC"/>
    <w:rsid w:val="C8F23D80"/>
    <w:rsid w:val="C8FFEC34"/>
    <w:rsid w:val="C90C2CB5"/>
    <w:rsid w:val="C90C759E"/>
    <w:rsid w:val="C9100D1A"/>
    <w:rsid w:val="C910E631"/>
    <w:rsid w:val="C914CB71"/>
    <w:rsid w:val="C91ABF6A"/>
    <w:rsid w:val="C92B309A"/>
    <w:rsid w:val="C9509CBD"/>
    <w:rsid w:val="C974DB27"/>
    <w:rsid w:val="C9825B7A"/>
    <w:rsid w:val="C9874A3C"/>
    <w:rsid w:val="C98A30F8"/>
    <w:rsid w:val="C9957865"/>
    <w:rsid w:val="C9A01576"/>
    <w:rsid w:val="C9A20BC1"/>
    <w:rsid w:val="C9BDF0A0"/>
    <w:rsid w:val="C9DCD678"/>
    <w:rsid w:val="C9FB5382"/>
    <w:rsid w:val="C9FDCCB1"/>
    <w:rsid w:val="CA0D19E7"/>
    <w:rsid w:val="CA1B221C"/>
    <w:rsid w:val="CA45B7D6"/>
    <w:rsid w:val="CA67E229"/>
    <w:rsid w:val="CA6E8867"/>
    <w:rsid w:val="CA71C462"/>
    <w:rsid w:val="CA865312"/>
    <w:rsid w:val="CA8B142D"/>
    <w:rsid w:val="CA93E7E2"/>
    <w:rsid w:val="CAB393D4"/>
    <w:rsid w:val="CAF38C57"/>
    <w:rsid w:val="CAF7029C"/>
    <w:rsid w:val="CAF9EA54"/>
    <w:rsid w:val="CAF9F3AF"/>
    <w:rsid w:val="CAFF3752"/>
    <w:rsid w:val="CB2A6B22"/>
    <w:rsid w:val="CB4AFB5D"/>
    <w:rsid w:val="CB4DDD02"/>
    <w:rsid w:val="CB63ADBA"/>
    <w:rsid w:val="CB6EA0D7"/>
    <w:rsid w:val="CB8A2A28"/>
    <w:rsid w:val="CB8AD429"/>
    <w:rsid w:val="CB8BFC7C"/>
    <w:rsid w:val="CBA4D630"/>
    <w:rsid w:val="CBBBE47B"/>
    <w:rsid w:val="CBBC9D35"/>
    <w:rsid w:val="CBC5C1E2"/>
    <w:rsid w:val="CBC6EC86"/>
    <w:rsid w:val="CBC8AC5F"/>
    <w:rsid w:val="CBD79955"/>
    <w:rsid w:val="CBDBA890"/>
    <w:rsid w:val="CBF93ED8"/>
    <w:rsid w:val="CC3302E0"/>
    <w:rsid w:val="CC3ACE3E"/>
    <w:rsid w:val="CC3F3395"/>
    <w:rsid w:val="CC5601B3"/>
    <w:rsid w:val="CC5CC1DE"/>
    <w:rsid w:val="CCBC1414"/>
    <w:rsid w:val="CD0D9504"/>
    <w:rsid w:val="CD3878B7"/>
    <w:rsid w:val="CD3A7E97"/>
    <w:rsid w:val="CD492D6D"/>
    <w:rsid w:val="CD57ECC9"/>
    <w:rsid w:val="CD66DF3C"/>
    <w:rsid w:val="CD727C2B"/>
    <w:rsid w:val="CD836694"/>
    <w:rsid w:val="CD8918F5"/>
    <w:rsid w:val="CD9946C5"/>
    <w:rsid w:val="CDA43D01"/>
    <w:rsid w:val="CDBEAD56"/>
    <w:rsid w:val="CDBEB8CC"/>
    <w:rsid w:val="CDDAD3FE"/>
    <w:rsid w:val="CDE17CAD"/>
    <w:rsid w:val="CE0B0746"/>
    <w:rsid w:val="CE4D4910"/>
    <w:rsid w:val="CE6A3B7B"/>
    <w:rsid w:val="CE6C1101"/>
    <w:rsid w:val="CE7057F8"/>
    <w:rsid w:val="CE7EA580"/>
    <w:rsid w:val="CE84F18F"/>
    <w:rsid w:val="CEA8C270"/>
    <w:rsid w:val="CEEF32B3"/>
    <w:rsid w:val="CEF2553B"/>
    <w:rsid w:val="CEFD1D07"/>
    <w:rsid w:val="CF08261E"/>
    <w:rsid w:val="CF10E78C"/>
    <w:rsid w:val="CF1F462D"/>
    <w:rsid w:val="CF27A9CA"/>
    <w:rsid w:val="CF64ECF6"/>
    <w:rsid w:val="CF68A044"/>
    <w:rsid w:val="CFA6A424"/>
    <w:rsid w:val="CFAB7B8D"/>
    <w:rsid w:val="CFB2F38F"/>
    <w:rsid w:val="CFC0317D"/>
    <w:rsid w:val="CFC936D9"/>
    <w:rsid w:val="CFD08A81"/>
    <w:rsid w:val="CFE1D313"/>
    <w:rsid w:val="CFE3D3AA"/>
    <w:rsid w:val="CFE788B9"/>
    <w:rsid w:val="D012C3D7"/>
    <w:rsid w:val="D02A4B2F"/>
    <w:rsid w:val="D03C762A"/>
    <w:rsid w:val="D04D83E2"/>
    <w:rsid w:val="D054E4DB"/>
    <w:rsid w:val="D057436B"/>
    <w:rsid w:val="D059F514"/>
    <w:rsid w:val="D05F6A8D"/>
    <w:rsid w:val="D0654518"/>
    <w:rsid w:val="D06C32B6"/>
    <w:rsid w:val="D06FBD6D"/>
    <w:rsid w:val="D093DC3F"/>
    <w:rsid w:val="D095E432"/>
    <w:rsid w:val="D0991D4A"/>
    <w:rsid w:val="D09DA055"/>
    <w:rsid w:val="D0A7347B"/>
    <w:rsid w:val="D0D0402B"/>
    <w:rsid w:val="D0E28BCC"/>
    <w:rsid w:val="D116D3B4"/>
    <w:rsid w:val="D118E66D"/>
    <w:rsid w:val="D14A0F4E"/>
    <w:rsid w:val="D150BCAD"/>
    <w:rsid w:val="D177E896"/>
    <w:rsid w:val="D17A7D7E"/>
    <w:rsid w:val="D17C303A"/>
    <w:rsid w:val="D18F5587"/>
    <w:rsid w:val="D193C497"/>
    <w:rsid w:val="D19B4405"/>
    <w:rsid w:val="D1BB45D1"/>
    <w:rsid w:val="D1CD4E13"/>
    <w:rsid w:val="D1DBD985"/>
    <w:rsid w:val="D1E8956E"/>
    <w:rsid w:val="D1F4A0FC"/>
    <w:rsid w:val="D1FB4658"/>
    <w:rsid w:val="D201887B"/>
    <w:rsid w:val="D201C227"/>
    <w:rsid w:val="D216F64E"/>
    <w:rsid w:val="D231FC9F"/>
    <w:rsid w:val="D234341B"/>
    <w:rsid w:val="D2377C16"/>
    <w:rsid w:val="D26D554A"/>
    <w:rsid w:val="D276A54F"/>
    <w:rsid w:val="D28A5148"/>
    <w:rsid w:val="D28C7693"/>
    <w:rsid w:val="D29AC281"/>
    <w:rsid w:val="D29BB7CC"/>
    <w:rsid w:val="D2B482AD"/>
    <w:rsid w:val="D2D2700C"/>
    <w:rsid w:val="D2F250C7"/>
    <w:rsid w:val="D3048FDF"/>
    <w:rsid w:val="D31F27A4"/>
    <w:rsid w:val="D3211530"/>
    <w:rsid w:val="D335B503"/>
    <w:rsid w:val="D33A15BF"/>
    <w:rsid w:val="D34CD73B"/>
    <w:rsid w:val="D364FC68"/>
    <w:rsid w:val="D37B495B"/>
    <w:rsid w:val="D3CB20A3"/>
    <w:rsid w:val="D3D7E2A0"/>
    <w:rsid w:val="D3D85EE7"/>
    <w:rsid w:val="D3DCBBC1"/>
    <w:rsid w:val="D3E91B41"/>
    <w:rsid w:val="D3ED1438"/>
    <w:rsid w:val="D3FA1525"/>
    <w:rsid w:val="D3FE329E"/>
    <w:rsid w:val="D419A1CD"/>
    <w:rsid w:val="D41AADBA"/>
    <w:rsid w:val="D41F727F"/>
    <w:rsid w:val="D43FF26E"/>
    <w:rsid w:val="D44D14A8"/>
    <w:rsid w:val="D475EEBD"/>
    <w:rsid w:val="D47D4EBC"/>
    <w:rsid w:val="D4885BD6"/>
    <w:rsid w:val="D4A0F676"/>
    <w:rsid w:val="D4A943B0"/>
    <w:rsid w:val="D4F4E969"/>
    <w:rsid w:val="D50598FD"/>
    <w:rsid w:val="D513D925"/>
    <w:rsid w:val="D51B2E9F"/>
    <w:rsid w:val="D533195D"/>
    <w:rsid w:val="D55D793A"/>
    <w:rsid w:val="D58BD2F4"/>
    <w:rsid w:val="D58F7401"/>
    <w:rsid w:val="D59F7569"/>
    <w:rsid w:val="D5AD8F98"/>
    <w:rsid w:val="D5AD9978"/>
    <w:rsid w:val="D5B49F49"/>
    <w:rsid w:val="D5EC96EC"/>
    <w:rsid w:val="D5F3A04E"/>
    <w:rsid w:val="D6013AE4"/>
    <w:rsid w:val="D6105537"/>
    <w:rsid w:val="D61F75BD"/>
    <w:rsid w:val="D6318FA9"/>
    <w:rsid w:val="D6530286"/>
    <w:rsid w:val="D65C3196"/>
    <w:rsid w:val="D65CB456"/>
    <w:rsid w:val="D699BE76"/>
    <w:rsid w:val="D6ADD527"/>
    <w:rsid w:val="D6D7B1DB"/>
    <w:rsid w:val="D7088D1B"/>
    <w:rsid w:val="D71416D5"/>
    <w:rsid w:val="D740CEEA"/>
    <w:rsid w:val="D7B144B7"/>
    <w:rsid w:val="D7D0311A"/>
    <w:rsid w:val="D7D09BA6"/>
    <w:rsid w:val="D7D40A6C"/>
    <w:rsid w:val="D7D8A441"/>
    <w:rsid w:val="D7E11C98"/>
    <w:rsid w:val="D7FA4FF5"/>
    <w:rsid w:val="D803ACB0"/>
    <w:rsid w:val="D820A059"/>
    <w:rsid w:val="D851DBA2"/>
    <w:rsid w:val="D87CD566"/>
    <w:rsid w:val="D8953F22"/>
    <w:rsid w:val="D8983112"/>
    <w:rsid w:val="D898344D"/>
    <w:rsid w:val="D8CE2BF9"/>
    <w:rsid w:val="D91AE356"/>
    <w:rsid w:val="D91E29F9"/>
    <w:rsid w:val="D939FC2E"/>
    <w:rsid w:val="D942DB6D"/>
    <w:rsid w:val="D9500BE1"/>
    <w:rsid w:val="D9535E3E"/>
    <w:rsid w:val="D9696C67"/>
    <w:rsid w:val="D96D18F1"/>
    <w:rsid w:val="D96D1E0F"/>
    <w:rsid w:val="D9746966"/>
    <w:rsid w:val="D9939C35"/>
    <w:rsid w:val="D995D050"/>
    <w:rsid w:val="D9B767B5"/>
    <w:rsid w:val="D9B81E61"/>
    <w:rsid w:val="D9D50B1C"/>
    <w:rsid w:val="D9E3DA37"/>
    <w:rsid w:val="D9E53DC4"/>
    <w:rsid w:val="D9EF70E5"/>
    <w:rsid w:val="DA1C2DE9"/>
    <w:rsid w:val="DA2DEB11"/>
    <w:rsid w:val="DA34CBFB"/>
    <w:rsid w:val="DA4B7881"/>
    <w:rsid w:val="DA4EE305"/>
    <w:rsid w:val="DA65D607"/>
    <w:rsid w:val="DA7315BE"/>
    <w:rsid w:val="DA779F93"/>
    <w:rsid w:val="DA7A2FCD"/>
    <w:rsid w:val="DA80628E"/>
    <w:rsid w:val="DA84A569"/>
    <w:rsid w:val="DA8DD395"/>
    <w:rsid w:val="DAAE316C"/>
    <w:rsid w:val="DAD3FFD0"/>
    <w:rsid w:val="DAF0E168"/>
    <w:rsid w:val="DAF2CFB2"/>
    <w:rsid w:val="DB145D73"/>
    <w:rsid w:val="DB4688AA"/>
    <w:rsid w:val="DB61E945"/>
    <w:rsid w:val="DB988902"/>
    <w:rsid w:val="DBA7E3DA"/>
    <w:rsid w:val="DBD072AF"/>
    <w:rsid w:val="DC128F67"/>
    <w:rsid w:val="DC209795"/>
    <w:rsid w:val="DC39F587"/>
    <w:rsid w:val="DC422C45"/>
    <w:rsid w:val="DC491168"/>
    <w:rsid w:val="DC4F6766"/>
    <w:rsid w:val="DC5996D3"/>
    <w:rsid w:val="DC5E2F8C"/>
    <w:rsid w:val="DC6BCE96"/>
    <w:rsid w:val="DC843989"/>
    <w:rsid w:val="DC85E661"/>
    <w:rsid w:val="DC94A342"/>
    <w:rsid w:val="DCA11DCB"/>
    <w:rsid w:val="DCA697E5"/>
    <w:rsid w:val="DCAEAE71"/>
    <w:rsid w:val="DCBBFD45"/>
    <w:rsid w:val="DCBC6C7C"/>
    <w:rsid w:val="DCC3A3A3"/>
    <w:rsid w:val="DCCCC58D"/>
    <w:rsid w:val="DCD18A82"/>
    <w:rsid w:val="DCF7B349"/>
    <w:rsid w:val="DCFCD0E3"/>
    <w:rsid w:val="DD03CCDE"/>
    <w:rsid w:val="DD051E11"/>
    <w:rsid w:val="DD280309"/>
    <w:rsid w:val="DD2A2FE4"/>
    <w:rsid w:val="DD494E23"/>
    <w:rsid w:val="DD551CAF"/>
    <w:rsid w:val="DD778BB1"/>
    <w:rsid w:val="DDA394DE"/>
    <w:rsid w:val="DDD9C5D4"/>
    <w:rsid w:val="DDF4A31C"/>
    <w:rsid w:val="DE0A275C"/>
    <w:rsid w:val="DE20993D"/>
    <w:rsid w:val="DE27BBC4"/>
    <w:rsid w:val="DE4061CE"/>
    <w:rsid w:val="DE448F44"/>
    <w:rsid w:val="DE67D88F"/>
    <w:rsid w:val="DE698C86"/>
    <w:rsid w:val="DE6D6D18"/>
    <w:rsid w:val="DE8B1B55"/>
    <w:rsid w:val="DF02F113"/>
    <w:rsid w:val="DF12B207"/>
    <w:rsid w:val="DF592E2B"/>
    <w:rsid w:val="DF5B5E45"/>
    <w:rsid w:val="DF5F0C4E"/>
    <w:rsid w:val="DF707744"/>
    <w:rsid w:val="DF8AFC73"/>
    <w:rsid w:val="DF96978D"/>
    <w:rsid w:val="DFB67BFD"/>
    <w:rsid w:val="DFEE120E"/>
    <w:rsid w:val="DFF1D689"/>
    <w:rsid w:val="E015DCB0"/>
    <w:rsid w:val="E01D1FE6"/>
    <w:rsid w:val="E01FB71C"/>
    <w:rsid w:val="E029C26C"/>
    <w:rsid w:val="E07CC72B"/>
    <w:rsid w:val="E0966DA9"/>
    <w:rsid w:val="E0984D04"/>
    <w:rsid w:val="E0D117B4"/>
    <w:rsid w:val="E0E20F2E"/>
    <w:rsid w:val="E0E9124A"/>
    <w:rsid w:val="E0F21E4E"/>
    <w:rsid w:val="E1242B63"/>
    <w:rsid w:val="E13C5FE4"/>
    <w:rsid w:val="E1AC062F"/>
    <w:rsid w:val="E1BA708A"/>
    <w:rsid w:val="E1E9C712"/>
    <w:rsid w:val="E1EA72A8"/>
    <w:rsid w:val="E1F475CB"/>
    <w:rsid w:val="E1FFF726"/>
    <w:rsid w:val="E2312DBC"/>
    <w:rsid w:val="E2484E32"/>
    <w:rsid w:val="E24B546E"/>
    <w:rsid w:val="E283F1BC"/>
    <w:rsid w:val="E2979C77"/>
    <w:rsid w:val="E2B3ACAA"/>
    <w:rsid w:val="E2BEAF64"/>
    <w:rsid w:val="E2C230DB"/>
    <w:rsid w:val="E2C89742"/>
    <w:rsid w:val="E2D583E5"/>
    <w:rsid w:val="E2D5E200"/>
    <w:rsid w:val="E315A003"/>
    <w:rsid w:val="E323508F"/>
    <w:rsid w:val="E3367FD5"/>
    <w:rsid w:val="E337EDF1"/>
    <w:rsid w:val="E343BC8E"/>
    <w:rsid w:val="E34D9B51"/>
    <w:rsid w:val="E35089F6"/>
    <w:rsid w:val="E3890085"/>
    <w:rsid w:val="E38D92A3"/>
    <w:rsid w:val="E3930BFA"/>
    <w:rsid w:val="E3B4BC67"/>
    <w:rsid w:val="E3B70461"/>
    <w:rsid w:val="E3C2D670"/>
    <w:rsid w:val="E3C6F20E"/>
    <w:rsid w:val="E3DC6B78"/>
    <w:rsid w:val="E3E29149"/>
    <w:rsid w:val="E3F01DF6"/>
    <w:rsid w:val="E3FC65AA"/>
    <w:rsid w:val="E3FEFCF9"/>
    <w:rsid w:val="E4016A74"/>
    <w:rsid w:val="E403B2EF"/>
    <w:rsid w:val="E40AE9D4"/>
    <w:rsid w:val="E42FF380"/>
    <w:rsid w:val="E453E462"/>
    <w:rsid w:val="E45FBD68"/>
    <w:rsid w:val="E4957C2E"/>
    <w:rsid w:val="E49C1C7D"/>
    <w:rsid w:val="E4A11A6F"/>
    <w:rsid w:val="E4B9D4A4"/>
    <w:rsid w:val="E4CA28E0"/>
    <w:rsid w:val="E4D29D76"/>
    <w:rsid w:val="E4FF8E67"/>
    <w:rsid w:val="E50F0D8A"/>
    <w:rsid w:val="E5584567"/>
    <w:rsid w:val="E55A0ADE"/>
    <w:rsid w:val="E58F63A3"/>
    <w:rsid w:val="E593F5D8"/>
    <w:rsid w:val="E5A6C842"/>
    <w:rsid w:val="E60723E1"/>
    <w:rsid w:val="E61D6B9C"/>
    <w:rsid w:val="E629294E"/>
    <w:rsid w:val="E639AF9E"/>
    <w:rsid w:val="E67D9291"/>
    <w:rsid w:val="E69AB41E"/>
    <w:rsid w:val="E6ABB827"/>
    <w:rsid w:val="E6C579D4"/>
    <w:rsid w:val="E6C75ED6"/>
    <w:rsid w:val="E6E5C33F"/>
    <w:rsid w:val="E71DC1C8"/>
    <w:rsid w:val="E730EECB"/>
    <w:rsid w:val="E75AF375"/>
    <w:rsid w:val="E75CAF09"/>
    <w:rsid w:val="E760DDF2"/>
    <w:rsid w:val="E76AD963"/>
    <w:rsid w:val="E7799425"/>
    <w:rsid w:val="E7A34C8F"/>
    <w:rsid w:val="E7ADC8FD"/>
    <w:rsid w:val="E7B3381E"/>
    <w:rsid w:val="E7BF681F"/>
    <w:rsid w:val="E7CA3B6F"/>
    <w:rsid w:val="E7F2C00C"/>
    <w:rsid w:val="E8265896"/>
    <w:rsid w:val="E8277CC1"/>
    <w:rsid w:val="E82B9AC8"/>
    <w:rsid w:val="E82D6954"/>
    <w:rsid w:val="E835D436"/>
    <w:rsid w:val="E85467B4"/>
    <w:rsid w:val="E8653EE9"/>
    <w:rsid w:val="E867EC0D"/>
    <w:rsid w:val="E86B25A4"/>
    <w:rsid w:val="E872A501"/>
    <w:rsid w:val="E8740DAE"/>
    <w:rsid w:val="E88557A6"/>
    <w:rsid w:val="E886140B"/>
    <w:rsid w:val="E88A4BC6"/>
    <w:rsid w:val="E890FDB8"/>
    <w:rsid w:val="E8987A2C"/>
    <w:rsid w:val="E8A27CAC"/>
    <w:rsid w:val="E8AC194B"/>
    <w:rsid w:val="E8B5C66F"/>
    <w:rsid w:val="E8F1460E"/>
    <w:rsid w:val="E8F1E3A4"/>
    <w:rsid w:val="E9055DF2"/>
    <w:rsid w:val="E90A9198"/>
    <w:rsid w:val="E9122B3F"/>
    <w:rsid w:val="E916CB45"/>
    <w:rsid w:val="E930CDF0"/>
    <w:rsid w:val="E942E93F"/>
    <w:rsid w:val="E950D469"/>
    <w:rsid w:val="E96CF73B"/>
    <w:rsid w:val="E97E676E"/>
    <w:rsid w:val="E9908AB2"/>
    <w:rsid w:val="E991F655"/>
    <w:rsid w:val="E9C251FC"/>
    <w:rsid w:val="E9DEE4AC"/>
    <w:rsid w:val="E9F31349"/>
    <w:rsid w:val="EA18B9FB"/>
    <w:rsid w:val="EA29DE51"/>
    <w:rsid w:val="EA29FBF0"/>
    <w:rsid w:val="EA2ADE24"/>
    <w:rsid w:val="EA3C1AFD"/>
    <w:rsid w:val="EA5D2B58"/>
    <w:rsid w:val="EA714D39"/>
    <w:rsid w:val="EA782DDC"/>
    <w:rsid w:val="EA7BD46B"/>
    <w:rsid w:val="EA8131DA"/>
    <w:rsid w:val="EA819D93"/>
    <w:rsid w:val="EAAE138F"/>
    <w:rsid w:val="EAFB56FC"/>
    <w:rsid w:val="EB030960"/>
    <w:rsid w:val="EB070E09"/>
    <w:rsid w:val="EB31D0FC"/>
    <w:rsid w:val="EB484DDF"/>
    <w:rsid w:val="EB525B3E"/>
    <w:rsid w:val="EB584C1F"/>
    <w:rsid w:val="EB632F45"/>
    <w:rsid w:val="EB665DB7"/>
    <w:rsid w:val="EB6E4480"/>
    <w:rsid w:val="EB732CA2"/>
    <w:rsid w:val="EB7DC665"/>
    <w:rsid w:val="EBE84A78"/>
    <w:rsid w:val="EBE992BA"/>
    <w:rsid w:val="EBEED4FC"/>
    <w:rsid w:val="EC172904"/>
    <w:rsid w:val="EC51E564"/>
    <w:rsid w:val="EC601789"/>
    <w:rsid w:val="EC849167"/>
    <w:rsid w:val="ECCC5BCF"/>
    <w:rsid w:val="ECD3E805"/>
    <w:rsid w:val="ECE4798A"/>
    <w:rsid w:val="ECEEF2D5"/>
    <w:rsid w:val="ED267BF3"/>
    <w:rsid w:val="ED4A95C3"/>
    <w:rsid w:val="ED573031"/>
    <w:rsid w:val="ED5F1D36"/>
    <w:rsid w:val="ED64A106"/>
    <w:rsid w:val="ED82DA70"/>
    <w:rsid w:val="ED881AF4"/>
    <w:rsid w:val="ED929735"/>
    <w:rsid w:val="EDBBD808"/>
    <w:rsid w:val="EE0A52CF"/>
    <w:rsid w:val="EE27209F"/>
    <w:rsid w:val="EE4826CB"/>
    <w:rsid w:val="EE4BFF2D"/>
    <w:rsid w:val="EE4DBC32"/>
    <w:rsid w:val="EE53C35F"/>
    <w:rsid w:val="EE73C2E6"/>
    <w:rsid w:val="EE917B70"/>
    <w:rsid w:val="EEB080E8"/>
    <w:rsid w:val="EED17F02"/>
    <w:rsid w:val="EED8FEAF"/>
    <w:rsid w:val="EEF7DD8D"/>
    <w:rsid w:val="EF03E46F"/>
    <w:rsid w:val="EF0DED60"/>
    <w:rsid w:val="EF15A989"/>
    <w:rsid w:val="EF1DC7B0"/>
    <w:rsid w:val="EF46DB25"/>
    <w:rsid w:val="EF51B0D0"/>
    <w:rsid w:val="EF5D9CA2"/>
    <w:rsid w:val="EF5EA27E"/>
    <w:rsid w:val="EF76C679"/>
    <w:rsid w:val="EF79D7A0"/>
    <w:rsid w:val="EFBA2EFC"/>
    <w:rsid w:val="EFCB30E4"/>
    <w:rsid w:val="EFD43A79"/>
    <w:rsid w:val="EFDAE385"/>
    <w:rsid w:val="F024728A"/>
    <w:rsid w:val="F025C521"/>
    <w:rsid w:val="F029E804"/>
    <w:rsid w:val="F02AE7BA"/>
    <w:rsid w:val="F02C7324"/>
    <w:rsid w:val="F04BE92E"/>
    <w:rsid w:val="F05BED30"/>
    <w:rsid w:val="F07DD96C"/>
    <w:rsid w:val="F0885B51"/>
    <w:rsid w:val="F08DF8F2"/>
    <w:rsid w:val="F090196B"/>
    <w:rsid w:val="F092A719"/>
    <w:rsid w:val="F095C341"/>
    <w:rsid w:val="F0A8BECF"/>
    <w:rsid w:val="F0DFDD70"/>
    <w:rsid w:val="F0EE0ABE"/>
    <w:rsid w:val="F1115ACA"/>
    <w:rsid w:val="F11F920E"/>
    <w:rsid w:val="F1392D2B"/>
    <w:rsid w:val="F14A06B9"/>
    <w:rsid w:val="F158DD73"/>
    <w:rsid w:val="F166D3F6"/>
    <w:rsid w:val="F1687F88"/>
    <w:rsid w:val="F16C2BC9"/>
    <w:rsid w:val="F17FCB6A"/>
    <w:rsid w:val="F199AF0E"/>
    <w:rsid w:val="F1A54635"/>
    <w:rsid w:val="F1ABDF2A"/>
    <w:rsid w:val="F1B90CB6"/>
    <w:rsid w:val="F1DD20F3"/>
    <w:rsid w:val="F1E33086"/>
    <w:rsid w:val="F1E4AE2F"/>
    <w:rsid w:val="F1E92EB8"/>
    <w:rsid w:val="F2067246"/>
    <w:rsid w:val="F2447C7F"/>
    <w:rsid w:val="F26E7BB6"/>
    <w:rsid w:val="F2703745"/>
    <w:rsid w:val="F272FCB3"/>
    <w:rsid w:val="F2861270"/>
    <w:rsid w:val="F2905D0D"/>
    <w:rsid w:val="F29D432A"/>
    <w:rsid w:val="F2DB66DE"/>
    <w:rsid w:val="F2E34914"/>
    <w:rsid w:val="F2EC16B9"/>
    <w:rsid w:val="F2EF3335"/>
    <w:rsid w:val="F31B4CA0"/>
    <w:rsid w:val="F3228818"/>
    <w:rsid w:val="F336A408"/>
    <w:rsid w:val="F3516387"/>
    <w:rsid w:val="F35FC085"/>
    <w:rsid w:val="F361B9AF"/>
    <w:rsid w:val="F372E319"/>
    <w:rsid w:val="F372E77D"/>
    <w:rsid w:val="F373020F"/>
    <w:rsid w:val="F375644A"/>
    <w:rsid w:val="F37D8DD4"/>
    <w:rsid w:val="F38327E5"/>
    <w:rsid w:val="F3853254"/>
    <w:rsid w:val="F396C4FF"/>
    <w:rsid w:val="F3C712F0"/>
    <w:rsid w:val="F3CE0EF2"/>
    <w:rsid w:val="F3D0C499"/>
    <w:rsid w:val="F3D73037"/>
    <w:rsid w:val="F400EE87"/>
    <w:rsid w:val="F4057219"/>
    <w:rsid w:val="F40684EA"/>
    <w:rsid w:val="F435C44C"/>
    <w:rsid w:val="F4655CF4"/>
    <w:rsid w:val="F46B16CC"/>
    <w:rsid w:val="F46CC399"/>
    <w:rsid w:val="F4843F15"/>
    <w:rsid w:val="F4944021"/>
    <w:rsid w:val="F4BF0E77"/>
    <w:rsid w:val="F4C64782"/>
    <w:rsid w:val="F4D3E0D0"/>
    <w:rsid w:val="F4D81372"/>
    <w:rsid w:val="F4E99AB8"/>
    <w:rsid w:val="F4EC86A4"/>
    <w:rsid w:val="F4FDDF68"/>
    <w:rsid w:val="F503DC49"/>
    <w:rsid w:val="F50B33F9"/>
    <w:rsid w:val="F52E6B66"/>
    <w:rsid w:val="F536A7B5"/>
    <w:rsid w:val="F53A00B5"/>
    <w:rsid w:val="F54884AE"/>
    <w:rsid w:val="F575446A"/>
    <w:rsid w:val="F5999D81"/>
    <w:rsid w:val="F5A38E96"/>
    <w:rsid w:val="F5AC5BF3"/>
    <w:rsid w:val="F5C06DA4"/>
    <w:rsid w:val="F5D6183D"/>
    <w:rsid w:val="F61C27F1"/>
    <w:rsid w:val="F6228811"/>
    <w:rsid w:val="F62F5E6B"/>
    <w:rsid w:val="F64A1351"/>
    <w:rsid w:val="F653C01C"/>
    <w:rsid w:val="F656B017"/>
    <w:rsid w:val="F65CB2FB"/>
    <w:rsid w:val="F65FB721"/>
    <w:rsid w:val="F674FBF6"/>
    <w:rsid w:val="F68145DD"/>
    <w:rsid w:val="F688C87F"/>
    <w:rsid w:val="F6B7CC0C"/>
    <w:rsid w:val="F6BC6889"/>
    <w:rsid w:val="F6DEE238"/>
    <w:rsid w:val="F6DF5642"/>
    <w:rsid w:val="F6F37371"/>
    <w:rsid w:val="F70505BC"/>
    <w:rsid w:val="F70EF416"/>
    <w:rsid w:val="F71E7DA5"/>
    <w:rsid w:val="F725F9F0"/>
    <w:rsid w:val="F73653A5"/>
    <w:rsid w:val="F73A632E"/>
    <w:rsid w:val="F73E0C5C"/>
    <w:rsid w:val="F74E677E"/>
    <w:rsid w:val="F759A9C2"/>
    <w:rsid w:val="F76B21FB"/>
    <w:rsid w:val="F779BD00"/>
    <w:rsid w:val="F783028A"/>
    <w:rsid w:val="F78F89DC"/>
    <w:rsid w:val="F7B7870B"/>
    <w:rsid w:val="F7BAC8AE"/>
    <w:rsid w:val="F8054742"/>
    <w:rsid w:val="F80E46FC"/>
    <w:rsid w:val="F8298610"/>
    <w:rsid w:val="F83246F8"/>
    <w:rsid w:val="F848B680"/>
    <w:rsid w:val="F8811162"/>
    <w:rsid w:val="F8ACA351"/>
    <w:rsid w:val="F8C70F8A"/>
    <w:rsid w:val="F8CBAEF1"/>
    <w:rsid w:val="F8D70D1C"/>
    <w:rsid w:val="F8DC6D2E"/>
    <w:rsid w:val="F8E308F0"/>
    <w:rsid w:val="F8E7C6BE"/>
    <w:rsid w:val="F9215C5A"/>
    <w:rsid w:val="F93326DF"/>
    <w:rsid w:val="F9462862"/>
    <w:rsid w:val="F949BEAF"/>
    <w:rsid w:val="F98309B9"/>
    <w:rsid w:val="F991D101"/>
    <w:rsid w:val="F99B135A"/>
    <w:rsid w:val="F99C1DC2"/>
    <w:rsid w:val="F9B1FE14"/>
    <w:rsid w:val="F9B43D42"/>
    <w:rsid w:val="F9DB89EF"/>
    <w:rsid w:val="F9DB93FB"/>
    <w:rsid w:val="FA05A7D0"/>
    <w:rsid w:val="FA16C2F8"/>
    <w:rsid w:val="FA20A96D"/>
    <w:rsid w:val="FA5094D0"/>
    <w:rsid w:val="FA64BAAE"/>
    <w:rsid w:val="FA764070"/>
    <w:rsid w:val="FA809012"/>
    <w:rsid w:val="FA913A47"/>
    <w:rsid w:val="FA9BC9E9"/>
    <w:rsid w:val="FAB3958C"/>
    <w:rsid w:val="FAB8EC9C"/>
    <w:rsid w:val="FACFE95A"/>
    <w:rsid w:val="FB468AD0"/>
    <w:rsid w:val="FB530692"/>
    <w:rsid w:val="FB6D6BB5"/>
    <w:rsid w:val="FB840FFD"/>
    <w:rsid w:val="FB958133"/>
    <w:rsid w:val="FB9E851D"/>
    <w:rsid w:val="FBA23CC7"/>
    <w:rsid w:val="FBABC92B"/>
    <w:rsid w:val="FBABD1F0"/>
    <w:rsid w:val="FBC79778"/>
    <w:rsid w:val="FBC85090"/>
    <w:rsid w:val="FBD25465"/>
    <w:rsid w:val="FC096A4F"/>
    <w:rsid w:val="FC204690"/>
    <w:rsid w:val="FC261646"/>
    <w:rsid w:val="FC279416"/>
    <w:rsid w:val="FC2B04E1"/>
    <w:rsid w:val="FC4FCC7A"/>
    <w:rsid w:val="FC63C603"/>
    <w:rsid w:val="FC76A110"/>
    <w:rsid w:val="FC77542E"/>
    <w:rsid w:val="FC92F96C"/>
    <w:rsid w:val="FCAB8ACB"/>
    <w:rsid w:val="FCADBF53"/>
    <w:rsid w:val="FCBBDDEC"/>
    <w:rsid w:val="FCC156EB"/>
    <w:rsid w:val="FCEF170C"/>
    <w:rsid w:val="FCF58519"/>
    <w:rsid w:val="FCFA12FF"/>
    <w:rsid w:val="FCFF8046"/>
    <w:rsid w:val="FD1A7288"/>
    <w:rsid w:val="FD2AA4D1"/>
    <w:rsid w:val="FD2E37D7"/>
    <w:rsid w:val="FD31C706"/>
    <w:rsid w:val="FD4201E8"/>
    <w:rsid w:val="FD696856"/>
    <w:rsid w:val="FDA12768"/>
    <w:rsid w:val="FDA9D549"/>
    <w:rsid w:val="FDB1D235"/>
    <w:rsid w:val="FDC19562"/>
    <w:rsid w:val="FE442799"/>
    <w:rsid w:val="FE4BEC1D"/>
    <w:rsid w:val="FE5C21C8"/>
    <w:rsid w:val="FE9FC372"/>
    <w:rsid w:val="FEA2C593"/>
    <w:rsid w:val="FEA93406"/>
    <w:rsid w:val="FEB66A75"/>
    <w:rsid w:val="FEC57CD1"/>
    <w:rsid w:val="FEF4DAA2"/>
    <w:rsid w:val="FEFF4482"/>
    <w:rsid w:val="FF0EB5BF"/>
    <w:rsid w:val="FF234C67"/>
    <w:rsid w:val="FF483434"/>
    <w:rsid w:val="FF53D6DA"/>
    <w:rsid w:val="FF5E47DE"/>
    <w:rsid w:val="FF8A349D"/>
    <w:rsid w:val="FF8CF5FC"/>
    <w:rsid w:val="FF941E97"/>
    <w:rsid w:val="FFBD4F6E"/>
    <w:rsid w:val="FFC045F0"/>
    <w:rsid w:val="FFDE9942"/>
    <w:rsid w:val="FFE83551"/>
    <w:rsid w:val="FFEF81E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600" w:firstLineChars="200"/>
      <w:jc w:val="both"/>
    </w:pPr>
    <w:rPr>
      <w:rFonts w:ascii="Calibri" w:hAnsi="Calibri" w:eastAsia="仿宋" w:cs="黑体"/>
      <w:kern w:val="2"/>
      <w:sz w:val="32"/>
      <w:szCs w:val="24"/>
      <w:lang w:val="en-US" w:eastAsia="zh-CN" w:bidi="ar-SA"/>
    </w:rPr>
  </w:style>
  <w:style w:type="paragraph" w:styleId="2">
    <w:name w:val="heading 1"/>
    <w:basedOn w:val="1"/>
    <w:next w:val="1"/>
    <w:qFormat/>
    <w:uiPriority w:val="0"/>
    <w:pPr>
      <w:outlineLvl w:val="0"/>
    </w:pPr>
    <w:rPr>
      <w:rFonts w:eastAsia="方正公文小标宋"/>
      <w:sz w:val="30"/>
    </w:rPr>
  </w:style>
  <w:style w:type="paragraph" w:styleId="3">
    <w:name w:val="heading 2"/>
    <w:basedOn w:val="1"/>
    <w:next w:val="1"/>
    <w:link w:val="27"/>
    <w:qFormat/>
    <w:uiPriority w:val="0"/>
    <w:pPr>
      <w:keepNext/>
      <w:keepLines/>
      <w:spacing w:before="260" w:after="260"/>
      <w:outlineLvl w:val="1"/>
    </w:pPr>
    <w:rPr>
      <w:rFonts w:ascii="Cambria" w:hAnsi="Cambria" w:eastAsia="仿宋" w:cs="Times New Roman"/>
      <w:b/>
      <w:bCs/>
      <w:kern w:val="0"/>
      <w:szCs w:val="32"/>
    </w:rPr>
  </w:style>
  <w:style w:type="paragraph" w:styleId="4">
    <w:name w:val="heading 3"/>
    <w:basedOn w:val="1"/>
    <w:next w:val="1"/>
    <w:link w:val="28"/>
    <w:qFormat/>
    <w:uiPriority w:val="0"/>
    <w:pPr>
      <w:spacing w:before="100" w:beforeAutospacing="1" w:after="100" w:afterAutospacing="1"/>
      <w:jc w:val="left"/>
      <w:outlineLvl w:val="2"/>
    </w:pPr>
    <w:rPr>
      <w:rFonts w:hint="eastAsia" w:ascii="宋体" w:hAnsi="宋体" w:eastAsia="方正仿宋_GB2312" w:cs="宋体"/>
      <w:b/>
      <w:bCs/>
      <w:kern w:val="0"/>
      <w:sz w:val="32"/>
      <w:szCs w:val="27"/>
      <w:lang w:bidi="ar"/>
    </w:rPr>
  </w:style>
  <w:style w:type="paragraph" w:styleId="5">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2">
    <w:name w:val="Default Paragraph Font"/>
    <w:qFormat/>
    <w:uiPriority w:val="0"/>
    <w:rPr>
      <w:rFonts w:ascii="Times New Roman" w:hAnsi="Times New Roman" w:eastAsia="宋体" w:cs="Times New Roman"/>
    </w:rPr>
  </w:style>
  <w:style w:type="table" w:default="1" w:styleId="20">
    <w:name w:val="Normal Table"/>
    <w:qFormat/>
    <w:uiPriority w:val="0"/>
    <w:pPr>
      <w:keepNext w:val="0"/>
      <w:keepLines w:val="0"/>
      <w:widowControl/>
      <w:suppressLineNumbers w:val="0"/>
      <w:spacing w:before="0" w:beforeAutospacing="0" w:after="0" w:afterAutospacing="0"/>
      <w:ind w:left="0" w:right="0"/>
    </w:pPr>
    <w:rPr>
      <w:rFonts w:hint="default" w:ascii="Times New Roman" w:hAnsi="Times New Roman" w:eastAsia="宋体" w:cs="Times New Roman"/>
      <w:sz w:val="20"/>
      <w:szCs w:val="20"/>
    </w:rPr>
    <w:tblPr>
      <w:tblCellMar>
        <w:top w:w="0" w:type="dxa"/>
        <w:left w:w="108" w:type="dxa"/>
        <w:bottom w:w="0" w:type="dxa"/>
        <w:right w:w="108" w:type="dxa"/>
      </w:tblCellMar>
    </w:tblPr>
  </w:style>
  <w:style w:type="paragraph" w:styleId="6">
    <w:name w:val="annotation text"/>
    <w:basedOn w:val="1"/>
    <w:qFormat/>
    <w:uiPriority w:val="0"/>
    <w:pPr>
      <w:jc w:val="left"/>
    </w:pPr>
    <w:rPr>
      <w:rFonts w:ascii="Times New Roman" w:hAnsi="Times New Roman" w:eastAsia="宋体" w:cs="Times New Roman"/>
      <w:kern w:val="0"/>
      <w:sz w:val="20"/>
      <w:szCs w:val="20"/>
    </w:rPr>
  </w:style>
  <w:style w:type="paragraph" w:styleId="7">
    <w:name w:val="Body Text"/>
    <w:basedOn w:val="1"/>
    <w:unhideWhenUsed/>
    <w:qFormat/>
    <w:uiPriority w:val="0"/>
    <w:pPr>
      <w:widowControl w:val="0"/>
      <w:adjustRightInd/>
      <w:snapToGrid/>
      <w:spacing w:after="120"/>
      <w:jc w:val="both"/>
    </w:pPr>
    <w:rPr>
      <w:rFonts w:ascii="Times New Roman" w:hAnsi="Times New Roman" w:eastAsia="宋体" w:cs="Times New Roman"/>
      <w:kern w:val="2"/>
      <w:sz w:val="21"/>
      <w:szCs w:val="24"/>
    </w:rPr>
  </w:style>
  <w:style w:type="paragraph" w:styleId="8">
    <w:name w:val="toc 3"/>
    <w:basedOn w:val="1"/>
    <w:next w:val="1"/>
    <w:qFormat/>
    <w:uiPriority w:val="0"/>
    <w:pPr>
      <w:ind w:left="840" w:leftChars="400"/>
    </w:pPr>
    <w:rPr>
      <w:rFonts w:ascii="Times New Roman" w:hAnsi="Times New Roman" w:eastAsia="宋体" w:cs="Times New Roman"/>
    </w:rPr>
  </w:style>
  <w:style w:type="paragraph" w:styleId="9">
    <w:name w:val="Plain Text"/>
    <w:basedOn w:val="1"/>
    <w:qFormat/>
    <w:uiPriority w:val="0"/>
    <w:rPr>
      <w:rFonts w:ascii="宋体" w:hAnsi="Courier New" w:eastAsia="宋体" w:cs="Times New Roman"/>
      <w:kern w:val="0"/>
      <w:szCs w:val="21"/>
    </w:rPr>
  </w:style>
  <w:style w:type="paragraph" w:styleId="10">
    <w:name w:val="Date"/>
    <w:basedOn w:val="1"/>
    <w:next w:val="1"/>
    <w:link w:val="29"/>
    <w:qFormat/>
    <w:uiPriority w:val="0"/>
    <w:pPr>
      <w:ind w:left="100" w:leftChars="2500"/>
    </w:pPr>
    <w:rPr>
      <w:rFonts w:ascii="Times New Roman" w:hAnsi="Times New Roman" w:eastAsia="宋体" w:cs="Times New Roman"/>
    </w:rPr>
  </w:style>
  <w:style w:type="paragraph" w:styleId="11">
    <w:name w:val="footer"/>
    <w:basedOn w:val="1"/>
    <w:qFormat/>
    <w:uiPriority w:val="0"/>
    <w:pPr>
      <w:widowControl w:val="0"/>
      <w:tabs>
        <w:tab w:val="center" w:pos="4140"/>
        <w:tab w:val="right" w:pos="8300"/>
      </w:tabs>
      <w:snapToGrid w:val="0"/>
      <w:spacing w:after="0"/>
      <w:jc w:val="left"/>
    </w:pPr>
    <w:rPr>
      <w:rFonts w:ascii="Times New Roman" w:hAnsi="Times New Roman" w:eastAsia="宋体" w:cs="Times New Roman"/>
      <w:kern w:val="2"/>
      <w:sz w:val="18"/>
      <w:szCs w:val="18"/>
      <w:lang w:val="en-US" w:eastAsia="zh-CN" w:bidi="ar-SA"/>
    </w:rPr>
  </w:style>
  <w:style w:type="paragraph" w:styleId="12">
    <w:name w:val="header"/>
    <w:basedOn w:val="1"/>
    <w:link w:val="30"/>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13">
    <w:name w:val="toc 1"/>
    <w:basedOn w:val="1"/>
    <w:next w:val="1"/>
    <w:qFormat/>
    <w:uiPriority w:val="0"/>
    <w:pPr>
      <w:spacing w:before="120" w:after="120"/>
      <w:jc w:val="left"/>
    </w:pPr>
    <w:rPr>
      <w:rFonts w:ascii="Times New Roman" w:hAnsi="Times New Roman" w:eastAsia="方正公文小标宋" w:cs="方正公文小标宋"/>
      <w:b/>
      <w:bCs/>
      <w:caps/>
      <w:sz w:val="24"/>
      <w:szCs w:val="28"/>
    </w:rPr>
  </w:style>
  <w:style w:type="paragraph" w:styleId="14">
    <w:name w:val="Subtitle"/>
    <w:basedOn w:val="1"/>
    <w:next w:val="1"/>
    <w:qFormat/>
    <w:uiPriority w:val="11"/>
    <w:pPr>
      <w:spacing w:before="240" w:after="60" w:line="312" w:lineRule="auto"/>
      <w:jc w:val="center"/>
      <w:outlineLvl w:val="1"/>
    </w:pPr>
    <w:rPr>
      <w:rFonts w:ascii="Cambria" w:hAnsi="Cambria" w:eastAsia="宋体" w:cs="Times New Roman"/>
      <w:b/>
      <w:bCs/>
      <w:kern w:val="28"/>
      <w:sz w:val="32"/>
      <w:szCs w:val="32"/>
    </w:rPr>
  </w:style>
  <w:style w:type="paragraph" w:styleId="15">
    <w:name w:val="List"/>
    <w:basedOn w:val="1"/>
    <w:qFormat/>
    <w:uiPriority w:val="0"/>
    <w:pPr>
      <w:ind w:left="200" w:hanging="200" w:hangingChars="200"/>
    </w:pPr>
    <w:rPr>
      <w:rFonts w:ascii="Times New Roman" w:hAnsi="Times New Roman" w:eastAsia="方正公文小标宋" w:cs="Times New Roman"/>
      <w:sz w:val="28"/>
    </w:rPr>
  </w:style>
  <w:style w:type="paragraph" w:styleId="16">
    <w:name w:val="toc 2"/>
    <w:basedOn w:val="1"/>
    <w:next w:val="1"/>
    <w:qFormat/>
    <w:uiPriority w:val="0"/>
    <w:pPr>
      <w:ind w:left="210"/>
      <w:jc w:val="left"/>
    </w:pPr>
    <w:rPr>
      <w:rFonts w:ascii="Times New Roman" w:hAnsi="Times New Roman" w:eastAsia="方正公文小标宋" w:cs="Times New Roman"/>
      <w:smallCaps/>
      <w:sz w:val="21"/>
      <w:szCs w:val="20"/>
    </w:rPr>
  </w:style>
  <w:style w:type="paragraph" w:styleId="17">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ascii="Times New Roman" w:hAnsi="Times New Roman" w:eastAsia="宋体" w:cs="Times New Roman"/>
      <w:kern w:val="0"/>
      <w:sz w:val="24"/>
      <w:lang w:val="en-US" w:eastAsia="zh-CN" w:bidi="ar"/>
    </w:rPr>
  </w:style>
  <w:style w:type="paragraph" w:styleId="18">
    <w:name w:val="Title"/>
    <w:basedOn w:val="1"/>
    <w:qFormat/>
    <w:uiPriority w:val="0"/>
    <w:pPr>
      <w:spacing w:before="240" w:after="60"/>
      <w:jc w:val="center"/>
      <w:outlineLvl w:val="0"/>
    </w:pPr>
    <w:rPr>
      <w:rFonts w:ascii="Arial" w:hAnsi="Arial" w:eastAsia="宋体" w:cs="Times New Roman"/>
      <w:b/>
      <w:bCs/>
      <w:sz w:val="32"/>
      <w:szCs w:val="32"/>
    </w:rPr>
  </w:style>
  <w:style w:type="paragraph" w:styleId="19">
    <w:name w:val="Body Text First Indent"/>
    <w:basedOn w:val="7"/>
    <w:qFormat/>
    <w:uiPriority w:val="0"/>
    <w:pPr>
      <w:ind w:firstLine="420" w:firstLineChars="100"/>
    </w:pPr>
  </w:style>
  <w:style w:type="table" w:styleId="21">
    <w:name w:val="Table Grid"/>
    <w:basedOn w:val="2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qFormat/>
    <w:uiPriority w:val="0"/>
    <w:rPr>
      <w:b/>
    </w:rPr>
  </w:style>
  <w:style w:type="character" w:styleId="24">
    <w:name w:val="page number"/>
    <w:qFormat/>
    <w:uiPriority w:val="0"/>
    <w:rPr>
      <w:rFonts w:ascii="Times New Roman" w:hAnsi="Times New Roman" w:eastAsia="宋体" w:cs="Times New Roman"/>
    </w:rPr>
  </w:style>
  <w:style w:type="character" w:styleId="25">
    <w:name w:val="Hyperlink"/>
    <w:qFormat/>
    <w:uiPriority w:val="0"/>
    <w:rPr>
      <w:rFonts w:ascii="Times New Roman" w:hAnsi="Times New Roman" w:eastAsia="宋体" w:cs="Times New Roman"/>
      <w:color w:val="0000FF"/>
      <w:u w:val="single"/>
    </w:rPr>
  </w:style>
  <w:style w:type="character" w:styleId="26">
    <w:name w:val="annotation reference"/>
    <w:qFormat/>
    <w:uiPriority w:val="0"/>
    <w:rPr>
      <w:rFonts w:ascii="Times New Roman" w:hAnsi="Times New Roman" w:eastAsia="宋体" w:cs="Times New Roman"/>
      <w:sz w:val="21"/>
      <w:szCs w:val="21"/>
    </w:rPr>
  </w:style>
  <w:style w:type="character" w:customStyle="1" w:styleId="27">
    <w:name w:val="标题 2 字符"/>
    <w:link w:val="3"/>
    <w:qFormat/>
    <w:uiPriority w:val="0"/>
    <w:rPr>
      <w:rFonts w:ascii="Cambria" w:hAnsi="Cambria" w:eastAsia="仿宋" w:cs="Times New Roman"/>
      <w:b/>
      <w:bCs/>
      <w:kern w:val="0"/>
      <w:szCs w:val="32"/>
    </w:rPr>
  </w:style>
  <w:style w:type="character" w:customStyle="1" w:styleId="28">
    <w:name w:val="标题 3 字符"/>
    <w:link w:val="4"/>
    <w:qFormat/>
    <w:uiPriority w:val="0"/>
    <w:rPr>
      <w:rFonts w:hint="eastAsia" w:ascii="宋体" w:hAnsi="宋体" w:eastAsia="方正仿宋_GB2312" w:cs="宋体"/>
      <w:b/>
      <w:bCs/>
      <w:kern w:val="0"/>
      <w:sz w:val="32"/>
      <w:szCs w:val="27"/>
      <w:lang w:bidi="ar"/>
    </w:rPr>
  </w:style>
  <w:style w:type="character" w:customStyle="1" w:styleId="29">
    <w:name w:val="日期 字符"/>
    <w:link w:val="10"/>
    <w:qFormat/>
    <w:uiPriority w:val="0"/>
    <w:rPr>
      <w:rFonts w:ascii="Times New Roman" w:hAnsi="Times New Roman" w:eastAsia="宋体" w:cs="Times New Roman"/>
      <w:kern w:val="2"/>
      <w:sz w:val="21"/>
      <w:szCs w:val="24"/>
    </w:rPr>
  </w:style>
  <w:style w:type="character" w:customStyle="1" w:styleId="30">
    <w:name w:val="页眉 字符"/>
    <w:link w:val="12"/>
    <w:qFormat/>
    <w:uiPriority w:val="0"/>
    <w:rPr>
      <w:rFonts w:ascii="Times New Roman" w:hAnsi="Times New Roman" w:eastAsia="宋体" w:cs="Times New Roman"/>
      <w:kern w:val="2"/>
      <w:sz w:val="18"/>
      <w:szCs w:val="18"/>
    </w:rPr>
  </w:style>
  <w:style w:type="paragraph" w:customStyle="1" w:styleId="31">
    <w:name w:val="Char Char6 Char Char Char Char Char Char Char Char Char Char"/>
    <w:basedOn w:val="1"/>
    <w:qFormat/>
    <w:uiPriority w:val="0"/>
    <w:rPr>
      <w:rFonts w:ascii="Times New Roman" w:hAnsi="Times New Roman" w:eastAsia="宋体" w:cs="Times New Roman"/>
    </w:rPr>
  </w:style>
  <w:style w:type="paragraph" w:customStyle="1" w:styleId="32">
    <w:name w:val="p0"/>
    <w:basedOn w:val="1"/>
    <w:qFormat/>
    <w:uiPriority w:val="0"/>
    <w:pPr>
      <w:widowControl/>
    </w:pPr>
    <w:rPr>
      <w:rFonts w:ascii="宋体" w:hAnsi="宋体" w:eastAsia="宋体" w:cs="宋体"/>
      <w:kern w:val="0"/>
      <w:szCs w:val="21"/>
    </w:rPr>
  </w:style>
  <w:style w:type="paragraph" w:customStyle="1" w:styleId="33">
    <w:name w:val="一级标题"/>
    <w:basedOn w:val="1"/>
    <w:link w:val="41"/>
    <w:qFormat/>
    <w:uiPriority w:val="0"/>
    <w:pPr>
      <w:spacing w:before="100" w:beforeAutospacing="1" w:after="100" w:afterAutospacing="1" w:line="380" w:lineRule="exact"/>
      <w:jc w:val="center"/>
      <w:outlineLvl w:val="0"/>
    </w:pPr>
    <w:rPr>
      <w:rFonts w:ascii="Times New Roman" w:hAnsi="Times New Roman" w:eastAsia="方正粗宋简体" w:cs="Times New Roman"/>
      <w:bCs/>
      <w:color w:val="000000"/>
      <w:sz w:val="28"/>
      <w:szCs w:val="28"/>
    </w:rPr>
  </w:style>
  <w:style w:type="paragraph" w:customStyle="1" w:styleId="34">
    <w:name w:val="Other|1"/>
    <w:basedOn w:val="1"/>
    <w:qFormat/>
    <w:uiPriority w:val="0"/>
    <w:pPr>
      <w:widowControl w:val="0"/>
      <w:shd w:val="clear" w:color="auto" w:fill="auto"/>
      <w:spacing w:line="444" w:lineRule="auto"/>
      <w:ind w:firstLine="400"/>
    </w:pPr>
    <w:rPr>
      <w:rFonts w:ascii="宋体" w:hAnsi="宋体" w:eastAsia="宋体" w:cs="宋体"/>
      <w:sz w:val="19"/>
      <w:szCs w:val="19"/>
      <w:u w:val="none"/>
      <w:shd w:val="clear" w:color="auto" w:fill="auto"/>
      <w:lang w:val="zh-TW" w:eastAsia="zh-TW" w:bidi="zh-TW"/>
    </w:rPr>
  </w:style>
  <w:style w:type="paragraph" w:customStyle="1" w:styleId="35">
    <w:name w:val="WPSOffice手动目录 1"/>
    <w:qFormat/>
    <w:uiPriority w:val="0"/>
    <w:rPr>
      <w:rFonts w:ascii="Times New Roman" w:hAnsi="Times New Roman" w:eastAsia="宋体" w:cs="Times New Roman"/>
      <w:lang w:val="en-US" w:eastAsia="zh-CN" w:bidi="ar-SA"/>
    </w:rPr>
  </w:style>
  <w:style w:type="paragraph" w:customStyle="1" w:styleId="36">
    <w:name w:val="WPSOffice手动目录 2"/>
    <w:qFormat/>
    <w:uiPriority w:val="0"/>
    <w:pPr>
      <w:ind w:leftChars="200"/>
    </w:pPr>
    <w:rPr>
      <w:rFonts w:ascii="Times New Roman" w:hAnsi="Times New Roman" w:eastAsia="宋体" w:cs="Times New Roman"/>
      <w:lang w:val="en-US" w:eastAsia="zh-CN" w:bidi="ar-SA"/>
    </w:rPr>
  </w:style>
  <w:style w:type="paragraph" w:customStyle="1" w:styleId="37">
    <w:name w:val="样式1"/>
    <w:basedOn w:val="1"/>
    <w:qFormat/>
    <w:uiPriority w:val="0"/>
    <w:pPr>
      <w:tabs>
        <w:tab w:val="right" w:leader="dot" w:pos="8306"/>
      </w:tabs>
      <w:spacing w:before="120" w:after="120" w:line="240" w:lineRule="atLeast"/>
      <w:jc w:val="left"/>
    </w:pPr>
    <w:rPr>
      <w:rFonts w:hint="eastAsia" w:ascii="Times New Roman" w:hAnsi="Times New Roman" w:cs="方正公文小标宋"/>
      <w:b/>
      <w:bCs/>
      <w:caps/>
      <w:sz w:val="24"/>
      <w:szCs w:val="28"/>
    </w:rPr>
  </w:style>
  <w:style w:type="paragraph" w:customStyle="1" w:styleId="38">
    <w:name w:val="样式2"/>
    <w:basedOn w:val="1"/>
    <w:qFormat/>
    <w:uiPriority w:val="0"/>
    <w:pPr>
      <w:ind w:firstLine="600" w:firstLineChars="200"/>
    </w:pPr>
    <w:rPr>
      <w:rFonts w:hint="eastAsia"/>
    </w:rPr>
  </w:style>
  <w:style w:type="paragraph" w:styleId="39">
    <w:name w:val="List Paragraph"/>
    <w:basedOn w:val="1"/>
    <w:qFormat/>
    <w:uiPriority w:val="34"/>
    <w:pPr>
      <w:widowControl w:val="0"/>
      <w:ind w:firstLine="420" w:firstLineChars="200"/>
      <w:jc w:val="both"/>
    </w:pPr>
    <w:rPr>
      <w:rFonts w:ascii="Times New Roman" w:hAnsi="Times New Roman" w:eastAsia="宋体" w:cs="Times New Roman"/>
      <w:kern w:val="2"/>
      <w:sz w:val="21"/>
      <w:szCs w:val="24"/>
      <w:lang w:val="en-US" w:eastAsia="zh-CN" w:bidi="ar-SA"/>
    </w:rPr>
  </w:style>
  <w:style w:type="paragraph" w:customStyle="1" w:styleId="40">
    <w:name w:val="_Style 13"/>
    <w:qFormat/>
    <w:uiPriority w:val="0"/>
    <w:pPr>
      <w:spacing w:before="120" w:after="120" w:line="288" w:lineRule="auto"/>
      <w:ind w:left="0"/>
      <w:jc w:val="left"/>
    </w:pPr>
    <w:rPr>
      <w:rFonts w:ascii="Arial" w:hAnsi="Arial" w:eastAsia="等线" w:cs="Arial"/>
      <w:sz w:val="22"/>
      <w:szCs w:val="22"/>
    </w:rPr>
  </w:style>
  <w:style w:type="character" w:customStyle="1" w:styleId="41">
    <w:name w:val="一级标题 Char"/>
    <w:link w:val="33"/>
    <w:qFormat/>
    <w:uiPriority w:val="0"/>
    <w:rPr>
      <w:rFonts w:ascii="Times New Roman" w:hAnsi="Times New Roman" w:eastAsia="方正粗宋简体" w:cs="Times New Roman"/>
      <w:bCs/>
      <w:color w:val="000000"/>
      <w:sz w:val="28"/>
      <w:szCs w:val="2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97</Pages>
  <Words>10255</Words>
  <Characters>12085</Characters>
  <Lines>492</Lines>
  <Paragraphs>138</Paragraphs>
  <TotalTime>14</TotalTime>
  <ScaleCrop>false</ScaleCrop>
  <LinksUpToDate>false</LinksUpToDate>
  <CharactersWithSpaces>12681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2021-04-27T11:22:00Z</dcterms:created>
  <dc:creator>dell</dc:creator>
  <cp:lastModifiedBy>燕知草</cp:lastModifiedBy>
  <cp:lastPrinted>2020-10-30T01:44:00Z</cp:lastPrinted>
  <dcterms:modified xsi:type="dcterms:W3CDTF">2025-11-12T05:09:47Z</dcterms:modified>
  <dc:title>DB</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FFDB5AB7F97A48A986F1E81B91E93FD2_13</vt:lpwstr>
  </property>
  <property fmtid="{D5CDD505-2E9C-101B-9397-08002B2CF9AE}" pid="4" name="KSOTemplateDocerSaveRecord">
    <vt:lpwstr>eyJoZGlkIjoiNzFiMGFkNjJiOGZkYTBkZGQ2ZTk0MDllZjIxNWYwMmEiLCJ1c2VySWQiOiI1MDI1NDQ0NjEifQ==</vt:lpwstr>
  </property>
</Properties>
</file>