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1E977">
      <w:pPr>
        <w:spacing w:before="655" w:beforeLines="210"/>
        <w:jc w:val="center"/>
        <w:rPr>
          <w:rFonts w:ascii="Times New Roman" w:hAnsi="Times New Roman" w:eastAsia="方正黑体简体" w:cs="Times New Roman"/>
          <w:color w:val="000000" w:themeColor="text1"/>
          <w:sz w:val="28"/>
          <w:szCs w:val="28"/>
          <w:highlight w:val="none"/>
          <w14:textFill>
            <w14:solidFill>
              <w14:schemeClr w14:val="tx1"/>
            </w14:solidFill>
          </w14:textFill>
        </w:rPr>
      </w:pPr>
      <w:bookmarkStart w:id="0" w:name="_Toc270495576"/>
      <w:bookmarkEnd w:id="0"/>
      <w:bookmarkStart w:id="1" w:name="_Toc303849961"/>
      <w:bookmarkEnd w:id="1"/>
      <w:bookmarkStart w:id="2" w:name="_Toc303849544"/>
      <w:bookmarkEnd w:id="2"/>
      <w:bookmarkStart w:id="3" w:name="_Hlk49786914"/>
      <w:bookmarkEnd w:id="3"/>
      <w:bookmarkStart w:id="4" w:name="_Toc303850171"/>
      <w:bookmarkEnd w:id="4"/>
      <w:r>
        <w:rPr>
          <w:rFonts w:ascii="Times New Roman" w:hAnsi="Times New Roman" w:eastAsia="方正黑体简体" w:cs="Times New Roman"/>
          <w:color w:val="000000" w:themeColor="text1"/>
          <w:sz w:val="28"/>
          <w:szCs w:val="28"/>
          <w:highlight w:val="none"/>
          <w14:textFill>
            <w14:solidFill>
              <w14:schemeClr w14:val="tx1"/>
            </w14:solidFill>
          </w14:textFill>
        </w:rPr>
        <w:t>山西省工程建设地方标准</w:t>
      </w:r>
    </w:p>
    <w:p w14:paraId="01C68873">
      <w:pPr>
        <w:spacing w:before="218" w:beforeLines="70"/>
        <w:jc w:val="center"/>
        <w:outlineLvl w:val="0"/>
        <w:rPr>
          <w:rFonts w:ascii="Times New Roman" w:hAnsi="Times New Roman" w:eastAsia="方正黑体简体" w:cs="Times New Roman"/>
          <w:color w:val="000000" w:themeColor="text1"/>
          <w:sz w:val="29"/>
          <w:szCs w:val="29"/>
          <w:highlight w:val="none"/>
          <w14:textFill>
            <w14:solidFill>
              <w14:schemeClr w14:val="tx1"/>
            </w14:solidFill>
          </w14:textFill>
        </w:rPr>
      </w:pPr>
      <w:r>
        <w:rPr>
          <w:rFonts w:ascii="Times New Roman" w:hAnsi="Times New Roman" w:eastAsia="方正黑体简体" w:cs="Times New Roman"/>
          <w:color w:val="000000" w:themeColor="text1"/>
          <w:sz w:val="29"/>
          <w:szCs w:val="29"/>
          <w:highlight w:val="none"/>
          <w14:textFill>
            <w14:solidFill>
              <w14:schemeClr w14:val="tx1"/>
            </w14:solidFill>
          </w14:textFill>
        </w:rPr>
        <w:t>城市综合管廊工程技术标准</w:t>
      </w:r>
    </w:p>
    <w:p w14:paraId="386D4DF6">
      <w:pPr>
        <w:spacing w:before="124" w:beforeLines="40" w:line="260" w:lineRule="exact"/>
        <w:jc w:val="center"/>
        <w:rPr>
          <w:rFonts w:ascii="Times New Roman" w:hAnsi="Times New Roman" w:eastAsia="方正书宋简体" w:cs="Times New Roman"/>
          <w:b/>
          <w:bCs/>
          <w:color w:val="000000" w:themeColor="text1"/>
          <w:sz w:val="24"/>
          <w:highlight w:val="none"/>
          <w14:textFill>
            <w14:solidFill>
              <w14:schemeClr w14:val="tx1"/>
            </w14:solidFill>
          </w14:textFill>
        </w:rPr>
      </w:pPr>
      <w:r>
        <w:rPr>
          <w:rFonts w:ascii="Times New Roman" w:hAnsi="Times New Roman" w:eastAsia="方正书宋简体" w:cs="Times New Roman"/>
          <w:b/>
          <w:bCs/>
          <w:color w:val="000000" w:themeColor="text1"/>
          <w:sz w:val="24"/>
          <w:highlight w:val="none"/>
          <w:lang w:eastAsia="en-US"/>
          <w14:textFill>
            <w14:solidFill>
              <w14:schemeClr w14:val="tx1"/>
            </w14:solidFill>
          </w14:textFill>
        </w:rPr>
        <w:t>Technical standard for urban utility tunnel engineering</w:t>
      </w:r>
      <w:r>
        <w:rPr>
          <w:rFonts w:ascii="Times New Roman" w:hAnsi="Times New Roman" w:eastAsia="方正书宋简体" w:cs="Times New Roman"/>
          <w:b/>
          <w:bCs/>
          <w:color w:val="000000" w:themeColor="text1"/>
          <w:sz w:val="24"/>
          <w:highlight w:val="none"/>
          <w:lang w:eastAsia="en-US"/>
          <w14:textFill>
            <w14:solidFill>
              <w14:schemeClr w14:val="tx1"/>
            </w14:solidFill>
          </w14:textFill>
        </w:rPr>
        <w:br w:type="textWrapping"/>
      </w:r>
      <w:r>
        <w:rPr>
          <w:rFonts w:hint="eastAsia" w:ascii="Times New Roman" w:hAnsi="Times New Roman" w:eastAsia="方正书宋简体" w:cs="Times New Roman"/>
          <w:b/>
          <w:bCs/>
          <w:color w:val="000000" w:themeColor="text1"/>
          <w:sz w:val="24"/>
          <w:highlight w:val="none"/>
          <w:lang w:eastAsia="zh-CN"/>
          <w14:textFill>
            <w14:solidFill>
              <w14:schemeClr w14:val="tx1"/>
            </w14:solidFill>
          </w14:textFill>
        </w:rPr>
        <w:t>（</w:t>
      </w:r>
      <w:r>
        <w:rPr>
          <w:rFonts w:hint="eastAsia" w:ascii="Times New Roman" w:hAnsi="Times New Roman" w:eastAsia="方正书宋简体" w:cs="Times New Roman"/>
          <w:b/>
          <w:bCs/>
          <w:color w:val="000000" w:themeColor="text1"/>
          <w:sz w:val="24"/>
          <w:highlight w:val="none"/>
          <w:lang w:val="en-US" w:eastAsia="zh-CN"/>
          <w14:textFill>
            <w14:solidFill>
              <w14:schemeClr w14:val="tx1"/>
            </w14:solidFill>
          </w14:textFill>
        </w:rPr>
        <w:t>征求意见稿</w:t>
      </w:r>
      <w:r>
        <w:rPr>
          <w:rFonts w:hint="eastAsia" w:ascii="Times New Roman" w:hAnsi="Times New Roman" w:eastAsia="方正书宋简体" w:cs="Times New Roman"/>
          <w:b/>
          <w:bCs/>
          <w:color w:val="000000" w:themeColor="text1"/>
          <w:sz w:val="24"/>
          <w:highlight w:val="none"/>
          <w:lang w:eastAsia="zh-CN"/>
          <w14:textFill>
            <w14:solidFill>
              <w14:schemeClr w14:val="tx1"/>
            </w14:solidFill>
          </w14:textFill>
        </w:rPr>
        <w:t>）</w:t>
      </w:r>
    </w:p>
    <w:p w14:paraId="5454BA53">
      <w:pPr>
        <w:spacing w:before="124" w:beforeLines="40" w:line="440" w:lineRule="exact"/>
        <w:jc w:val="center"/>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bCs/>
          <w:color w:val="000000" w:themeColor="text1"/>
          <w:highlight w:val="none"/>
          <w14:textFill>
            <w14:solidFill>
              <w14:schemeClr w14:val="tx1"/>
            </w14:solidFill>
          </w14:textFill>
        </w:rPr>
        <w:t>DBJ04/T     —2025</w:t>
      </w:r>
    </w:p>
    <w:p w14:paraId="517CD878">
      <w:pPr>
        <w:spacing w:before="156" w:beforeLines="50" w:line="380" w:lineRule="exact"/>
        <w:ind w:firstLine="1266" w:firstLineChars="600"/>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批准部门：山西省住房和城乡建设厅</w:t>
      </w:r>
    </w:p>
    <w:p w14:paraId="3D895706">
      <w:pPr>
        <w:spacing w:line="380" w:lineRule="exact"/>
        <w:ind w:firstLine="1266" w:firstLineChars="600"/>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主编单位：山西省安装集团股份有限公司</w:t>
      </w:r>
    </w:p>
    <w:p w14:paraId="15E2FA0D">
      <w:pPr>
        <w:pStyle w:val="1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中冶赛迪工程技术股份有限公司</w:t>
      </w:r>
    </w:p>
    <w:p w14:paraId="58DC5C71">
      <w:pPr>
        <w:spacing w:line="380" w:lineRule="exact"/>
        <w:ind w:firstLine="1266" w:firstLineChars="600"/>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施行日期：2025年  月  日</w:t>
      </w:r>
    </w:p>
    <w:p w14:paraId="18D33E09">
      <w:pPr>
        <w:tabs>
          <w:tab w:val="left" w:pos="900"/>
        </w:tabs>
        <w:spacing w:line="380" w:lineRule="exact"/>
        <w:ind w:firstLine="2426" w:firstLineChars="1150"/>
        <w:jc w:val="left"/>
        <w:rPr>
          <w:rFonts w:ascii="Times New Roman" w:hAnsi="Times New Roman" w:eastAsia="方正书宋简体" w:cs="Times New Roman"/>
          <w:color w:val="000000" w:themeColor="text1"/>
          <w:highlight w:val="none"/>
          <w14:textFill>
            <w14:solidFill>
              <w14:schemeClr w14:val="tx1"/>
            </w14:solidFill>
          </w14:textFill>
        </w:rPr>
      </w:pPr>
    </w:p>
    <w:p w14:paraId="7AFF90B8">
      <w:pPr>
        <w:tabs>
          <w:tab w:val="left" w:pos="900"/>
        </w:tabs>
        <w:spacing w:line="380" w:lineRule="exact"/>
        <w:ind w:firstLine="2426" w:firstLineChars="1150"/>
        <w:jc w:val="left"/>
        <w:rPr>
          <w:rFonts w:ascii="Times New Roman" w:hAnsi="Times New Roman" w:eastAsia="方正书宋简体" w:cs="Times New Roman"/>
          <w:color w:val="000000" w:themeColor="text1"/>
          <w:highlight w:val="none"/>
          <w14:textFill>
            <w14:solidFill>
              <w14:schemeClr w14:val="tx1"/>
            </w14:solidFill>
          </w14:textFill>
        </w:rPr>
      </w:pPr>
    </w:p>
    <w:p w14:paraId="395FDE8D">
      <w:pPr>
        <w:tabs>
          <w:tab w:val="left" w:pos="900"/>
        </w:tabs>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2DE99CDE">
      <w:pPr>
        <w:tabs>
          <w:tab w:val="left" w:pos="900"/>
        </w:tabs>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7633BBB9">
      <w:pPr>
        <w:tabs>
          <w:tab w:val="left" w:pos="900"/>
        </w:tabs>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39B5A88F">
      <w:pPr>
        <w:tabs>
          <w:tab w:val="left" w:pos="900"/>
        </w:tabs>
        <w:spacing w:before="312" w:beforeLines="100"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091055A3">
      <w:pPr>
        <w:tabs>
          <w:tab w:val="left" w:pos="900"/>
        </w:tabs>
        <w:spacing w:before="156" w:beforeLines="50"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52B1FFF7">
      <w:pPr>
        <w:tabs>
          <w:tab w:val="left" w:pos="900"/>
        </w:tabs>
        <w:spacing w:before="156" w:beforeLines="50"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p>
    <w:p w14:paraId="11B597F3">
      <w:pPr>
        <w:tabs>
          <w:tab w:val="left" w:pos="900"/>
        </w:tabs>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114300" distR="114300">
            <wp:extent cx="1938655" cy="360045"/>
            <wp:effectExtent l="0" t="0" r="4445" b="1905"/>
            <wp:docPr id="14" name="图片 3" descr="35a574482bcbed4ae3b896279ac5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35a574482bcbed4ae3b896279ac5e69"/>
                    <pic:cNvPicPr>
                      <a:picLocks noChangeAspect="1"/>
                    </pic:cNvPicPr>
                  </pic:nvPicPr>
                  <pic:blipFill>
                    <a:blip r:embed="rId17"/>
                    <a:srcRect l="6345" t="20039" r="11319" b="12827"/>
                    <a:stretch>
                      <a:fillRect/>
                    </a:stretch>
                  </pic:blipFill>
                  <pic:spPr>
                    <a:xfrm>
                      <a:off x="0" y="0"/>
                      <a:ext cx="1938655" cy="360045"/>
                    </a:xfrm>
                    <a:prstGeom prst="rect">
                      <a:avLst/>
                    </a:prstGeom>
                    <a:noFill/>
                    <a:ln>
                      <a:noFill/>
                    </a:ln>
                  </pic:spPr>
                </pic:pic>
              </a:graphicData>
            </a:graphic>
          </wp:inline>
        </w:drawing>
      </w:r>
    </w:p>
    <w:p w14:paraId="7E930A5C">
      <w:pPr>
        <w:tabs>
          <w:tab w:val="left" w:pos="900"/>
        </w:tabs>
        <w:spacing w:before="93" w:beforeLines="30"/>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 xml:space="preserve">2025  </w:t>
      </w:r>
      <w:r>
        <w:rPr>
          <w:rFonts w:ascii="Times New Roman" w:hAnsi="Times New Roman" w:eastAsia="黑体" w:cs="Times New Roman"/>
          <w:color w:val="000000" w:themeColor="text1"/>
          <w:highlight w:val="none"/>
          <w14:textFill>
            <w14:solidFill>
              <w14:schemeClr w14:val="tx1"/>
            </w14:solidFill>
          </w14:textFill>
        </w:rPr>
        <w:t>北    京</w:t>
      </w:r>
    </w:p>
    <w:p w14:paraId="6A015764">
      <w:pPr>
        <w:tabs>
          <w:tab w:val="left" w:pos="900"/>
        </w:tabs>
        <w:spacing w:before="156" w:beforeLines="50"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2399030</wp:posOffset>
                </wp:positionH>
                <wp:positionV relativeFrom="paragraph">
                  <wp:posOffset>93345</wp:posOffset>
                </wp:positionV>
                <wp:extent cx="1878965" cy="640715"/>
                <wp:effectExtent l="0" t="0" r="6985" b="6985"/>
                <wp:wrapNone/>
                <wp:docPr id="16" name="文本框 16"/>
                <wp:cNvGraphicFramePr/>
                <a:graphic xmlns:a="http://schemas.openxmlformats.org/drawingml/2006/main">
                  <a:graphicData uri="http://schemas.microsoft.com/office/word/2010/wordprocessingShape">
                    <wps:wsp>
                      <wps:cNvSpPr txBox="1"/>
                      <wps:spPr>
                        <a:xfrm>
                          <a:off x="0" y="0"/>
                          <a:ext cx="1878965" cy="640715"/>
                        </a:xfrm>
                        <a:prstGeom prst="rect">
                          <a:avLst/>
                        </a:prstGeom>
                        <a:solidFill>
                          <a:srgbClr val="FFFFFF"/>
                        </a:solidFill>
                        <a:ln w="9525">
                          <a:noFill/>
                        </a:ln>
                        <a:effectLst/>
                      </wps:spPr>
                      <wps:txbx>
                        <w:txbxContent>
                          <w:p w14:paraId="09ABAA57"/>
                        </w:txbxContent>
                      </wps:txbx>
                      <wps:bodyPr upright="1"/>
                    </wps:wsp>
                  </a:graphicData>
                </a:graphic>
              </wp:anchor>
            </w:drawing>
          </mc:Choice>
          <mc:Fallback>
            <w:pict>
              <v:shape id="_x0000_s1026" o:spid="_x0000_s1026" o:spt="202" type="#_x0000_t202" style="position:absolute;left:0pt;margin-left:188.9pt;margin-top:7.35pt;height:50.45pt;width:147.95pt;z-index:251667456;mso-width-relative:page;mso-height-relative:page;" fillcolor="#FFFFFF" filled="t" stroked="f" coordsize="21600,21600" o:gfxdata="UEsDBAoAAAAAAIdO4kAAAAAAAAAAAAAAAAAEAAAAZHJzL1BLAwQUAAAACACHTuJAGBoZx9cAAAAK&#10;AQAADwAAAGRycy9kb3ducmV2LnhtbE2PzU7DQAyE70i8w8pIXBDdhLZZCNlUAgnEtT8P4CRuEpH1&#10;Rtlt07495gQ32zMaf1NsLm5QZ5pC79lCukhAEde+6bm1cNh/PD6DChG5wcEzWbhSgE15e1Ng3viZ&#10;t3TexVZJCIccLXQxjrnWoe7IYVj4kVi0o58cRlmnVjcTzhLuBv2UJJl22LN86HCk947q793JWTh+&#10;zQ/rl7n6jAezXWVv2JvKX629v0uTV1CRLvHPDL/4gg6lMFX+xE1Qg4WlMYIeRVgZUGLIzFKGSg7p&#10;OgNdFvp/hfIHUEsDBBQAAAAIAIdO4kCwcFQBzgEAAJADAAAOAAAAZHJzL2Uyb0RvYy54bWytU8GO&#10;0zAQvSPxD5bvNGlFu92o6UpQlQsCpIUPcB07sWR7LNtt0h+AP+DEhTvf1e9g7GTLslz2QA7JeGb8&#10;Zt6byeZuMJqchA8KbE3ns5ISYTk0yrY1/fJ5/2pNSYjMNkyDFTU9i0Dvti9fbHpXiQV0oBvhCYLY&#10;UPWupl2MriqKwDthWJiBExaDErxhEY++LRrPekQ3uliU5arowTfOAxchoHc3BumE6J8DCFIqLnbA&#10;j0bYOKJ6oVlESqFTLtBt7lZKweNHKYOIRNcUmcb8xiJoH9K72G5Y1XrmOsWnFthzWnjCyTBlsegV&#10;asciI0ev/oEyinsIIOOMgylGIlkRZDEvn2hz3zEnMheUOrir6OH/wfIPp0+eqAY3YUWJZQYnfvn+&#10;7fLj1+XnV4I+FKh3ocK8e4eZcXgDAyY/+AM6E+9BepO+yIhgHOU9X+UVQyQ8XVrfrG9XS0o4xlav&#10;y5v5MsEUf247H+I7AYYko6Yex5dVZaf3IY6pDympWACtmr3SOh98e3irPTkxHPU+PxP6X2nakr6m&#10;t8vFMiNbSPdHaG0TjshbM9VL1EeKyYrDYZj0OEBzRjmOzqu2w1azIEVKwkFlTtNSpU14fEb78Y+0&#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YGhnH1wAAAAoBAAAPAAAAAAAAAAEAIAAAACIAAABk&#10;cnMvZG93bnJldi54bWxQSwECFAAUAAAACACHTuJAsHBUAc4BAACQAwAADgAAAAAAAAABACAAAAAm&#10;AQAAZHJzL2Uyb0RvYy54bWxQSwUGAAAAAAYABgBZAQAAZgUAAAAA&#10;">
                <v:fill on="t" focussize="0,0"/>
                <v:stroke on="f"/>
                <v:imagedata o:title=""/>
                <o:lock v:ext="edit" aspectratio="f"/>
                <v:textbox>
                  <w:txbxContent>
                    <w:p w14:paraId="09ABAA57"/>
                  </w:txbxContent>
                </v:textbox>
              </v:shape>
            </w:pict>
          </mc:Fallback>
        </mc:AlternateContent>
      </w:r>
      <w:r>
        <w:rPr>
          <w:rFonts w:ascii="Times New Roman" w:hAnsi="Times New Roman" w:eastAsia="方正书宋简体" w:cs="Times New Roman"/>
          <w:color w:val="000000" w:themeColor="text1"/>
          <w:highlight w:val="none"/>
          <w14:textFill>
            <w14:solidFill>
              <w14:schemeClr w14:val="tx1"/>
            </w14:solidFill>
          </w14:textFill>
        </w:rPr>
        <w:br w:type="page"/>
      </w:r>
    </w:p>
    <w:p w14:paraId="622CE7E6">
      <w:pPr>
        <w:pBdr>
          <w:top w:val="none" w:color="auto" w:sz="0" w:space="1"/>
          <w:left w:val="none" w:color="auto" w:sz="0" w:space="4"/>
          <w:bottom w:val="none" w:color="auto" w:sz="0" w:space="1"/>
          <w:right w:val="none" w:color="auto" w:sz="0" w:space="4"/>
        </w:pBdr>
        <w:spacing w:line="20" w:lineRule="exact"/>
        <w:jc w:val="center"/>
        <w:rPr>
          <w:rFonts w:ascii="Times New Roman" w:hAnsi="Times New Roman" w:eastAsia="方正小标宋简体" w:cs="Times New Roman"/>
          <w:color w:val="000000" w:themeColor="text1"/>
          <w:sz w:val="28"/>
          <w:szCs w:val="28"/>
          <w:highlight w:val="none"/>
          <w14:textFill>
            <w14:solidFill>
              <w14:schemeClr w14:val="tx1"/>
            </w14:solidFill>
          </w14:textFill>
        </w:rPr>
      </w:pPr>
      <w:r>
        <w:rPr>
          <w:rFonts w:ascii="Times New Roman" w:hAnsi="Times New Roman" w:cs="Times New Roman"/>
          <w:color w:val="000000" w:themeColor="text1"/>
          <w:sz w:val="36"/>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-257175</wp:posOffset>
                </wp:positionH>
                <wp:positionV relativeFrom="paragraph">
                  <wp:posOffset>213995</wp:posOffset>
                </wp:positionV>
                <wp:extent cx="1564640" cy="640715"/>
                <wp:effectExtent l="0" t="0" r="16510" b="6985"/>
                <wp:wrapNone/>
                <wp:docPr id="19" name="文本框 19"/>
                <wp:cNvGraphicFramePr/>
                <a:graphic xmlns:a="http://schemas.openxmlformats.org/drawingml/2006/main">
                  <a:graphicData uri="http://schemas.microsoft.com/office/word/2010/wordprocessingShape">
                    <wps:wsp>
                      <wps:cNvSpPr txBox="1"/>
                      <wps:spPr>
                        <a:xfrm>
                          <a:off x="0" y="0"/>
                          <a:ext cx="1564640" cy="640715"/>
                        </a:xfrm>
                        <a:prstGeom prst="rect">
                          <a:avLst/>
                        </a:prstGeom>
                        <a:solidFill>
                          <a:srgbClr val="FFFFFF"/>
                        </a:solidFill>
                        <a:ln w="9525">
                          <a:noFill/>
                        </a:ln>
                        <a:effectLst/>
                      </wps:spPr>
                      <wps:txbx>
                        <w:txbxContent>
                          <w:p w14:paraId="21E90092"/>
                        </w:txbxContent>
                      </wps:txbx>
                      <wps:bodyPr upright="1"/>
                    </wps:wsp>
                  </a:graphicData>
                </a:graphic>
              </wp:anchor>
            </w:drawing>
          </mc:Choice>
          <mc:Fallback>
            <w:pict>
              <v:shape id="_x0000_s1026" o:spid="_x0000_s1026" o:spt="202" type="#_x0000_t202" style="position:absolute;left:0pt;margin-left:-20.25pt;margin-top:16.85pt;height:50.45pt;width:123.2pt;z-index:251668480;mso-width-relative:page;mso-height-relative:page;" fillcolor="#FFFFFF" filled="t" stroked="f" coordsize="21600,21600" o:gfxdata="UEsDBAoAAAAAAIdO4kAAAAAAAAAAAAAAAAAEAAAAZHJzL1BLAwQUAAAACACHTuJAOjakT9gAAAAK&#10;AQAADwAAAGRycy9kb3ducmV2LnhtbE2Py27CMBBF95X6D9ZU6qYCG/IqIQ5SK7XqFsoHOMmQRMTj&#10;KDYE/r7TVbsc3aN7zxS7mx3EFSffO9KwWioQSLVremo1HL8/Fq8gfDDUmMERarijh135+FCYvHEz&#10;7fF6CK3gEvK50dCFMOZS+rpDa/zSjUicndxkTeBzamUzmZnL7SDXSqXSmp54oTMjvndYnw8Xq+H0&#10;Nb8km7n6DMdsH6dvps8qd9f6+WmltiAC3sIfDL/6rA4lO1XuQo0Xg4ZFrBJGNURRBoKBtUo2ICom&#10;ozgFWRby/wvlD1BLAwQUAAAACACHTuJAfnvKicwBAACQAwAADgAAAGRycy9lMm9Eb2MueG1srVPB&#10;btswDL0P2D8Iui9OgiZbgzgFuiC7DNuAdh+gyLItQBIFUYmdH9j+YKdddt935TtGyW7WdZce6oNN&#10;kdQj3yO9vumtYUcVUIMr+Wwy5Uw5CZV2Tcm/3u/evOMMo3CVMOBUyU8K+c3m9at151dqDi2YSgVG&#10;IA5XnS95G6NfFQXKVlmBE/DKUbCGYEWkY2iKKoiO0K0p5tPpsuggVD6AVIjk3Q5BPiKG5wBCXWup&#10;tiAPVrk4oAZlRCRK2GqPfJO7rWsl4+e6RhWZKTkxjflNRcjep3exWYtVE4RvtRxbEM9p4QknK7Sj&#10;oheorYiCHYL+D8pqGQChjhMJthiIZEWIxWz6RJu7VniVuZDU6C+i48vByk/HL4HpijbhmjMnLE38&#10;/OP7+efv869vjHwkUOdxRXl3njJjfws9JT/4kZyJd18Hm77EiFGc5D1d5FV9ZDJdWiyvllcUkhQj&#10;4+1skWCKv7d9wPhBgWXJKHmg8WVVxfEjxiH1ISUVQzC62mlj8iE0+/cmsKOgUe/yM6L/k2Yc60p+&#10;vZgvMrKDdH+ANi7hqLw1Y71EfaCYrNjv+1GPPVQnkuPgg25aajULUqQkGlTmNC5V2oTHZ7If/0ib&#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o2pE/YAAAACgEAAA8AAAAAAAAAAQAgAAAAIgAAAGRy&#10;cy9kb3ducmV2LnhtbFBLAQIUABQAAAAIAIdO4kB+e8qJzAEAAJADAAAOAAAAAAAAAAEAIAAAACcB&#10;AABkcnMvZTJvRG9jLnhtbFBLBQYAAAAABgAGAFkBAABlBQAAAAA=&#10;">
                <v:fill on="t" focussize="0,0"/>
                <v:stroke on="f"/>
                <v:imagedata o:title=""/>
                <o:lock v:ext="edit" aspectratio="f"/>
                <v:textbox>
                  <w:txbxContent>
                    <w:p w14:paraId="21E90092"/>
                  </w:txbxContent>
                </v:textbox>
              </v:shape>
            </w:pict>
          </mc:Fallback>
        </mc:AlternateContent>
      </w:r>
    </w:p>
    <w:p w14:paraId="6FC951E5">
      <w:pPr>
        <w:tabs>
          <w:tab w:val="left" w:pos="10440"/>
        </w:tabs>
        <w:adjustRightInd w:val="0"/>
        <w:snapToGrid w:val="0"/>
        <w:spacing w:before="624" w:beforeLines="200" w:after="312" w:afterLines="100" w:line="312" w:lineRule="exact"/>
        <w:jc w:val="center"/>
        <w:rPr>
          <w:rFonts w:ascii="Times New Roman" w:hAnsi="Times New Roman" w:eastAsia="方正小标宋简体" w:cs="Times New Roman"/>
          <w:color w:val="000000" w:themeColor="text1"/>
          <w:sz w:val="28"/>
          <w:szCs w:val="28"/>
          <w:highlight w:val="none"/>
          <w14:textFill>
            <w14:solidFill>
              <w14:schemeClr w14:val="tx1"/>
            </w14:solidFill>
          </w14:textFill>
        </w:rPr>
      </w:pPr>
      <w:r>
        <w:rPr>
          <w:rFonts w:ascii="Times New Roman" w:hAnsi="Times New Roman" w:eastAsia="方正小标宋简体" w:cs="Times New Roman"/>
          <w:color w:val="000000" w:themeColor="text1"/>
          <w:sz w:val="28"/>
          <w:szCs w:val="28"/>
          <w:highlight w:val="none"/>
          <w14:textFill>
            <w14:solidFill>
              <w14:schemeClr w14:val="tx1"/>
            </w14:solidFill>
          </w14:textFill>
        </w:rPr>
        <w:t>前  言</w:t>
      </w:r>
    </w:p>
    <w:p w14:paraId="1957BB40">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山西省住房和城乡建设厅《关于印发2025年工程建设地方标准制（修）订计划的通知》（晋建科字〔2025〕74号）的要求，标准编制组经过广泛调查研究，结合本省工程地质特点和综合管廊工程的建设经验，参考有关国家标准和行业标准，并在广泛征求意见的基础上，对原《城市综合管廊工程技术标准》DBJ04/T 389—2019进行了修订。</w:t>
      </w:r>
    </w:p>
    <w:p w14:paraId="55B73FDE">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本标准分15章，主要技术内容是：1总则；2术语；3基本规定；4系统规划；5勘察；6总体设计；7结构设计；8附属设施设计；9管线设计；10结构施工；11附属设施施工；12管线工程施工；1</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工程质量验收与资料管理；1</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安全与绿色施工；15运营维护。</w:t>
      </w:r>
    </w:p>
    <w:p w14:paraId="5ABFC97A">
      <w:pPr>
        <w:pStyle w:val="59"/>
        <w:rPr>
          <w:highlight w:val="none"/>
          <w:u w:val="none"/>
        </w:rPr>
      </w:pPr>
      <w:r>
        <w:rPr>
          <w:color w:val="000000" w:themeColor="text1"/>
          <w:highlight w:val="none"/>
          <w14:textFill>
            <w14:solidFill>
              <w14:schemeClr w14:val="tx1"/>
            </w14:solidFill>
          </w14:textFill>
        </w:rPr>
        <w:t>本标准修订的主要</w:t>
      </w:r>
      <w:r>
        <w:rPr>
          <w:rFonts w:hint="eastAsia"/>
          <w:color w:val="000000" w:themeColor="text1"/>
          <w:highlight w:val="none"/>
          <w14:textFill>
            <w14:solidFill>
              <w14:schemeClr w14:val="tx1"/>
            </w14:solidFill>
          </w14:textFill>
        </w:rPr>
        <w:t>章节</w:t>
      </w:r>
      <w:r>
        <w:rPr>
          <w:color w:val="000000" w:themeColor="text1"/>
          <w:highlight w:val="none"/>
          <w14:textFill>
            <w14:solidFill>
              <w14:schemeClr w14:val="tx1"/>
            </w14:solidFill>
          </w14:textFill>
        </w:rPr>
        <w:t>是：</w:t>
      </w:r>
      <w:r>
        <w:rPr>
          <w:rFonts w:hint="eastAsia"/>
          <w:color w:val="000000" w:themeColor="text1"/>
          <w:highlight w:val="none"/>
          <w:u w:val="none"/>
          <w14:textFill>
            <w14:solidFill>
              <w14:schemeClr w14:val="tx1"/>
            </w14:solidFill>
          </w14:textFill>
        </w:rPr>
        <w:t>调整了第7、8、9、13、14章的顺序，修改了第2.0.4、3.0.7、4.3.4、6.3.1、6.6.2、6.6.7、6.6.9、8.1.2、8.1.6、8.1.7、8.1.8、8.1.9、8.2.2、8.2.8、8.2.9条，增加了第5.1.3、5.1.5、5.3.3、5.3.4、5.4.2条2款、5.4.5、6.3.6、8.2.10、10.3.2、14.1.14~14.1.18、14.2.11~14.2.1、15.0.6~15.0.7条，删除了2.0.7~2.0.9、2.0.17~2.0.33条、10.7节</w:t>
      </w:r>
      <w:r>
        <w:rPr>
          <w:color w:val="000000" w:themeColor="text1"/>
          <w:highlight w:val="none"/>
          <w:u w:val="none"/>
          <w14:textFill>
            <w14:solidFill>
              <w14:schemeClr w14:val="tx1"/>
            </w14:solidFill>
          </w14:textFill>
        </w:rPr>
        <w:t>。</w:t>
      </w:r>
      <w:r>
        <w:rPr>
          <w:rFonts w:hint="eastAsia"/>
          <w:highlight w:val="none"/>
          <w:u w:val="none"/>
        </w:rPr>
        <w:t>修订的主要技术内容有：取消</w:t>
      </w:r>
      <w:r>
        <w:rPr>
          <w:highlight w:val="none"/>
          <w:u w:val="none"/>
        </w:rPr>
        <w:t>缆线管廊</w:t>
      </w:r>
      <w:r>
        <w:rPr>
          <w:rFonts w:hint="eastAsia"/>
          <w:highlight w:val="none"/>
          <w:u w:val="none"/>
        </w:rPr>
        <w:t>类型，</w:t>
      </w:r>
      <w:r>
        <w:rPr>
          <w:highlight w:val="none"/>
          <w:u w:val="none"/>
        </w:rPr>
        <w:t>增加小型综合管廊类型</w:t>
      </w:r>
      <w:r>
        <w:rPr>
          <w:rFonts w:hint="eastAsia"/>
          <w:highlight w:val="none"/>
          <w:u w:val="none"/>
        </w:rPr>
        <w:t>；</w:t>
      </w:r>
      <w:r>
        <w:rPr>
          <w:highlight w:val="none"/>
          <w:u w:val="none"/>
        </w:rPr>
        <w:t>分别对干线、支线、小型综合管廊的断面尺寸、管线安装尺寸、附属设施设置要求做出相应的调整和规定；取消了舱室内的防火分隔及防火分区概念；取消了容纳电力电缆的干、支线综合管廊设置自动灭火系统的要求；</w:t>
      </w:r>
      <w:r>
        <w:rPr>
          <w:rFonts w:hint="eastAsia"/>
          <w:highlight w:val="none"/>
          <w:u w:val="none"/>
        </w:rPr>
        <w:t>调整</w:t>
      </w:r>
      <w:r>
        <w:rPr>
          <w:highlight w:val="none"/>
          <w:u w:val="none"/>
        </w:rPr>
        <w:t>了手提式灭火器的</w:t>
      </w:r>
      <w:r>
        <w:rPr>
          <w:rFonts w:hint="eastAsia"/>
          <w:highlight w:val="none"/>
          <w:u w:val="none"/>
        </w:rPr>
        <w:t>设置</w:t>
      </w:r>
      <w:r>
        <w:rPr>
          <w:highlight w:val="none"/>
          <w:u w:val="none"/>
        </w:rPr>
        <w:t>要求；取消了</w:t>
      </w:r>
      <w:r>
        <w:rPr>
          <w:rFonts w:hint="eastAsia"/>
          <w:highlight w:val="none"/>
          <w:u w:val="none"/>
        </w:rPr>
        <w:t>天然气</w:t>
      </w:r>
      <w:r>
        <w:rPr>
          <w:highlight w:val="none"/>
          <w:u w:val="none"/>
        </w:rPr>
        <w:t>、蒸汽管道独立成舱敷设的要求，取消了燃气舱室采用防火花地坪等相关要求；结合近年来住房</w:t>
      </w:r>
      <w:r>
        <w:rPr>
          <w:rFonts w:hint="eastAsia"/>
          <w:highlight w:val="none"/>
          <w:u w:val="none"/>
          <w:lang w:val="en-US" w:eastAsia="zh-CN"/>
        </w:rPr>
        <w:t>和</w:t>
      </w:r>
      <w:r>
        <w:rPr>
          <w:highlight w:val="none"/>
          <w:u w:val="none"/>
        </w:rPr>
        <w:t>城乡建设部发布的各类更新标准、通用规范，同步更新本规范中的相关条文。</w:t>
      </w:r>
    </w:p>
    <w:p w14:paraId="721A1BA2">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标准由山西省住房和城乡建设厅负责管理，由山西省安装集团股份有限公司负责具体内容的解释。在执行过程中，如有意见和建议，请反馈给山西省安装集团股份有限公司（地址：山西转型综合改革示范区唐槐产业园新化路8号；邮政编码：030032；邮箱：sxazjszx@sxcig.com）。</w:t>
      </w:r>
    </w:p>
    <w:tbl>
      <w:tblPr>
        <w:tblStyle w:val="27"/>
        <w:tblW w:w="6123" w:type="dxa"/>
        <w:jc w:val="center"/>
        <w:tblLayout w:type="fixed"/>
        <w:tblCellMar>
          <w:top w:w="0" w:type="dxa"/>
          <w:left w:w="28" w:type="dxa"/>
          <w:bottom w:w="0" w:type="dxa"/>
          <w:right w:w="28" w:type="dxa"/>
        </w:tblCellMar>
      </w:tblPr>
      <w:tblGrid>
        <w:gridCol w:w="2637"/>
        <w:gridCol w:w="3486"/>
      </w:tblGrid>
      <w:tr w14:paraId="76EC21C0">
        <w:tblPrEx>
          <w:tblCellMar>
            <w:top w:w="0" w:type="dxa"/>
            <w:left w:w="28" w:type="dxa"/>
            <w:bottom w:w="0" w:type="dxa"/>
            <w:right w:w="28" w:type="dxa"/>
          </w:tblCellMar>
        </w:tblPrEx>
        <w:trPr>
          <w:trHeight w:val="340" w:hRule="atLeast"/>
          <w:jc w:val="center"/>
        </w:trPr>
        <w:tc>
          <w:tcPr>
            <w:tcW w:w="2637" w:type="dxa"/>
            <w:vAlign w:val="center"/>
          </w:tcPr>
          <w:p w14:paraId="6EA31CF2">
            <w:pPr>
              <w:adjustRightInd w:val="0"/>
              <w:snapToGrid w:val="0"/>
              <w:spacing w:line="370" w:lineRule="exact"/>
              <w:ind w:firstLine="422" w:firstLineChars="200"/>
              <w:jc w:val="distribute"/>
              <w:rPr>
                <w:rFonts w:ascii="Times New Roman" w:hAnsi="Times New Roman" w:eastAsia="方正书宋简体" w:cs="Times New Roman"/>
                <w:color w:val="000000" w:themeColor="text1"/>
                <w:kern w:val="0"/>
                <w:highlight w:val="none"/>
                <w14:textFill>
                  <w14:solidFill>
                    <w14:schemeClr w14:val="tx1"/>
                  </w14:solidFill>
                </w14:textFill>
              </w:rPr>
            </w:pPr>
            <w:r>
              <w:rPr>
                <w:rFonts w:ascii="Times New Roman" w:hAnsi="Times New Roman" w:eastAsia="方正书宋简体" w:cs="Times New Roman"/>
                <w:color w:val="000000" w:themeColor="text1"/>
                <w:kern w:val="0"/>
                <w:highlight w:val="none"/>
                <w14:textFill>
                  <w14:solidFill>
                    <w14:schemeClr w14:val="tx1"/>
                  </w14:solidFill>
                </w14:textFill>
              </w:rPr>
              <w:t>本标准主编单位：</w:t>
            </w:r>
          </w:p>
        </w:tc>
        <w:tc>
          <w:tcPr>
            <w:tcW w:w="3486" w:type="dxa"/>
            <w:vAlign w:val="center"/>
          </w:tcPr>
          <w:p w14:paraId="029A5CF0">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山西省安装集团股份有限公司</w:t>
            </w:r>
          </w:p>
        </w:tc>
      </w:tr>
      <w:tr w14:paraId="2C303319">
        <w:tblPrEx>
          <w:tblCellMar>
            <w:top w:w="0" w:type="dxa"/>
            <w:left w:w="28" w:type="dxa"/>
            <w:bottom w:w="0" w:type="dxa"/>
            <w:right w:w="28" w:type="dxa"/>
          </w:tblCellMar>
        </w:tblPrEx>
        <w:trPr>
          <w:trHeight w:val="340" w:hRule="atLeast"/>
          <w:jc w:val="center"/>
        </w:trPr>
        <w:tc>
          <w:tcPr>
            <w:tcW w:w="2637" w:type="dxa"/>
            <w:vAlign w:val="center"/>
          </w:tcPr>
          <w:p w14:paraId="5BD7B64A">
            <w:pPr>
              <w:adjustRightInd w:val="0"/>
              <w:snapToGrid w:val="0"/>
              <w:spacing w:line="370" w:lineRule="exact"/>
              <w:ind w:firstLine="422" w:firstLineChars="200"/>
              <w:jc w:val="distribute"/>
              <w:rPr>
                <w:rFonts w:ascii="Times New Roman" w:hAnsi="Times New Roman" w:eastAsia="方正书宋简体" w:cs="Times New Roman"/>
                <w:color w:val="000000" w:themeColor="text1"/>
                <w:kern w:val="0"/>
                <w:highlight w:val="none"/>
                <w14:textFill>
                  <w14:solidFill>
                    <w14:schemeClr w14:val="tx1"/>
                  </w14:solidFill>
                </w14:textFill>
              </w:rPr>
            </w:pPr>
          </w:p>
        </w:tc>
        <w:tc>
          <w:tcPr>
            <w:tcW w:w="3486" w:type="dxa"/>
            <w:vAlign w:val="center"/>
          </w:tcPr>
          <w:p w14:paraId="7D79293E">
            <w:pPr>
              <w:adjustRightInd w:val="0"/>
              <w:snapToGrid w:val="0"/>
              <w:spacing w:line="370"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中冶赛迪工程技术股份有限公司</w:t>
            </w:r>
          </w:p>
        </w:tc>
      </w:tr>
      <w:tr w14:paraId="7B1F935B">
        <w:tblPrEx>
          <w:tblCellMar>
            <w:top w:w="0" w:type="dxa"/>
            <w:left w:w="28" w:type="dxa"/>
            <w:bottom w:w="0" w:type="dxa"/>
            <w:right w:w="28" w:type="dxa"/>
          </w:tblCellMar>
        </w:tblPrEx>
        <w:trPr>
          <w:trHeight w:val="340" w:hRule="atLeast"/>
          <w:jc w:val="center"/>
        </w:trPr>
        <w:tc>
          <w:tcPr>
            <w:tcW w:w="2637" w:type="dxa"/>
            <w:vAlign w:val="center"/>
          </w:tcPr>
          <w:p w14:paraId="50251E6C">
            <w:pPr>
              <w:adjustRightInd w:val="0"/>
              <w:snapToGrid w:val="0"/>
              <w:spacing w:line="370" w:lineRule="exact"/>
              <w:ind w:firstLine="422" w:firstLineChars="200"/>
              <w:jc w:val="distribute"/>
              <w:rPr>
                <w:rFonts w:ascii="Times New Roman" w:hAnsi="Times New Roman" w:eastAsia="方正书宋简体" w:cs="Times New Roman"/>
                <w:color w:val="000000" w:themeColor="text1"/>
                <w:kern w:val="0"/>
                <w:highlight w:val="none"/>
                <w14:textFill>
                  <w14:solidFill>
                    <w14:schemeClr w14:val="tx1"/>
                  </w14:solidFill>
                </w14:textFill>
              </w:rPr>
            </w:pPr>
            <w:r>
              <w:rPr>
                <w:rFonts w:ascii="Times New Roman" w:hAnsi="Times New Roman" w:eastAsia="方正书宋简体" w:cs="Times New Roman"/>
                <w:color w:val="000000" w:themeColor="text1"/>
                <w:kern w:val="0"/>
                <w:highlight w:val="none"/>
                <w14:textFill>
                  <w14:solidFill>
                    <w14:schemeClr w14:val="tx1"/>
                  </w14:solidFill>
                </w14:textFill>
              </w:rPr>
              <w:t>本标准参编单位：</w:t>
            </w:r>
          </w:p>
        </w:tc>
        <w:tc>
          <w:tcPr>
            <w:tcW w:w="3486" w:type="dxa"/>
            <w:vAlign w:val="center"/>
          </w:tcPr>
          <w:p w14:paraId="3B0CF4FE">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4996985C">
        <w:tblPrEx>
          <w:tblCellMar>
            <w:top w:w="0" w:type="dxa"/>
            <w:left w:w="28" w:type="dxa"/>
            <w:bottom w:w="0" w:type="dxa"/>
            <w:right w:w="28" w:type="dxa"/>
          </w:tblCellMar>
        </w:tblPrEx>
        <w:trPr>
          <w:trHeight w:val="340" w:hRule="atLeast"/>
          <w:jc w:val="center"/>
        </w:trPr>
        <w:tc>
          <w:tcPr>
            <w:tcW w:w="2637" w:type="dxa"/>
            <w:vAlign w:val="center"/>
          </w:tcPr>
          <w:p w14:paraId="0564F728">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p>
        </w:tc>
        <w:tc>
          <w:tcPr>
            <w:tcW w:w="3486" w:type="dxa"/>
            <w:vAlign w:val="center"/>
          </w:tcPr>
          <w:p w14:paraId="0D6A7EFE">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6E1D03E3">
        <w:tblPrEx>
          <w:tblCellMar>
            <w:top w:w="0" w:type="dxa"/>
            <w:left w:w="28" w:type="dxa"/>
            <w:bottom w:w="0" w:type="dxa"/>
            <w:right w:w="28" w:type="dxa"/>
          </w:tblCellMar>
        </w:tblPrEx>
        <w:trPr>
          <w:trHeight w:val="340" w:hRule="atLeast"/>
          <w:jc w:val="center"/>
        </w:trPr>
        <w:tc>
          <w:tcPr>
            <w:tcW w:w="2637" w:type="dxa"/>
            <w:vAlign w:val="center"/>
          </w:tcPr>
          <w:p w14:paraId="315FE334">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p>
        </w:tc>
        <w:tc>
          <w:tcPr>
            <w:tcW w:w="3486" w:type="dxa"/>
            <w:vAlign w:val="center"/>
          </w:tcPr>
          <w:p w14:paraId="469C1D4E">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2C56AE21">
        <w:tblPrEx>
          <w:tblCellMar>
            <w:top w:w="0" w:type="dxa"/>
            <w:left w:w="28" w:type="dxa"/>
            <w:bottom w:w="0" w:type="dxa"/>
            <w:right w:w="28" w:type="dxa"/>
          </w:tblCellMar>
        </w:tblPrEx>
        <w:trPr>
          <w:trHeight w:val="340" w:hRule="atLeast"/>
          <w:jc w:val="center"/>
        </w:trPr>
        <w:tc>
          <w:tcPr>
            <w:tcW w:w="2637" w:type="dxa"/>
          </w:tcPr>
          <w:p w14:paraId="65993FC4">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r>
              <w:rPr>
                <w:rFonts w:ascii="Times New Roman" w:hAnsi="Times New Roman" w:eastAsia="方正书宋简体" w:cs="Times New Roman"/>
                <w:color w:val="000000" w:themeColor="text1"/>
                <w:kern w:val="0"/>
                <w:highlight w:val="none"/>
                <w14:textFill>
                  <w14:solidFill>
                    <w14:schemeClr w14:val="tx1"/>
                  </w14:solidFill>
                </w14:textFill>
              </w:rPr>
              <w:t>本标准主要起草人员：</w:t>
            </w:r>
          </w:p>
        </w:tc>
        <w:tc>
          <w:tcPr>
            <w:tcW w:w="3486" w:type="dxa"/>
            <w:vAlign w:val="center"/>
          </w:tcPr>
          <w:p w14:paraId="43303B10">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65E9F1D8">
        <w:tblPrEx>
          <w:tblCellMar>
            <w:top w:w="0" w:type="dxa"/>
            <w:left w:w="28" w:type="dxa"/>
            <w:bottom w:w="0" w:type="dxa"/>
            <w:right w:w="28" w:type="dxa"/>
          </w:tblCellMar>
        </w:tblPrEx>
        <w:trPr>
          <w:trHeight w:val="340" w:hRule="atLeast"/>
          <w:jc w:val="center"/>
        </w:trPr>
        <w:tc>
          <w:tcPr>
            <w:tcW w:w="2637" w:type="dxa"/>
          </w:tcPr>
          <w:p w14:paraId="1A9FB67A">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p>
        </w:tc>
        <w:tc>
          <w:tcPr>
            <w:tcW w:w="3486" w:type="dxa"/>
            <w:vAlign w:val="center"/>
          </w:tcPr>
          <w:p w14:paraId="1D4ACBA9">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6649DBE5">
        <w:tblPrEx>
          <w:tblCellMar>
            <w:top w:w="0" w:type="dxa"/>
            <w:left w:w="28" w:type="dxa"/>
            <w:bottom w:w="0" w:type="dxa"/>
            <w:right w:w="28" w:type="dxa"/>
          </w:tblCellMar>
        </w:tblPrEx>
        <w:trPr>
          <w:trHeight w:val="340" w:hRule="atLeast"/>
          <w:jc w:val="center"/>
        </w:trPr>
        <w:tc>
          <w:tcPr>
            <w:tcW w:w="2637" w:type="dxa"/>
          </w:tcPr>
          <w:p w14:paraId="19227384">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p>
        </w:tc>
        <w:tc>
          <w:tcPr>
            <w:tcW w:w="3486" w:type="dxa"/>
            <w:vAlign w:val="center"/>
          </w:tcPr>
          <w:p w14:paraId="2B131EF7">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r w14:paraId="1CDFEB72">
        <w:tblPrEx>
          <w:tblCellMar>
            <w:top w:w="0" w:type="dxa"/>
            <w:left w:w="28" w:type="dxa"/>
            <w:bottom w:w="0" w:type="dxa"/>
            <w:right w:w="28" w:type="dxa"/>
          </w:tblCellMar>
        </w:tblPrEx>
        <w:trPr>
          <w:trHeight w:val="340" w:hRule="atLeast"/>
          <w:jc w:val="center"/>
        </w:trPr>
        <w:tc>
          <w:tcPr>
            <w:tcW w:w="2637" w:type="dxa"/>
          </w:tcPr>
          <w:p w14:paraId="1462EF40">
            <w:pPr>
              <w:adjustRightInd w:val="0"/>
              <w:snapToGrid w:val="0"/>
              <w:spacing w:line="370" w:lineRule="exact"/>
              <w:ind w:firstLine="422" w:firstLineChars="200"/>
              <w:rPr>
                <w:rFonts w:ascii="Times New Roman" w:hAnsi="Times New Roman" w:eastAsia="方正书宋简体" w:cs="Times New Roman"/>
                <w:color w:val="000000" w:themeColor="text1"/>
                <w:kern w:val="0"/>
                <w:highlight w:val="none"/>
                <w14:textFill>
                  <w14:solidFill>
                    <w14:schemeClr w14:val="tx1"/>
                  </w14:solidFill>
                </w14:textFill>
              </w:rPr>
            </w:pPr>
            <w:r>
              <w:rPr>
                <w:rFonts w:ascii="Times New Roman" w:hAnsi="Times New Roman" w:eastAsia="方正书宋简体" w:cs="Times New Roman"/>
                <w:color w:val="000000" w:themeColor="text1"/>
                <w:kern w:val="0"/>
                <w:highlight w:val="none"/>
                <w14:textFill>
                  <w14:solidFill>
                    <w14:schemeClr w14:val="tx1"/>
                  </w14:solidFill>
                </w14:textFill>
              </w:rPr>
              <w:t>本标准主要审查人员：</w:t>
            </w:r>
          </w:p>
        </w:tc>
        <w:tc>
          <w:tcPr>
            <w:tcW w:w="3486" w:type="dxa"/>
            <w:vAlign w:val="center"/>
          </w:tcPr>
          <w:p w14:paraId="328113C3">
            <w:pPr>
              <w:adjustRightInd w:val="0"/>
              <w:snapToGrid w:val="0"/>
              <w:spacing w:line="370" w:lineRule="exact"/>
              <w:rPr>
                <w:rFonts w:ascii="Times New Roman" w:hAnsi="Times New Roman" w:eastAsia="方正书宋简体" w:cs="Times New Roman"/>
                <w:color w:val="000000" w:themeColor="text1"/>
                <w:kern w:val="0"/>
                <w:highlight w:val="none"/>
                <w14:textFill>
                  <w14:solidFill>
                    <w14:schemeClr w14:val="tx1"/>
                  </w14:solidFill>
                </w14:textFill>
              </w:rPr>
            </w:pPr>
          </w:p>
        </w:tc>
      </w:tr>
    </w:tbl>
    <w:p w14:paraId="55583274">
      <w:pPr>
        <w:pStyle w:val="59"/>
        <w:rPr>
          <w:color w:val="000000" w:themeColor="text1"/>
          <w:highlight w:val="none"/>
          <w14:textFill>
            <w14:solidFill>
              <w14:schemeClr w14:val="tx1"/>
            </w14:solidFill>
          </w14:textFill>
        </w:rPr>
      </w:pPr>
    </w:p>
    <w:p w14:paraId="33947544">
      <w:pP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42044FA5">
      <w:pPr>
        <w:adjustRightInd w:val="0"/>
        <w:snapToGrid w:val="0"/>
        <w:spacing w:before="312" w:beforeLines="100" w:after="312" w:afterLines="100"/>
        <w:jc w:val="center"/>
        <w:rPr>
          <w:rFonts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目　次</w:t>
      </w:r>
    </w:p>
    <w:p w14:paraId="3A703ADE">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总则</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p>
    <w:p w14:paraId="7E8F2CE3">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术语</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p>
    <w:p w14:paraId="55BA034A">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基本规定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5C1D0D6A">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系统规划</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61988C0C">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3441A1D2">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4.2</w:t>
      </w:r>
      <w:r>
        <w:rPr>
          <w:rFonts w:ascii="Times New Roman" w:hAnsi="Times New Roman" w:eastAsia="方正书宋简体" w:cs="Times New Roman"/>
          <w:color w:val="000000" w:themeColor="text1"/>
          <w:highlight w:val="none"/>
          <w14:textFill>
            <w14:solidFill>
              <w14:schemeClr w14:val="tx1"/>
            </w14:solidFill>
          </w14:textFill>
        </w:rPr>
        <w:t xml:space="preserve">  管廊系统布局</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54E9B99F">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4.3</w:t>
      </w:r>
      <w:r>
        <w:rPr>
          <w:rFonts w:ascii="Times New Roman" w:hAnsi="Times New Roman" w:eastAsia="方正书宋简体" w:cs="Times New Roman"/>
          <w:color w:val="000000" w:themeColor="text1"/>
          <w:highlight w:val="none"/>
          <w14:textFill>
            <w14:solidFill>
              <w14:schemeClr w14:val="tx1"/>
            </w14:solidFill>
          </w14:textFill>
        </w:rPr>
        <w:t xml:space="preserve">  入廊管线</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8</w:t>
      </w:r>
    </w:p>
    <w:p w14:paraId="2582FBC7">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4.4</w:t>
      </w:r>
      <w:r>
        <w:rPr>
          <w:rFonts w:ascii="Times New Roman" w:hAnsi="Times New Roman" w:eastAsia="方正书宋简体" w:cs="Times New Roman"/>
          <w:color w:val="000000" w:themeColor="text1"/>
          <w:highlight w:val="none"/>
          <w14:textFill>
            <w14:solidFill>
              <w14:schemeClr w14:val="tx1"/>
            </w14:solidFill>
          </w14:textFill>
        </w:rPr>
        <w:t xml:space="preserve">  平面位置</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w:t>
      </w:r>
    </w:p>
    <w:p w14:paraId="2D01D42A">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4.5</w:t>
      </w:r>
      <w:r>
        <w:rPr>
          <w:rFonts w:ascii="Times New Roman" w:hAnsi="Times New Roman" w:eastAsia="方正书宋简体" w:cs="Times New Roman"/>
          <w:color w:val="000000" w:themeColor="text1"/>
          <w:highlight w:val="none"/>
          <w14:textFill>
            <w14:solidFill>
              <w14:schemeClr w14:val="tx1"/>
            </w14:solidFill>
          </w14:textFill>
        </w:rPr>
        <w:t xml:space="preserve">  竖向条件</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w:t>
      </w:r>
    </w:p>
    <w:p w14:paraId="3A35250D">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 </w:t>
      </w:r>
      <w:r>
        <w:rPr>
          <w:rFonts w:ascii="Times New Roman" w:hAnsi="Times New Roman" w:eastAsia="方正书宋简体" w:cs="Times New Roman"/>
          <w:color w:val="000000" w:themeColor="text1"/>
          <w:highlight w:val="none"/>
          <w14:textFill>
            <w14:solidFill>
              <w14:schemeClr w14:val="tx1"/>
            </w14:solidFill>
          </w14:textFill>
        </w:rPr>
        <w:t xml:space="preserve"> 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23DB3CBD">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2CB5F069">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5.2</w:t>
      </w:r>
      <w:r>
        <w:rPr>
          <w:rFonts w:ascii="Times New Roman" w:hAnsi="Times New Roman" w:eastAsia="方正书宋简体" w:cs="Times New Roman"/>
          <w:color w:val="000000" w:themeColor="text1"/>
          <w:highlight w:val="none"/>
          <w14:textFill>
            <w14:solidFill>
              <w14:schemeClr w14:val="tx1"/>
            </w14:solidFill>
          </w14:textFill>
        </w:rPr>
        <w:t xml:space="preserve">  可行性研究勘察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5AD4A623">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5.3</w:t>
      </w:r>
      <w:r>
        <w:rPr>
          <w:rFonts w:ascii="Times New Roman" w:hAnsi="Times New Roman" w:eastAsia="方正书宋简体" w:cs="Times New Roman"/>
          <w:color w:val="000000" w:themeColor="text1"/>
          <w:highlight w:val="none"/>
          <w14:textFill>
            <w14:solidFill>
              <w14:schemeClr w14:val="tx1"/>
            </w14:solidFill>
          </w14:textFill>
        </w:rPr>
        <w:t xml:space="preserve">  初步勘察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2AF67D2F">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5.4</w:t>
      </w:r>
      <w:r>
        <w:rPr>
          <w:rFonts w:ascii="Times New Roman" w:hAnsi="Times New Roman" w:eastAsia="方正书宋简体" w:cs="Times New Roman"/>
          <w:color w:val="000000" w:themeColor="text1"/>
          <w:highlight w:val="none"/>
          <w14:textFill>
            <w14:solidFill>
              <w14:schemeClr w14:val="tx1"/>
            </w14:solidFill>
          </w14:textFill>
        </w:rPr>
        <w:t xml:space="preserve">  详细勘察</w:t>
      </w:r>
      <w:r>
        <w:rPr>
          <w:rFonts w:ascii="Times New Roman" w:hAnsi="Times New Roman" w:eastAsia="方正书宋简体" w:cs="Times New Roman"/>
          <w:color w:val="000000" w:themeColor="text1"/>
          <w:highlight w:val="none"/>
          <w14:textFill>
            <w14:solidFill>
              <w14:schemeClr w14:val="tx1"/>
            </w14:solidFill>
          </w14:textFill>
        </w:rPr>
        <w:tab/>
      </w:r>
      <w:bookmarkStart w:id="248" w:name="_GoBack"/>
      <w:bookmarkEnd w:id="248"/>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54F34765">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5.5</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 xml:space="preserve">  施工勘察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4D2D403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 </w:t>
      </w:r>
      <w:r>
        <w:rPr>
          <w:rFonts w:ascii="Times New Roman" w:hAnsi="Times New Roman" w:eastAsia="方正书宋简体" w:cs="Times New Roman"/>
          <w:color w:val="000000" w:themeColor="text1"/>
          <w:highlight w:val="none"/>
          <w14:textFill>
            <w14:solidFill>
              <w14:schemeClr w14:val="tx1"/>
            </w14:solidFill>
          </w14:textFill>
        </w:rPr>
        <w:t xml:space="preserve"> 总体设计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w:t>
      </w:r>
    </w:p>
    <w:p w14:paraId="5C04D358">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w:t>
      </w:r>
    </w:p>
    <w:p w14:paraId="402CC99C">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6.2</w:t>
      </w:r>
      <w:r>
        <w:rPr>
          <w:rFonts w:ascii="Times New Roman" w:hAnsi="Times New Roman" w:eastAsia="方正书宋简体" w:cs="Times New Roman"/>
          <w:color w:val="000000" w:themeColor="text1"/>
          <w:highlight w:val="none"/>
          <w14:textFill>
            <w14:solidFill>
              <w14:schemeClr w14:val="tx1"/>
            </w14:solidFill>
          </w14:textFill>
        </w:rPr>
        <w:t xml:space="preserve">  空间设计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17</w:t>
      </w:r>
    </w:p>
    <w:p w14:paraId="113F3C11">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6.3</w:t>
      </w:r>
      <w:r>
        <w:rPr>
          <w:rFonts w:ascii="Times New Roman" w:hAnsi="Times New Roman" w:eastAsia="方正书宋简体" w:cs="Times New Roman"/>
          <w:color w:val="000000" w:themeColor="text1"/>
          <w:highlight w:val="none"/>
          <w14:textFill>
            <w14:solidFill>
              <w14:schemeClr w14:val="tx1"/>
            </w14:solidFill>
          </w14:textFill>
        </w:rPr>
        <w:t xml:space="preserve">  横断面设计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18</w:t>
      </w:r>
    </w:p>
    <w:p w14:paraId="41F01C36">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6.4</w:t>
      </w:r>
      <w:r>
        <w:rPr>
          <w:rFonts w:ascii="Times New Roman" w:hAnsi="Times New Roman" w:eastAsia="方正书宋简体" w:cs="Times New Roman"/>
          <w:color w:val="000000" w:themeColor="text1"/>
          <w:highlight w:val="none"/>
          <w14:textFill>
            <w14:solidFill>
              <w14:schemeClr w14:val="tx1"/>
            </w14:solidFill>
          </w14:textFill>
        </w:rPr>
        <w:t xml:space="preserve">  纵断面设计</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21</w:t>
      </w:r>
    </w:p>
    <w:p w14:paraId="33771AC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6.5</w:t>
      </w:r>
      <w:r>
        <w:rPr>
          <w:rFonts w:ascii="Times New Roman" w:hAnsi="Times New Roman" w:eastAsia="方正书宋简体" w:cs="Times New Roman"/>
          <w:color w:val="000000" w:themeColor="text1"/>
          <w:highlight w:val="none"/>
          <w14:textFill>
            <w14:solidFill>
              <w14:schemeClr w14:val="tx1"/>
            </w14:solidFill>
          </w14:textFill>
        </w:rPr>
        <w:t xml:space="preserve">  分支预留</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21</w:t>
      </w:r>
    </w:p>
    <w:p w14:paraId="7B4A67D4">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6.6</w:t>
      </w:r>
      <w:r>
        <w:rPr>
          <w:rFonts w:ascii="Times New Roman" w:hAnsi="Times New Roman" w:eastAsia="方正书宋简体" w:cs="Times New Roman"/>
          <w:color w:val="000000" w:themeColor="text1"/>
          <w:highlight w:val="none"/>
          <w14:textFill>
            <w14:solidFill>
              <w14:schemeClr w14:val="tx1"/>
            </w14:solidFill>
          </w14:textFill>
        </w:rPr>
        <w:t xml:space="preserve">  节点设计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49AB2ADC">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结构设计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43EA5A62">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0469FD09">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w:t>
      </w:r>
      <w:r>
        <w:rPr>
          <w:rFonts w:ascii="Times New Roman" w:hAnsi="Times New Roman" w:eastAsia="方正书宋简体" w:cs="Times New Roman"/>
          <w:color w:val="000000" w:themeColor="text1"/>
          <w:highlight w:val="none"/>
          <w14:textFill>
            <w14:solidFill>
              <w14:schemeClr w14:val="tx1"/>
            </w14:solidFill>
          </w14:textFill>
        </w:rPr>
        <w:t xml:space="preserve">  材料</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25</w:t>
      </w:r>
    </w:p>
    <w:p w14:paraId="7AF6CA35">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7.3</w:t>
      </w:r>
      <w:r>
        <w:rPr>
          <w:rFonts w:ascii="Times New Roman" w:hAnsi="Times New Roman" w:eastAsia="方正书宋简体" w:cs="Times New Roman"/>
          <w:color w:val="000000" w:themeColor="text1"/>
          <w:highlight w:val="none"/>
          <w14:textFill>
            <w14:solidFill>
              <w14:schemeClr w14:val="tx1"/>
            </w14:solidFill>
          </w14:textFill>
        </w:rPr>
        <w:t xml:space="preserve">  结构上的作用</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27</w:t>
      </w:r>
    </w:p>
    <w:p w14:paraId="27B3CA68">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7.4</w:t>
      </w:r>
      <w:r>
        <w:rPr>
          <w:rFonts w:ascii="Times New Roman" w:hAnsi="Times New Roman" w:eastAsia="方正书宋简体" w:cs="Times New Roman"/>
          <w:color w:val="000000" w:themeColor="text1"/>
          <w:highlight w:val="none"/>
          <w14:textFill>
            <w14:solidFill>
              <w14:schemeClr w14:val="tx1"/>
            </w14:solidFill>
          </w14:textFill>
        </w:rPr>
        <w:t xml:space="preserve">  现浇混凝土综合管廊结构</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28</w:t>
      </w:r>
    </w:p>
    <w:p w14:paraId="7DE66C56">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w:t>
      </w:r>
      <w:r>
        <w:rPr>
          <w:rFonts w:ascii="Times New Roman" w:hAnsi="Times New Roman" w:eastAsia="方正书宋简体" w:cs="Times New Roman"/>
          <w:color w:val="000000" w:themeColor="text1"/>
          <w:highlight w:val="none"/>
          <w14:textFill>
            <w14:solidFill>
              <w14:schemeClr w14:val="tx1"/>
            </w14:solidFill>
          </w14:textFill>
        </w:rPr>
        <w:t xml:space="preserve">  预制拼装综合管廊结构</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29</w:t>
      </w:r>
    </w:p>
    <w:p w14:paraId="3B308F40">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7.6</w:t>
      </w:r>
      <w:r>
        <w:rPr>
          <w:rFonts w:ascii="Times New Roman" w:hAnsi="Times New Roman" w:eastAsia="方正书宋简体" w:cs="Times New Roman"/>
          <w:color w:val="000000" w:themeColor="text1"/>
          <w:highlight w:val="none"/>
          <w14:textFill>
            <w14:solidFill>
              <w14:schemeClr w14:val="tx1"/>
            </w14:solidFill>
          </w14:textFill>
        </w:rPr>
        <w:t xml:space="preserve">  构造要求</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3</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0CFCA5C8">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7.7 </w:t>
      </w:r>
      <w:r>
        <w:rPr>
          <w:rFonts w:ascii="Times New Roman" w:hAnsi="Times New Roman" w:eastAsia="方正书宋简体" w:cs="Times New Roman"/>
          <w:color w:val="000000" w:themeColor="text1"/>
          <w:highlight w:val="none"/>
          <w14:textFill>
            <w14:solidFill>
              <w14:schemeClr w14:val="tx1"/>
            </w14:solidFill>
          </w14:textFill>
        </w:rPr>
        <w:t xml:space="preserve"> 地基处理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3</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4422B097">
      <w:pPr>
        <w:tabs>
          <w:tab w:val="right" w:leader="middleDot" w:pos="6096"/>
        </w:tabs>
        <w:overflowPunct w:val="0"/>
        <w:spacing w:line="348" w:lineRule="exact"/>
        <w:ind w:firstLine="316" w:firstLineChars="150"/>
        <w:rPr>
          <w:rFonts w:hint="eastAsia" w:ascii="Times New Roman" w:hAnsi="Times New Roman" w:eastAsia="方正书宋简体" w:cs="Times New Roman"/>
          <w:b/>
          <w:bCs/>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w:t>
      </w:r>
      <w:r>
        <w:rPr>
          <w:rFonts w:ascii="Times New Roman" w:hAnsi="Times New Roman" w:eastAsia="方正书宋简体" w:cs="Times New Roman"/>
          <w:color w:val="000000" w:themeColor="text1"/>
          <w:highlight w:val="none"/>
          <w14:textFill>
            <w14:solidFill>
              <w14:schemeClr w14:val="tx1"/>
            </w14:solidFill>
          </w14:textFill>
        </w:rPr>
        <w:t xml:space="preserve">  基坑设计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3</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707E2AAC">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 </w:t>
      </w:r>
      <w:r>
        <w:rPr>
          <w:rFonts w:ascii="Times New Roman" w:hAnsi="Times New Roman" w:eastAsia="方正书宋简体" w:cs="Times New Roman"/>
          <w:color w:val="000000" w:themeColor="text1"/>
          <w:highlight w:val="none"/>
          <w14:textFill>
            <w14:solidFill>
              <w14:schemeClr w14:val="tx1"/>
            </w14:solidFill>
          </w14:textFill>
        </w:rPr>
        <w:t xml:space="preserve"> 附属设施设计</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36</w:t>
      </w:r>
    </w:p>
    <w:p w14:paraId="3337EFA9">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8.1 </w:t>
      </w:r>
      <w:r>
        <w:rPr>
          <w:rFonts w:ascii="Times New Roman" w:hAnsi="Times New Roman" w:eastAsia="方正书宋简体" w:cs="Times New Roman"/>
          <w:color w:val="000000" w:themeColor="text1"/>
          <w:highlight w:val="none"/>
          <w14:textFill>
            <w14:solidFill>
              <w14:schemeClr w14:val="tx1"/>
            </w14:solidFill>
          </w14:textFill>
        </w:rPr>
        <w:t xml:space="preserve"> 消防系统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36</w:t>
      </w:r>
    </w:p>
    <w:p w14:paraId="03F204E2">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8.2</w:t>
      </w:r>
      <w:r>
        <w:rPr>
          <w:rFonts w:ascii="Times New Roman" w:hAnsi="Times New Roman" w:eastAsia="方正书宋简体" w:cs="Times New Roman"/>
          <w:color w:val="000000" w:themeColor="text1"/>
          <w:highlight w:val="none"/>
          <w14:textFill>
            <w14:solidFill>
              <w14:schemeClr w14:val="tx1"/>
            </w14:solidFill>
          </w14:textFill>
        </w:rPr>
        <w:t xml:space="preserve">  通风系统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37</w:t>
      </w:r>
    </w:p>
    <w:p w14:paraId="76B2077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8.3 </w:t>
      </w:r>
      <w:r>
        <w:rPr>
          <w:rFonts w:ascii="Times New Roman" w:hAnsi="Times New Roman" w:eastAsia="方正书宋简体" w:cs="Times New Roman"/>
          <w:color w:val="000000" w:themeColor="text1"/>
          <w:highlight w:val="none"/>
          <w14:textFill>
            <w14:solidFill>
              <w14:schemeClr w14:val="tx1"/>
            </w14:solidFill>
          </w14:textFill>
        </w:rPr>
        <w:t xml:space="preserve"> 供电系统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38</w:t>
      </w:r>
    </w:p>
    <w:p w14:paraId="26D4AD35">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8.4 </w:t>
      </w:r>
      <w:r>
        <w:rPr>
          <w:rFonts w:ascii="Times New Roman" w:hAnsi="Times New Roman" w:eastAsia="方正书宋简体" w:cs="Times New Roman"/>
          <w:color w:val="000000" w:themeColor="text1"/>
          <w:highlight w:val="none"/>
          <w14:textFill>
            <w14:solidFill>
              <w14:schemeClr w14:val="tx1"/>
            </w14:solidFill>
          </w14:textFill>
        </w:rPr>
        <w:t xml:space="preserve"> 照明系统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4</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4805896B">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8.5 </w:t>
      </w:r>
      <w:r>
        <w:rPr>
          <w:rFonts w:ascii="Times New Roman" w:hAnsi="Times New Roman" w:eastAsia="方正书宋简体" w:cs="Times New Roman"/>
          <w:color w:val="000000" w:themeColor="text1"/>
          <w:highlight w:val="none"/>
          <w14:textFill>
            <w14:solidFill>
              <w14:schemeClr w14:val="tx1"/>
            </w14:solidFill>
          </w14:textFill>
        </w:rPr>
        <w:t xml:space="preserve"> 监控与报警系统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42</w:t>
      </w:r>
    </w:p>
    <w:p w14:paraId="1775AC6F">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8.6</w:t>
      </w:r>
      <w:r>
        <w:rPr>
          <w:rFonts w:ascii="Times New Roman" w:hAnsi="Times New Roman" w:eastAsia="方正书宋简体" w:cs="Times New Roman"/>
          <w:color w:val="000000" w:themeColor="text1"/>
          <w:highlight w:val="none"/>
          <w14:textFill>
            <w14:solidFill>
              <w14:schemeClr w14:val="tx1"/>
            </w14:solidFill>
          </w14:textFill>
        </w:rPr>
        <w:t xml:space="preserve">  排水系统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47</w:t>
      </w:r>
    </w:p>
    <w:p w14:paraId="1864DAA5">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8.7 </w:t>
      </w:r>
      <w:r>
        <w:rPr>
          <w:rFonts w:ascii="Times New Roman" w:hAnsi="Times New Roman" w:eastAsia="方正书宋简体" w:cs="Times New Roman"/>
          <w:color w:val="000000" w:themeColor="text1"/>
          <w:highlight w:val="none"/>
          <w14:textFill>
            <w14:solidFill>
              <w14:schemeClr w14:val="tx1"/>
            </w14:solidFill>
          </w14:textFill>
        </w:rPr>
        <w:t xml:space="preserve"> 标识系统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48</w:t>
      </w:r>
    </w:p>
    <w:p w14:paraId="7024A7E2">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8.8</w:t>
      </w:r>
      <w:r>
        <w:rPr>
          <w:rFonts w:ascii="Times New Roman" w:hAnsi="Times New Roman" w:eastAsia="方正书宋简体" w:cs="Times New Roman"/>
          <w:color w:val="000000" w:themeColor="text1"/>
          <w:highlight w:val="none"/>
          <w14:textFill>
            <w14:solidFill>
              <w14:schemeClr w14:val="tx1"/>
            </w14:solidFill>
          </w14:textFill>
        </w:rPr>
        <w:t xml:space="preserve">  监控中心</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49</w:t>
      </w:r>
    </w:p>
    <w:p w14:paraId="49496EEE">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  </w:t>
      </w:r>
      <w:r>
        <w:rPr>
          <w:rFonts w:ascii="Times New Roman" w:hAnsi="Times New Roman" w:eastAsia="方正书宋简体" w:cs="Times New Roman"/>
          <w:color w:val="000000" w:themeColor="text1"/>
          <w:highlight w:val="none"/>
          <w14:textFill>
            <w14:solidFill>
              <w14:schemeClr w14:val="tx1"/>
            </w14:solidFill>
          </w14:textFill>
        </w:rPr>
        <w:t>管线设计</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52</w:t>
      </w:r>
    </w:p>
    <w:p w14:paraId="2131749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9.1 </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52</w:t>
      </w:r>
    </w:p>
    <w:p w14:paraId="0153377A">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9.2</w:t>
      </w:r>
      <w:r>
        <w:rPr>
          <w:rFonts w:ascii="Times New Roman" w:hAnsi="Times New Roman" w:eastAsia="方正书宋简体" w:cs="Times New Roman"/>
          <w:color w:val="000000" w:themeColor="text1"/>
          <w:highlight w:val="none"/>
          <w14:textFill>
            <w14:solidFill>
              <w14:schemeClr w14:val="tx1"/>
            </w14:solidFill>
          </w14:textFill>
        </w:rPr>
        <w:t xml:space="preserve">  给水、再生水管道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53</w:t>
      </w:r>
    </w:p>
    <w:p w14:paraId="7083FCA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9.3 </w:t>
      </w:r>
      <w:r>
        <w:rPr>
          <w:rFonts w:ascii="Times New Roman" w:hAnsi="Times New Roman" w:eastAsia="方正书宋简体" w:cs="Times New Roman"/>
          <w:color w:val="000000" w:themeColor="text1"/>
          <w:highlight w:val="none"/>
          <w14:textFill>
            <w14:solidFill>
              <w14:schemeClr w14:val="tx1"/>
            </w14:solidFill>
          </w14:textFill>
        </w:rPr>
        <w:t xml:space="preserve"> 排水管渠</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54</w:t>
      </w:r>
    </w:p>
    <w:p w14:paraId="127FF7B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9.4</w:t>
      </w:r>
      <w:r>
        <w:rPr>
          <w:rFonts w:ascii="Times New Roman" w:hAnsi="Times New Roman" w:eastAsia="方正书宋简体" w:cs="Times New Roman"/>
          <w:color w:val="000000" w:themeColor="text1"/>
          <w:highlight w:val="none"/>
          <w14:textFill>
            <w14:solidFill>
              <w14:schemeClr w14:val="tx1"/>
            </w14:solidFill>
          </w14:textFill>
        </w:rPr>
        <w:t xml:space="preserve">  天然气管道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55</w:t>
      </w:r>
    </w:p>
    <w:p w14:paraId="524E3E0E">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9.5</w:t>
      </w:r>
      <w:r>
        <w:rPr>
          <w:rFonts w:ascii="Times New Roman" w:hAnsi="Times New Roman" w:eastAsia="方正书宋简体" w:cs="Times New Roman"/>
          <w:color w:val="000000" w:themeColor="text1"/>
          <w:highlight w:val="none"/>
          <w14:textFill>
            <w14:solidFill>
              <w14:schemeClr w14:val="tx1"/>
            </w14:solidFill>
          </w14:textFill>
        </w:rPr>
        <w:t xml:space="preserve">  热力管道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56</w:t>
      </w:r>
    </w:p>
    <w:p w14:paraId="1EAF897D">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9.6</w:t>
      </w:r>
      <w:r>
        <w:rPr>
          <w:rFonts w:ascii="Times New Roman" w:hAnsi="Times New Roman" w:eastAsia="方正书宋简体" w:cs="Times New Roman"/>
          <w:color w:val="000000" w:themeColor="text1"/>
          <w:highlight w:val="none"/>
          <w14:textFill>
            <w14:solidFill>
              <w14:schemeClr w14:val="tx1"/>
            </w14:solidFill>
          </w14:textFill>
        </w:rPr>
        <w:t xml:space="preserve">  电力电缆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57</w:t>
      </w:r>
    </w:p>
    <w:p w14:paraId="71FBC22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9.7</w:t>
      </w:r>
      <w:r>
        <w:rPr>
          <w:rFonts w:ascii="Times New Roman" w:hAnsi="Times New Roman" w:eastAsia="方正书宋简体" w:cs="Times New Roman"/>
          <w:color w:val="000000" w:themeColor="text1"/>
          <w:highlight w:val="none"/>
          <w14:textFill>
            <w14:solidFill>
              <w14:schemeClr w14:val="tx1"/>
            </w14:solidFill>
          </w14:textFill>
        </w:rPr>
        <w:t xml:space="preserve">  通信线缆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58</w:t>
      </w:r>
    </w:p>
    <w:p w14:paraId="4FFB67A6">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10 </w:t>
      </w:r>
      <w:r>
        <w:rPr>
          <w:rFonts w:ascii="Times New Roman" w:hAnsi="Times New Roman" w:eastAsia="方正书宋简体" w:cs="Times New Roman"/>
          <w:color w:val="000000" w:themeColor="text1"/>
          <w:highlight w:val="none"/>
          <w14:textFill>
            <w14:solidFill>
              <w14:schemeClr w14:val="tx1"/>
            </w14:solidFill>
          </w14:textFill>
        </w:rPr>
        <w:t xml:space="preserve"> 结构施工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59</w:t>
      </w:r>
    </w:p>
    <w:p w14:paraId="7AC41E3F">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59</w:t>
      </w:r>
    </w:p>
    <w:p w14:paraId="50C95A03">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10.2</w:t>
      </w:r>
      <w:r>
        <w:rPr>
          <w:rFonts w:ascii="Times New Roman" w:hAnsi="Times New Roman" w:eastAsia="方正书宋简体" w:cs="Times New Roman"/>
          <w:color w:val="000000" w:themeColor="text1"/>
          <w:highlight w:val="none"/>
          <w14:textFill>
            <w14:solidFill>
              <w14:schemeClr w14:val="tx1"/>
            </w14:solidFill>
          </w14:textFill>
        </w:rPr>
        <w:t xml:space="preserve">  施工测量</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0</w:t>
      </w:r>
    </w:p>
    <w:p w14:paraId="578EFA22">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10.3</w:t>
      </w:r>
      <w:r>
        <w:rPr>
          <w:rFonts w:ascii="Times New Roman" w:hAnsi="Times New Roman" w:eastAsia="方正书宋简体" w:cs="Times New Roman"/>
          <w:color w:val="000000" w:themeColor="text1"/>
          <w:highlight w:val="none"/>
          <w14:textFill>
            <w14:solidFill>
              <w14:schemeClr w14:val="tx1"/>
            </w14:solidFill>
          </w14:textFill>
        </w:rPr>
        <w:t xml:space="preserve">  地基、沟槽（基坑）</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61</w:t>
      </w:r>
    </w:p>
    <w:p w14:paraId="231ECA6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10.4</w:t>
      </w:r>
      <w:r>
        <w:rPr>
          <w:rFonts w:ascii="Times New Roman" w:hAnsi="Times New Roman" w:eastAsia="方正书宋简体" w:cs="Times New Roman"/>
          <w:color w:val="000000" w:themeColor="text1"/>
          <w:highlight w:val="none"/>
          <w14:textFill>
            <w14:solidFill>
              <w14:schemeClr w14:val="tx1"/>
            </w14:solidFill>
          </w14:textFill>
        </w:rPr>
        <w:t xml:space="preserve">  现浇结构</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63</w:t>
      </w:r>
    </w:p>
    <w:p w14:paraId="6F47F2B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10.5</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装配式结</w:t>
      </w:r>
      <w:r>
        <w:rPr>
          <w:rFonts w:ascii="Times New Roman" w:hAnsi="Times New Roman" w:eastAsia="方正书宋简体" w:cs="Times New Roman"/>
          <w:color w:val="000000" w:themeColor="text1"/>
          <w:highlight w:val="none"/>
          <w14:textFill>
            <w14:solidFill>
              <w14:schemeClr w14:val="tx1"/>
            </w14:solidFill>
          </w14:textFill>
        </w:rPr>
        <w:t>构</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65</w:t>
      </w:r>
    </w:p>
    <w:p w14:paraId="36381946">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10.6</w:t>
      </w:r>
      <w:r>
        <w:rPr>
          <w:rFonts w:ascii="Times New Roman" w:hAnsi="Times New Roman" w:eastAsia="方正书宋简体" w:cs="Times New Roman"/>
          <w:color w:val="000000" w:themeColor="text1"/>
          <w:highlight w:val="none"/>
          <w14:textFill>
            <w14:solidFill>
              <w14:schemeClr w14:val="tx1"/>
            </w14:solidFill>
          </w14:textFill>
        </w:rPr>
        <w:t xml:space="preserve">  预应力工程</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69</w:t>
      </w:r>
    </w:p>
    <w:p w14:paraId="5709512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顶推施工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70</w:t>
      </w:r>
    </w:p>
    <w:p w14:paraId="7A6B4DD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防水施工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72</w:t>
      </w:r>
    </w:p>
    <w:p w14:paraId="0196750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施工成品保护</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75</w:t>
      </w:r>
    </w:p>
    <w:p w14:paraId="0415008A">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0</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季节性</w:t>
      </w:r>
      <w:r>
        <w:rPr>
          <w:rFonts w:ascii="Times New Roman" w:hAnsi="Times New Roman" w:eastAsia="方正书宋简体" w:cs="Times New Roman"/>
          <w:color w:val="000000" w:themeColor="text1"/>
          <w:highlight w:val="none"/>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77</w:t>
      </w:r>
    </w:p>
    <w:p w14:paraId="34C263EF">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11 </w:t>
      </w:r>
      <w:r>
        <w:rPr>
          <w:rFonts w:ascii="Times New Roman" w:hAnsi="Times New Roman" w:eastAsia="方正书宋简体" w:cs="Times New Roman"/>
          <w:color w:val="000000" w:themeColor="text1"/>
          <w:highlight w:val="none"/>
          <w14:textFill>
            <w14:solidFill>
              <w14:schemeClr w14:val="tx1"/>
            </w14:solidFill>
          </w14:textFill>
        </w:rPr>
        <w:t xml:space="preserve"> 附属设施施工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208096D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00273D1E">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11.2</w:t>
      </w:r>
      <w:r>
        <w:rPr>
          <w:rFonts w:ascii="Times New Roman" w:hAnsi="Times New Roman" w:eastAsia="方正书宋简体" w:cs="Times New Roman"/>
          <w:color w:val="000000" w:themeColor="text1"/>
          <w:highlight w:val="none"/>
          <w14:textFill>
            <w14:solidFill>
              <w14:schemeClr w14:val="tx1"/>
            </w14:solidFill>
          </w14:textFill>
        </w:rPr>
        <w:t xml:space="preserve">  消防系统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7C60478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11.3</w:t>
      </w:r>
      <w:r>
        <w:rPr>
          <w:rFonts w:ascii="Times New Roman" w:hAnsi="Times New Roman" w:eastAsia="方正书宋简体" w:cs="Times New Roman"/>
          <w:color w:val="000000" w:themeColor="text1"/>
          <w:highlight w:val="none"/>
          <w14:textFill>
            <w14:solidFill>
              <w14:schemeClr w14:val="tx1"/>
            </w14:solidFill>
          </w14:textFill>
        </w:rPr>
        <w:t xml:space="preserve">  通风系统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80</w:t>
      </w:r>
    </w:p>
    <w:p w14:paraId="14A5F5C2">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11.4</w:t>
      </w:r>
      <w:r>
        <w:rPr>
          <w:rFonts w:ascii="Times New Roman" w:hAnsi="Times New Roman" w:eastAsia="方正书宋简体" w:cs="Times New Roman"/>
          <w:color w:val="000000" w:themeColor="text1"/>
          <w:highlight w:val="none"/>
          <w14:textFill>
            <w14:solidFill>
              <w14:schemeClr w14:val="tx1"/>
            </w14:solidFill>
          </w14:textFill>
        </w:rPr>
        <w:t xml:space="preserve">  供电系统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3DD1D198">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11.5</w:t>
      </w:r>
      <w:r>
        <w:rPr>
          <w:rFonts w:ascii="Times New Roman" w:hAnsi="Times New Roman" w:eastAsia="方正书宋简体" w:cs="Times New Roman"/>
          <w:color w:val="000000" w:themeColor="text1"/>
          <w:highlight w:val="none"/>
          <w14:textFill>
            <w14:solidFill>
              <w14:schemeClr w14:val="tx1"/>
            </w14:solidFill>
          </w14:textFill>
        </w:rPr>
        <w:t xml:space="preserve">  照明系统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35627DF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11.6</w:t>
      </w:r>
      <w:r>
        <w:rPr>
          <w:rFonts w:ascii="Times New Roman" w:hAnsi="Times New Roman" w:eastAsia="方正书宋简体" w:cs="Times New Roman"/>
          <w:color w:val="000000" w:themeColor="text1"/>
          <w:highlight w:val="none"/>
          <w14:textFill>
            <w14:solidFill>
              <w14:schemeClr w14:val="tx1"/>
            </w14:solidFill>
          </w14:textFill>
        </w:rPr>
        <w:t xml:space="preserve">  监控与报警系统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84</w:t>
      </w:r>
    </w:p>
    <w:p w14:paraId="1E86A2EE">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11.7</w:t>
      </w:r>
      <w:r>
        <w:rPr>
          <w:rFonts w:ascii="Times New Roman" w:hAnsi="Times New Roman" w:eastAsia="方正书宋简体" w:cs="Times New Roman"/>
          <w:color w:val="000000" w:themeColor="text1"/>
          <w:highlight w:val="none"/>
          <w14:textFill>
            <w14:solidFill>
              <w14:schemeClr w14:val="tx1"/>
            </w14:solidFill>
          </w14:textFill>
        </w:rPr>
        <w:t xml:space="preserve">  排水系统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86</w:t>
      </w:r>
    </w:p>
    <w:p w14:paraId="2E253B2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11.8</w:t>
      </w:r>
      <w:r>
        <w:rPr>
          <w:rFonts w:ascii="Times New Roman" w:hAnsi="Times New Roman" w:eastAsia="方正书宋简体" w:cs="Times New Roman"/>
          <w:color w:val="000000" w:themeColor="text1"/>
          <w:highlight w:val="none"/>
          <w14:textFill>
            <w14:solidFill>
              <w14:schemeClr w14:val="tx1"/>
            </w14:solidFill>
          </w14:textFill>
        </w:rPr>
        <w:t xml:space="preserve">  标识系统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86</w:t>
      </w:r>
    </w:p>
    <w:p w14:paraId="655B5E4C">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12 </w:t>
      </w:r>
      <w:r>
        <w:rPr>
          <w:rFonts w:ascii="Times New Roman" w:hAnsi="Times New Roman" w:eastAsia="方正书宋简体" w:cs="Times New Roman"/>
          <w:color w:val="000000" w:themeColor="text1"/>
          <w:highlight w:val="none"/>
          <w14:textFill>
            <w14:solidFill>
              <w14:schemeClr w14:val="tx1"/>
            </w14:solidFill>
          </w14:textFill>
        </w:rPr>
        <w:t xml:space="preserve"> 管线工程施工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7D3D719B">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393C4C02">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12.2</w:t>
      </w:r>
      <w:r>
        <w:rPr>
          <w:rFonts w:ascii="Times New Roman" w:hAnsi="Times New Roman" w:eastAsia="方正书宋简体" w:cs="Times New Roman"/>
          <w:color w:val="000000" w:themeColor="text1"/>
          <w:highlight w:val="none"/>
          <w14:textFill>
            <w14:solidFill>
              <w14:schemeClr w14:val="tx1"/>
            </w14:solidFill>
          </w14:textFill>
        </w:rPr>
        <w:t xml:space="preserve">  给水及再生水管道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593CB69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12.3</w:t>
      </w:r>
      <w:r>
        <w:rPr>
          <w:rFonts w:ascii="Times New Roman" w:hAnsi="Times New Roman" w:eastAsia="方正书宋简体" w:cs="Times New Roman"/>
          <w:color w:val="000000" w:themeColor="text1"/>
          <w:highlight w:val="none"/>
          <w14:textFill>
            <w14:solidFill>
              <w14:schemeClr w14:val="tx1"/>
            </w14:solidFill>
          </w14:textFill>
        </w:rPr>
        <w:t xml:space="preserve">  排水管道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89</w:t>
      </w:r>
    </w:p>
    <w:p w14:paraId="09351B0B">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12.4</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highlight w:val="none"/>
          <w:u w:val="none"/>
        </w:rPr>
        <w:t>天然</w:t>
      </w:r>
      <w:r>
        <w:rPr>
          <w:rFonts w:hint="eastAsia"/>
          <w:highlight w:val="none"/>
          <w:u w:val="none"/>
        </w:rPr>
        <w:t>气</w:t>
      </w:r>
      <w:r>
        <w:rPr>
          <w:rFonts w:ascii="Times New Roman" w:hAnsi="Times New Roman" w:eastAsia="方正书宋简体" w:cs="Times New Roman"/>
          <w:color w:val="000000" w:themeColor="text1"/>
          <w:highlight w:val="none"/>
          <w14:textFill>
            <w14:solidFill>
              <w14:schemeClr w14:val="tx1"/>
            </w14:solidFill>
          </w14:textFill>
        </w:rPr>
        <w:t>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89</w:t>
      </w:r>
    </w:p>
    <w:p w14:paraId="555B2F37">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12.5</w:t>
      </w:r>
      <w:r>
        <w:rPr>
          <w:rFonts w:ascii="Times New Roman" w:hAnsi="Times New Roman" w:eastAsia="方正书宋简体" w:cs="Times New Roman"/>
          <w:color w:val="000000" w:themeColor="text1"/>
          <w:highlight w:val="none"/>
          <w14:textFill>
            <w14:solidFill>
              <w14:schemeClr w14:val="tx1"/>
            </w14:solidFill>
          </w14:textFill>
        </w:rPr>
        <w:t xml:space="preserve">  热力管道</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90</w:t>
      </w:r>
    </w:p>
    <w:p w14:paraId="262F2FFE">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12.6</w:t>
      </w:r>
      <w:r>
        <w:rPr>
          <w:rFonts w:ascii="Times New Roman" w:hAnsi="Times New Roman" w:eastAsia="方正书宋简体" w:cs="Times New Roman"/>
          <w:color w:val="000000" w:themeColor="text1"/>
          <w:highlight w:val="none"/>
          <w14:textFill>
            <w14:solidFill>
              <w14:schemeClr w14:val="tx1"/>
            </w14:solidFill>
          </w14:textFill>
        </w:rPr>
        <w:t xml:space="preserve">  电力电缆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92</w:t>
      </w:r>
    </w:p>
    <w:p w14:paraId="7B50E30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12.7</w:t>
      </w:r>
      <w:r>
        <w:rPr>
          <w:rFonts w:ascii="Times New Roman" w:hAnsi="Times New Roman" w:eastAsia="方正书宋简体" w:cs="Times New Roman"/>
          <w:color w:val="000000" w:themeColor="text1"/>
          <w:highlight w:val="none"/>
          <w14:textFill>
            <w14:solidFill>
              <w14:schemeClr w14:val="tx1"/>
            </w14:solidFill>
          </w14:textFill>
        </w:rPr>
        <w:t xml:space="preserve">  通信线缆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93</w:t>
      </w:r>
    </w:p>
    <w:p w14:paraId="66193F87">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工程质量验收与资料管理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95</w:t>
      </w:r>
    </w:p>
    <w:p w14:paraId="652B644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质量验收</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95</w:t>
      </w:r>
    </w:p>
    <w:p w14:paraId="4629793C">
      <w:pPr>
        <w:tabs>
          <w:tab w:val="right" w:leader="middleDot" w:pos="6096"/>
        </w:tabs>
        <w:overflowPunct w:val="0"/>
        <w:spacing w:line="348" w:lineRule="exact"/>
        <w:ind w:firstLine="422" w:firstLineChars="200"/>
        <w:rPr>
          <w:rFonts w:hint="default" w:ascii="Times New Roman" w:hAnsi="Times New Roman" w:eastAsia="方正书宋简体" w:cs="Times New Roman"/>
          <w:b/>
          <w:bCs/>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资料管理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97</w:t>
      </w:r>
    </w:p>
    <w:p w14:paraId="77C5BA69">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安全与绿色施工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99</w:t>
      </w:r>
    </w:p>
    <w:p w14:paraId="0D7E9B4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安全施工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99</w:t>
      </w:r>
    </w:p>
    <w:p w14:paraId="5EC2669F">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绿色</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01</w:t>
      </w:r>
    </w:p>
    <w:p w14:paraId="326BF080">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15</w:t>
      </w:r>
      <w:r>
        <w:rPr>
          <w:rFonts w:ascii="Times New Roman" w:hAnsi="Times New Roman" w:eastAsia="方正书宋简体" w:cs="Times New Roman"/>
          <w:color w:val="000000" w:themeColor="text1"/>
          <w:highlight w:val="none"/>
          <w14:textFill>
            <w14:solidFill>
              <w14:schemeClr w14:val="tx1"/>
            </w14:solidFill>
          </w14:textFill>
        </w:rPr>
        <w:t xml:space="preserve">  运营维护</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105</w:t>
      </w:r>
    </w:p>
    <w:p w14:paraId="71F627ED">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黑体" w:cs="Times New Roman"/>
          <w:color w:val="000000" w:themeColor="text1"/>
          <w:highlight w:val="none"/>
          <w14:textFill>
            <w14:solidFill>
              <w14:schemeClr w14:val="tx1"/>
            </w14:solidFill>
          </w14:textFill>
        </w:rPr>
        <w:t>附录</w:t>
      </w:r>
      <w:r>
        <w:rPr>
          <w:rFonts w:ascii="Times New Roman" w:hAnsi="Times New Roman" w:eastAsia="方正书宋简体" w:cs="Times New Roman"/>
          <w:b/>
          <w:bCs/>
          <w:color w:val="000000" w:themeColor="text1"/>
          <w:highlight w:val="none"/>
          <w14:textFill>
            <w14:solidFill>
              <w14:schemeClr w14:val="tx1"/>
            </w14:solidFill>
          </w14:textFill>
        </w:rPr>
        <w:t>A</w:t>
      </w:r>
      <w:r>
        <w:rPr>
          <w:rFonts w:ascii="Times New Roman" w:hAnsi="Times New Roman" w:eastAsia="方正书宋简体" w:cs="Times New Roman"/>
          <w:color w:val="000000" w:themeColor="text1"/>
          <w:highlight w:val="none"/>
          <w14:textFill>
            <w14:solidFill>
              <w14:schemeClr w14:val="tx1"/>
            </w14:solidFill>
          </w14:textFill>
        </w:rPr>
        <w:t xml:space="preserve">  电缆散热量计算</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08</w:t>
      </w:r>
    </w:p>
    <w:p w14:paraId="0B66AF9A">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本标准用词说明</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11</w:t>
      </w:r>
    </w:p>
    <w:p w14:paraId="7D6B6E3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引用标准名录</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12</w:t>
      </w:r>
    </w:p>
    <w:p w14:paraId="1D6F90C4">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条文说明</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17</w:t>
      </w:r>
    </w:p>
    <w:p w14:paraId="5C117AF4">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25A6D4FC">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br w:type="page"/>
      </w:r>
    </w:p>
    <w:p w14:paraId="7561CFAD">
      <w:pPr>
        <w:overflowPunct w:val="0"/>
        <w:spacing w:before="312" w:beforeLines="100" w:after="312" w:afterLines="100" w:line="240" w:lineRule="auto"/>
        <w:jc w:val="center"/>
        <w:rPr>
          <w:rFonts w:ascii="Times New Roman" w:hAnsi="Times New Roman" w:eastAsia="方正书宋简体" w:cs="Times New Roman"/>
          <w:b/>
          <w:bCs/>
          <w:color w:val="000000" w:themeColor="text1"/>
          <w:sz w:val="28"/>
          <w:szCs w:val="28"/>
          <w:highlight w:val="none"/>
          <w14:textFill>
            <w14:solidFill>
              <w14:schemeClr w14:val="tx1"/>
            </w14:solidFill>
          </w14:textFill>
        </w:rPr>
      </w:pPr>
      <w:r>
        <w:rPr>
          <w:rFonts w:ascii="Times New Roman" w:hAnsi="Times New Roman" w:eastAsia="方正书宋简体" w:cs="Times New Roman"/>
          <w:b/>
          <w:bCs/>
          <w:color w:val="000000" w:themeColor="text1"/>
          <w:sz w:val="28"/>
          <w:szCs w:val="28"/>
          <w:highlight w:val="none"/>
          <w14:textFill>
            <w14:solidFill>
              <w14:schemeClr w14:val="tx1"/>
            </w14:solidFill>
          </w14:textFill>
        </w:rPr>
        <w:t>Contents</w:t>
      </w:r>
    </w:p>
    <w:p w14:paraId="5A5FA14D">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General Provisions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p>
    <w:p w14:paraId="6D09D19D">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Terms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p>
    <w:p w14:paraId="235A24BC">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Basic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479F8BBA">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System Planning</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1F51BCA2">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4E106F58">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4.2</w:t>
      </w:r>
      <w:r>
        <w:rPr>
          <w:rFonts w:ascii="Times New Roman" w:hAnsi="Times New Roman" w:eastAsia="方正书宋简体" w:cs="Times New Roman"/>
          <w:color w:val="000000" w:themeColor="text1"/>
          <w:highlight w:val="none"/>
          <w14:textFill>
            <w14:solidFill>
              <w14:schemeClr w14:val="tx1"/>
            </w14:solidFill>
          </w14:textFill>
        </w:rPr>
        <w:t xml:space="preserve">  Tunnel System Layout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08883ADE">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4.3</w:t>
      </w:r>
      <w:r>
        <w:rPr>
          <w:rFonts w:ascii="Times New Roman" w:hAnsi="Times New Roman" w:eastAsia="方正书宋简体" w:cs="Times New Roman"/>
          <w:color w:val="000000" w:themeColor="text1"/>
          <w:highlight w:val="none"/>
          <w14:textFill>
            <w14:solidFill>
              <w14:schemeClr w14:val="tx1"/>
            </w14:solidFill>
          </w14:textFill>
        </w:rPr>
        <w:t xml:space="preserve">  Entering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8</w:t>
      </w:r>
    </w:p>
    <w:p w14:paraId="5FA95DB5">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4.4</w:t>
      </w:r>
      <w:r>
        <w:rPr>
          <w:rFonts w:ascii="Times New Roman" w:hAnsi="Times New Roman" w:eastAsia="方正书宋简体" w:cs="Times New Roman"/>
          <w:color w:val="000000" w:themeColor="text1"/>
          <w:highlight w:val="none"/>
          <w14:textFill>
            <w14:solidFill>
              <w14:schemeClr w14:val="tx1"/>
            </w14:solidFill>
          </w14:textFill>
        </w:rPr>
        <w:t xml:space="preserve">  Plane Position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w:t>
      </w:r>
    </w:p>
    <w:p w14:paraId="59F8737E">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4.5</w:t>
      </w:r>
      <w:r>
        <w:rPr>
          <w:rFonts w:ascii="Times New Roman" w:hAnsi="Times New Roman" w:eastAsia="方正书宋简体" w:cs="Times New Roman"/>
          <w:color w:val="000000" w:themeColor="text1"/>
          <w:highlight w:val="none"/>
          <w14:textFill>
            <w14:solidFill>
              <w14:schemeClr w14:val="tx1"/>
            </w14:solidFill>
          </w14:textFill>
        </w:rPr>
        <w:t xml:space="preserve">  Vertical Conditions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w:t>
      </w:r>
    </w:p>
    <w:p w14:paraId="60A12BBF">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 </w:t>
      </w:r>
      <w:r>
        <w:rPr>
          <w:rFonts w:ascii="Times New Roman" w:hAnsi="Times New Roman" w:eastAsia="方正书宋简体" w:cs="Times New Roman"/>
          <w:color w:val="000000" w:themeColor="text1"/>
          <w:highlight w:val="none"/>
          <w14:textFill>
            <w14:solidFill>
              <w14:schemeClr w14:val="tx1"/>
            </w14:solidFill>
          </w14:textFill>
        </w:rPr>
        <w:t xml:space="preserve"> Survey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77409178">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28614B98">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5.2</w:t>
      </w:r>
      <w:r>
        <w:rPr>
          <w:rFonts w:ascii="Times New Roman" w:hAnsi="Times New Roman" w:eastAsia="方正书宋简体" w:cs="Times New Roman"/>
          <w:color w:val="000000" w:themeColor="text1"/>
          <w:highlight w:val="none"/>
          <w14:textFill>
            <w14:solidFill>
              <w14:schemeClr w14:val="tx1"/>
            </w14:solidFill>
          </w14:textFill>
        </w:rPr>
        <w:t xml:space="preserve">  Feasibility Study Survey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2AF3EE4C">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5.3</w:t>
      </w:r>
      <w:r>
        <w:rPr>
          <w:rFonts w:ascii="Times New Roman" w:hAnsi="Times New Roman" w:eastAsia="方正书宋简体" w:cs="Times New Roman"/>
          <w:color w:val="000000" w:themeColor="text1"/>
          <w:highlight w:val="none"/>
          <w14:textFill>
            <w14:solidFill>
              <w14:schemeClr w14:val="tx1"/>
            </w14:solidFill>
          </w14:textFill>
        </w:rPr>
        <w:t xml:space="preserve">  Preliminary Survey</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29E7A116">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5.4</w:t>
      </w:r>
      <w:r>
        <w:rPr>
          <w:rFonts w:ascii="Times New Roman" w:hAnsi="Times New Roman" w:eastAsia="方正书宋简体" w:cs="Times New Roman"/>
          <w:color w:val="000000" w:themeColor="text1"/>
          <w:highlight w:val="none"/>
          <w14:textFill>
            <w14:solidFill>
              <w14:schemeClr w14:val="tx1"/>
            </w14:solidFill>
          </w14:textFill>
        </w:rPr>
        <w:t xml:space="preserve">  Detailed Survey</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0F1243C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5.5</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Construction Survey</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p>
    <w:p w14:paraId="7AEF5060">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 </w:t>
      </w:r>
      <w:r>
        <w:rPr>
          <w:rFonts w:ascii="Times New Roman" w:hAnsi="Times New Roman" w:eastAsia="方正书宋简体" w:cs="Times New Roman"/>
          <w:color w:val="000000" w:themeColor="text1"/>
          <w:highlight w:val="none"/>
          <w14:textFill>
            <w14:solidFill>
              <w14:schemeClr w14:val="tx1"/>
            </w14:solidFill>
          </w14:textFill>
        </w:rPr>
        <w:t xml:space="preserve"> General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w:t>
      </w:r>
    </w:p>
    <w:p w14:paraId="0DB45252">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w:t>
      </w:r>
    </w:p>
    <w:p w14:paraId="276FE1AC">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6.2</w:t>
      </w:r>
      <w:r>
        <w:rPr>
          <w:rFonts w:ascii="Times New Roman" w:hAnsi="Times New Roman" w:eastAsia="方正书宋简体" w:cs="Times New Roman"/>
          <w:color w:val="000000" w:themeColor="text1"/>
          <w:highlight w:val="none"/>
          <w14:textFill>
            <w14:solidFill>
              <w14:schemeClr w14:val="tx1"/>
            </w14:solidFill>
          </w14:textFill>
        </w:rPr>
        <w:t xml:space="preserve">  Space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17</w:t>
      </w:r>
    </w:p>
    <w:p w14:paraId="301477B3">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6.3</w:t>
      </w:r>
      <w:r>
        <w:rPr>
          <w:rFonts w:ascii="Times New Roman" w:hAnsi="Times New Roman" w:eastAsia="方正书宋简体" w:cs="Times New Roman"/>
          <w:color w:val="000000" w:themeColor="text1"/>
          <w:highlight w:val="none"/>
          <w14:textFill>
            <w14:solidFill>
              <w14:schemeClr w14:val="tx1"/>
            </w14:solidFill>
          </w14:textFill>
        </w:rPr>
        <w:t xml:space="preserve">  Cross Section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18</w:t>
      </w:r>
    </w:p>
    <w:p w14:paraId="11271977">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6.4</w:t>
      </w:r>
      <w:r>
        <w:rPr>
          <w:rFonts w:ascii="Times New Roman" w:hAnsi="Times New Roman" w:eastAsia="方正书宋简体" w:cs="Times New Roman"/>
          <w:color w:val="000000" w:themeColor="text1"/>
          <w:highlight w:val="none"/>
          <w14:textFill>
            <w14:solidFill>
              <w14:schemeClr w14:val="tx1"/>
            </w14:solidFill>
          </w14:textFill>
        </w:rPr>
        <w:t xml:space="preserve">  Vertical Section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21</w:t>
      </w:r>
    </w:p>
    <w:p w14:paraId="0DCD249E">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6.5</w:t>
      </w:r>
      <w:r>
        <w:rPr>
          <w:rFonts w:ascii="Times New Roman" w:hAnsi="Times New Roman" w:eastAsia="方正书宋简体" w:cs="Times New Roman"/>
          <w:color w:val="000000" w:themeColor="text1"/>
          <w:highlight w:val="none"/>
          <w14:textFill>
            <w14:solidFill>
              <w14:schemeClr w14:val="tx1"/>
            </w14:solidFill>
          </w14:textFill>
        </w:rPr>
        <w:t xml:space="preserve">  Branch Reservation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21</w:t>
      </w:r>
    </w:p>
    <w:p w14:paraId="27131F25">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6.6</w:t>
      </w:r>
      <w:r>
        <w:rPr>
          <w:rFonts w:ascii="Times New Roman" w:hAnsi="Times New Roman" w:eastAsia="方正书宋简体" w:cs="Times New Roman"/>
          <w:color w:val="000000" w:themeColor="text1"/>
          <w:highlight w:val="none"/>
          <w14:textFill>
            <w14:solidFill>
              <w14:schemeClr w14:val="tx1"/>
            </w14:solidFill>
          </w14:textFill>
        </w:rPr>
        <w:t xml:space="preserve">  Node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017ACCE8">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Structural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710FEB7E">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2</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p>
    <w:p w14:paraId="0B665980">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w:t>
      </w:r>
      <w:r>
        <w:rPr>
          <w:rFonts w:ascii="Times New Roman" w:hAnsi="Times New Roman" w:eastAsia="方正书宋简体" w:cs="Times New Roman"/>
          <w:color w:val="000000" w:themeColor="text1"/>
          <w:highlight w:val="none"/>
          <w14:textFill>
            <w14:solidFill>
              <w14:schemeClr w14:val="tx1"/>
            </w14:solidFill>
          </w14:textFill>
        </w:rPr>
        <w:t xml:space="preserve">  Materials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25</w:t>
      </w:r>
    </w:p>
    <w:p w14:paraId="4D21514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7.3</w:t>
      </w:r>
      <w:r>
        <w:rPr>
          <w:rFonts w:ascii="Times New Roman" w:hAnsi="Times New Roman" w:eastAsia="方正书宋简体" w:cs="Times New Roman"/>
          <w:color w:val="000000" w:themeColor="text1"/>
          <w:highlight w:val="none"/>
          <w14:textFill>
            <w14:solidFill>
              <w14:schemeClr w14:val="tx1"/>
            </w14:solidFill>
          </w14:textFill>
        </w:rPr>
        <w:t xml:space="preserve">  Structural Function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27</w:t>
      </w:r>
    </w:p>
    <w:p w14:paraId="4D54B86A">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7.4</w:t>
      </w:r>
      <w:r>
        <w:rPr>
          <w:rFonts w:ascii="Times New Roman" w:hAnsi="Times New Roman" w:eastAsia="方正书宋简体" w:cs="Times New Roman"/>
          <w:color w:val="000000" w:themeColor="text1"/>
          <w:highlight w:val="none"/>
          <w14:textFill>
            <w14:solidFill>
              <w14:schemeClr w14:val="tx1"/>
            </w14:solidFill>
          </w14:textFill>
        </w:rPr>
        <w:t xml:space="preserve">  Cast -in -Place Concrete Utility Tunnel</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28</w:t>
      </w:r>
    </w:p>
    <w:p w14:paraId="1121A880">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w:t>
      </w:r>
      <w:r>
        <w:rPr>
          <w:rFonts w:ascii="Times New Roman" w:hAnsi="Times New Roman" w:eastAsia="方正书宋简体" w:cs="Times New Roman"/>
          <w:color w:val="000000" w:themeColor="text1"/>
          <w:highlight w:val="none"/>
          <w14:textFill>
            <w14:solidFill>
              <w14:schemeClr w14:val="tx1"/>
            </w14:solidFill>
          </w14:textFill>
        </w:rPr>
        <w:t xml:space="preserve">  Precast Concrete Utility Tunnel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29</w:t>
      </w:r>
    </w:p>
    <w:p w14:paraId="333174F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7.6</w:t>
      </w:r>
      <w:r>
        <w:rPr>
          <w:rFonts w:ascii="Times New Roman" w:hAnsi="Times New Roman" w:eastAsia="方正书宋简体" w:cs="Times New Roman"/>
          <w:color w:val="000000" w:themeColor="text1"/>
          <w:highlight w:val="none"/>
          <w14:textFill>
            <w14:solidFill>
              <w14:schemeClr w14:val="tx1"/>
            </w14:solidFill>
          </w14:textFill>
        </w:rPr>
        <w:t xml:space="preserve">  Detailing Requirements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30</w:t>
      </w:r>
    </w:p>
    <w:p w14:paraId="53E71496">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7.7 </w:t>
      </w:r>
      <w:r>
        <w:rPr>
          <w:rFonts w:ascii="Times New Roman" w:hAnsi="Times New Roman" w:eastAsia="方正书宋简体" w:cs="Times New Roman"/>
          <w:color w:val="000000" w:themeColor="text1"/>
          <w:highlight w:val="none"/>
          <w14:textFill>
            <w14:solidFill>
              <w14:schemeClr w14:val="tx1"/>
            </w14:solidFill>
          </w14:textFill>
        </w:rPr>
        <w:t xml:space="preserve"> Foundation Treatment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3</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6035A171">
      <w:pPr>
        <w:tabs>
          <w:tab w:val="right" w:leader="middleDot" w:pos="6096"/>
        </w:tabs>
        <w:overflowPunct w:val="0"/>
        <w:spacing w:line="348" w:lineRule="exact"/>
        <w:ind w:firstLine="316" w:firstLineChars="150"/>
        <w:rPr>
          <w:rFonts w:hint="eastAsia" w:ascii="Times New Roman" w:hAnsi="Times New Roman" w:eastAsia="方正书宋简体" w:cs="Times New Roman"/>
          <w:b/>
          <w:bCs/>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w:t>
      </w:r>
      <w:r>
        <w:rPr>
          <w:rFonts w:ascii="Times New Roman" w:hAnsi="Times New Roman" w:eastAsia="方正书宋简体" w:cs="Times New Roman"/>
          <w:color w:val="000000" w:themeColor="text1"/>
          <w:highlight w:val="none"/>
          <w14:textFill>
            <w14:solidFill>
              <w14:schemeClr w14:val="tx1"/>
            </w14:solidFill>
          </w14:textFill>
        </w:rPr>
        <w:t xml:space="preserve">  Foundation Pit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3</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w:t>
      </w:r>
    </w:p>
    <w:p w14:paraId="22369EEE">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 </w:t>
      </w:r>
      <w:r>
        <w:rPr>
          <w:rFonts w:ascii="Times New Roman" w:hAnsi="Times New Roman" w:eastAsia="方正书宋简体" w:cs="Times New Roman"/>
          <w:color w:val="000000" w:themeColor="text1"/>
          <w:highlight w:val="none"/>
          <w14:textFill>
            <w14:solidFill>
              <w14:schemeClr w14:val="tx1"/>
            </w14:solidFill>
          </w14:textFill>
        </w:rPr>
        <w:t xml:space="preserve"> Ancillary Facilities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36</w:t>
      </w:r>
    </w:p>
    <w:p w14:paraId="1DBCC16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8.1 </w:t>
      </w:r>
      <w:r>
        <w:rPr>
          <w:rFonts w:ascii="Times New Roman" w:hAnsi="Times New Roman" w:eastAsia="方正书宋简体" w:cs="Times New Roman"/>
          <w:color w:val="000000" w:themeColor="text1"/>
          <w:highlight w:val="none"/>
          <w14:textFill>
            <w14:solidFill>
              <w14:schemeClr w14:val="tx1"/>
            </w14:solidFill>
          </w14:textFill>
        </w:rPr>
        <w:t xml:space="preserve"> Fire Fighting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36</w:t>
      </w:r>
    </w:p>
    <w:p w14:paraId="45DBDFF4">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8.2</w:t>
      </w:r>
      <w:r>
        <w:rPr>
          <w:rFonts w:ascii="Times New Roman" w:hAnsi="Times New Roman" w:eastAsia="方正书宋简体" w:cs="Times New Roman"/>
          <w:color w:val="000000" w:themeColor="text1"/>
          <w:highlight w:val="none"/>
          <w14:textFill>
            <w14:solidFill>
              <w14:schemeClr w14:val="tx1"/>
            </w14:solidFill>
          </w14:textFill>
        </w:rPr>
        <w:t xml:space="preserve">  Ventilation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37</w:t>
      </w:r>
    </w:p>
    <w:p w14:paraId="19F1DC4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8.3 </w:t>
      </w:r>
      <w:r>
        <w:rPr>
          <w:rFonts w:ascii="Times New Roman" w:hAnsi="Times New Roman" w:eastAsia="方正书宋简体" w:cs="Times New Roman"/>
          <w:color w:val="000000" w:themeColor="text1"/>
          <w:highlight w:val="none"/>
          <w14:textFill>
            <w14:solidFill>
              <w14:schemeClr w14:val="tx1"/>
            </w14:solidFill>
          </w14:textFill>
        </w:rPr>
        <w:t xml:space="preserve"> Power Supply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38</w:t>
      </w:r>
    </w:p>
    <w:p w14:paraId="21264F01">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8.4 </w:t>
      </w:r>
      <w:r>
        <w:rPr>
          <w:rFonts w:ascii="Times New Roman" w:hAnsi="Times New Roman" w:eastAsia="方正书宋简体" w:cs="Times New Roman"/>
          <w:color w:val="000000" w:themeColor="text1"/>
          <w:highlight w:val="none"/>
          <w14:textFill>
            <w14:solidFill>
              <w14:schemeClr w14:val="tx1"/>
            </w14:solidFill>
          </w14:textFill>
        </w:rPr>
        <w:t xml:space="preserve"> Lighting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4</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1CAEBDED">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8.5 </w:t>
      </w:r>
      <w:r>
        <w:rPr>
          <w:rFonts w:ascii="Times New Roman" w:hAnsi="Times New Roman" w:eastAsia="方正书宋简体" w:cs="Times New Roman"/>
          <w:color w:val="000000" w:themeColor="text1"/>
          <w:highlight w:val="none"/>
          <w14:textFill>
            <w14:solidFill>
              <w14:schemeClr w14:val="tx1"/>
            </w14:solidFill>
          </w14:textFill>
        </w:rPr>
        <w:t xml:space="preserve"> Monitoring and Alarm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42</w:t>
      </w:r>
    </w:p>
    <w:p w14:paraId="1DC4E55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8.6</w:t>
      </w:r>
      <w:r>
        <w:rPr>
          <w:rFonts w:ascii="Times New Roman" w:hAnsi="Times New Roman" w:eastAsia="方正书宋简体" w:cs="Times New Roman"/>
          <w:color w:val="000000" w:themeColor="text1"/>
          <w:highlight w:val="none"/>
          <w14:textFill>
            <w14:solidFill>
              <w14:schemeClr w14:val="tx1"/>
            </w14:solidFill>
          </w14:textFill>
        </w:rPr>
        <w:t xml:space="preserve">  Drainage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47</w:t>
      </w:r>
    </w:p>
    <w:p w14:paraId="79EA0634">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8.7 </w:t>
      </w:r>
      <w:r>
        <w:rPr>
          <w:rFonts w:ascii="Times New Roman" w:hAnsi="Times New Roman" w:eastAsia="方正书宋简体" w:cs="Times New Roman"/>
          <w:color w:val="000000" w:themeColor="text1"/>
          <w:highlight w:val="none"/>
          <w14:textFill>
            <w14:solidFill>
              <w14:schemeClr w14:val="tx1"/>
            </w14:solidFill>
          </w14:textFill>
        </w:rPr>
        <w:t xml:space="preserve"> Sign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48</w:t>
      </w:r>
    </w:p>
    <w:p w14:paraId="2375F135">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8.8</w:t>
      </w:r>
      <w:r>
        <w:rPr>
          <w:rFonts w:ascii="Times New Roman" w:hAnsi="Times New Roman" w:eastAsia="方正书宋简体" w:cs="Times New Roman"/>
          <w:color w:val="000000" w:themeColor="text1"/>
          <w:highlight w:val="none"/>
          <w14:textFill>
            <w14:solidFill>
              <w14:schemeClr w14:val="tx1"/>
            </w14:solidFill>
          </w14:textFill>
        </w:rPr>
        <w:t xml:space="preserve">  Monitoring Cente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r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49</w:t>
      </w:r>
    </w:p>
    <w:p w14:paraId="101E2C4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  </w:t>
      </w:r>
      <w:r>
        <w:rPr>
          <w:rFonts w:ascii="Times New Roman" w:hAnsi="Times New Roman" w:eastAsia="方正书宋简体" w:cs="Times New Roman"/>
          <w:color w:val="000000" w:themeColor="text1"/>
          <w:highlight w:val="none"/>
          <w14:textFill>
            <w14:solidFill>
              <w14:schemeClr w14:val="tx1"/>
            </w14:solidFill>
          </w14:textFill>
        </w:rPr>
        <w:t>Pipeline Design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52</w:t>
      </w:r>
    </w:p>
    <w:p w14:paraId="7FD186F0">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9.1 </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52</w:t>
      </w:r>
    </w:p>
    <w:p w14:paraId="50C3B17F">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9.2</w:t>
      </w:r>
      <w:r>
        <w:rPr>
          <w:rFonts w:ascii="Times New Roman" w:hAnsi="Times New Roman" w:eastAsia="方正书宋简体" w:cs="Times New Roman"/>
          <w:color w:val="000000" w:themeColor="text1"/>
          <w:highlight w:val="none"/>
          <w14:textFill>
            <w14:solidFill>
              <w14:schemeClr w14:val="tx1"/>
            </w14:solidFill>
          </w14:textFill>
        </w:rPr>
        <w:t xml:space="preserve">  Water Supply and Reclaimed Water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53</w:t>
      </w:r>
    </w:p>
    <w:p w14:paraId="5EA1C53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9.3 </w:t>
      </w:r>
      <w:r>
        <w:rPr>
          <w:rFonts w:ascii="Times New Roman" w:hAnsi="Times New Roman" w:eastAsia="方正书宋简体" w:cs="Times New Roman"/>
          <w:color w:val="000000" w:themeColor="text1"/>
          <w:highlight w:val="none"/>
          <w14:textFill>
            <w14:solidFill>
              <w14:schemeClr w14:val="tx1"/>
            </w14:solidFill>
          </w14:textFill>
        </w:rPr>
        <w:t xml:space="preserve"> Drainage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54</w:t>
      </w:r>
    </w:p>
    <w:p w14:paraId="506D952B">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9.4</w:t>
      </w:r>
      <w:r>
        <w:rPr>
          <w:rFonts w:ascii="Times New Roman" w:hAnsi="Times New Roman" w:eastAsia="方正书宋简体" w:cs="Times New Roman"/>
          <w:color w:val="000000" w:themeColor="text1"/>
          <w:highlight w:val="none"/>
          <w14:textFill>
            <w14:solidFill>
              <w14:schemeClr w14:val="tx1"/>
            </w14:solidFill>
          </w14:textFill>
        </w:rPr>
        <w:t xml:space="preserve">  Natural Gas Pipeline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55</w:t>
      </w:r>
    </w:p>
    <w:p w14:paraId="6E33D048">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9.5</w:t>
      </w:r>
      <w:r>
        <w:rPr>
          <w:rFonts w:ascii="Times New Roman" w:hAnsi="Times New Roman" w:eastAsia="方正书宋简体" w:cs="Times New Roman"/>
          <w:color w:val="000000" w:themeColor="text1"/>
          <w:highlight w:val="none"/>
          <w14:textFill>
            <w14:solidFill>
              <w14:schemeClr w14:val="tx1"/>
            </w14:solidFill>
          </w14:textFill>
        </w:rPr>
        <w:t xml:space="preserve">  Heat Distribution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56</w:t>
      </w:r>
    </w:p>
    <w:p w14:paraId="490E81C1">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9.6</w:t>
      </w:r>
      <w:r>
        <w:rPr>
          <w:rFonts w:ascii="Times New Roman" w:hAnsi="Times New Roman" w:eastAsia="方正书宋简体" w:cs="Times New Roman"/>
          <w:color w:val="000000" w:themeColor="text1"/>
          <w:highlight w:val="none"/>
          <w14:textFill>
            <w14:solidFill>
              <w14:schemeClr w14:val="tx1"/>
            </w14:solidFill>
          </w14:textFill>
        </w:rPr>
        <w:t xml:space="preserve">  Power Cable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7</w:t>
      </w:r>
    </w:p>
    <w:p w14:paraId="713BCEBC">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9.7</w:t>
      </w:r>
      <w:r>
        <w:rPr>
          <w:rFonts w:ascii="Times New Roman" w:hAnsi="Times New Roman" w:eastAsia="方正书宋简体" w:cs="Times New Roman"/>
          <w:color w:val="000000" w:themeColor="text1"/>
          <w:highlight w:val="none"/>
          <w14:textFill>
            <w14:solidFill>
              <w14:schemeClr w14:val="tx1"/>
            </w14:solidFill>
          </w14:textFill>
        </w:rPr>
        <w:t xml:space="preserve">  Communications Cable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8</w:t>
      </w:r>
    </w:p>
    <w:p w14:paraId="1A2A4D3B">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10 </w:t>
      </w:r>
      <w:r>
        <w:rPr>
          <w:rFonts w:ascii="Times New Roman" w:hAnsi="Times New Roman" w:eastAsia="方正书宋简体" w:cs="Times New Roman"/>
          <w:color w:val="000000" w:themeColor="text1"/>
          <w:highlight w:val="none"/>
          <w14:textFill>
            <w14:solidFill>
              <w14:schemeClr w14:val="tx1"/>
            </w14:solidFill>
          </w14:textFill>
        </w:rPr>
        <w:t xml:space="preserve"> Structure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59</w:t>
      </w:r>
    </w:p>
    <w:p w14:paraId="28D88C61">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9</w:t>
      </w:r>
    </w:p>
    <w:p w14:paraId="6B6461B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10.2</w:t>
      </w:r>
      <w:r>
        <w:rPr>
          <w:rFonts w:ascii="Times New Roman" w:hAnsi="Times New Roman" w:eastAsia="方正书宋简体" w:cs="Times New Roman"/>
          <w:color w:val="000000" w:themeColor="text1"/>
          <w:highlight w:val="none"/>
          <w14:textFill>
            <w14:solidFill>
              <w14:schemeClr w14:val="tx1"/>
            </w14:solidFill>
          </w14:textFill>
        </w:rPr>
        <w:t xml:space="preserve">  Construction Measure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60</w:t>
      </w:r>
    </w:p>
    <w:p w14:paraId="1829E29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10.3</w:t>
      </w:r>
      <w:r>
        <w:rPr>
          <w:rFonts w:ascii="Times New Roman" w:hAnsi="Times New Roman" w:eastAsia="方正书宋简体" w:cs="Times New Roman"/>
          <w:color w:val="000000" w:themeColor="text1"/>
          <w:highlight w:val="none"/>
          <w14:textFill>
            <w14:solidFill>
              <w14:schemeClr w14:val="tx1"/>
            </w14:solidFill>
          </w14:textFill>
        </w:rPr>
        <w:t xml:space="preserve">  Foundation , Trench ( Foundation Pit)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61</w:t>
      </w:r>
    </w:p>
    <w:p w14:paraId="631522C3">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10.4</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C</w:t>
      </w:r>
      <w:r>
        <w:rPr>
          <w:rFonts w:ascii="Times New Roman" w:hAnsi="Times New Roman" w:eastAsia="方正书宋简体" w:cs="Times New Roman"/>
          <w:color w:val="000000" w:themeColor="text1"/>
          <w:highlight w:val="none"/>
          <w14:textFill>
            <w14:solidFill>
              <w14:schemeClr w14:val="tx1"/>
            </w14:solidFill>
          </w14:textFill>
        </w:rPr>
        <w:t xml:space="preserve">ast-in-place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S</w:t>
      </w:r>
      <w:r>
        <w:rPr>
          <w:rFonts w:ascii="Times New Roman" w:hAnsi="Times New Roman" w:eastAsia="方正书宋简体" w:cs="Times New Roman"/>
          <w:color w:val="000000" w:themeColor="text1"/>
          <w:highlight w:val="none"/>
          <w14:textFill>
            <w14:solidFill>
              <w14:schemeClr w14:val="tx1"/>
            </w14:solidFill>
          </w14:textFill>
        </w:rPr>
        <w:t xml:space="preserve">tructural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C</w:t>
      </w:r>
      <w:r>
        <w:rPr>
          <w:rFonts w:ascii="Times New Roman" w:hAnsi="Times New Roman" w:eastAsia="方正书宋简体" w:cs="Times New Roman"/>
          <w:color w:val="000000" w:themeColor="text1"/>
          <w:highlight w:val="none"/>
          <w14:textFill>
            <w14:solidFill>
              <w14:schemeClr w14:val="tx1"/>
            </w14:solidFill>
          </w14:textFill>
        </w:rPr>
        <w:t>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3</w:t>
      </w:r>
    </w:p>
    <w:p w14:paraId="574564B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10.5</w:t>
      </w:r>
      <w:r>
        <w:rPr>
          <w:rFonts w:ascii="Times New Roman" w:hAnsi="Times New Roman" w:eastAsia="方正书宋简体" w:cs="Times New Roman"/>
          <w:color w:val="000000" w:themeColor="text1"/>
          <w:highlight w:val="none"/>
          <w14:textFill>
            <w14:solidFill>
              <w14:schemeClr w14:val="tx1"/>
            </w14:solidFill>
          </w14:textFill>
        </w:rPr>
        <w:t xml:space="preserve">  Prefabricated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S</w:t>
      </w:r>
      <w:r>
        <w:rPr>
          <w:rFonts w:ascii="Times New Roman" w:hAnsi="Times New Roman" w:eastAsia="方正书宋简体" w:cs="Times New Roman"/>
          <w:color w:val="000000" w:themeColor="text1"/>
          <w:highlight w:val="none"/>
          <w14:textFill>
            <w14:solidFill>
              <w14:schemeClr w14:val="tx1"/>
            </w14:solidFill>
          </w14:textFill>
        </w:rPr>
        <w:t xml:space="preserve">tructure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C</w:t>
      </w:r>
      <w:r>
        <w:rPr>
          <w:rFonts w:ascii="Times New Roman" w:hAnsi="Times New Roman" w:eastAsia="方正书宋简体" w:cs="Times New Roman"/>
          <w:color w:val="000000" w:themeColor="text1"/>
          <w:highlight w:val="none"/>
          <w14:textFill>
            <w14:solidFill>
              <w14:schemeClr w14:val="tx1"/>
            </w14:solidFill>
          </w14:textFill>
        </w:rPr>
        <w:t>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65</w:t>
      </w:r>
    </w:p>
    <w:p w14:paraId="54A38ED3">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10.6</w:t>
      </w:r>
      <w:r>
        <w:rPr>
          <w:rFonts w:ascii="Times New Roman" w:hAnsi="Times New Roman" w:eastAsia="方正书宋简体" w:cs="Times New Roman"/>
          <w:color w:val="000000" w:themeColor="text1"/>
          <w:highlight w:val="none"/>
          <w14:textFill>
            <w14:solidFill>
              <w14:schemeClr w14:val="tx1"/>
            </w14:solidFill>
          </w14:textFill>
        </w:rPr>
        <w:t xml:space="preserve">  Prestressed Engineering</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9</w:t>
      </w:r>
    </w:p>
    <w:p w14:paraId="759C5DD9">
      <w:pPr>
        <w:pBdr>
          <w:top w:val="none" w:color="auto" w:sz="0" w:space="0"/>
          <w:left w:val="none" w:color="auto" w:sz="0" w:space="0"/>
          <w:bottom w:val="none" w:color="auto" w:sz="0" w:space="0"/>
          <w:right w:val="none" w:color="auto" w:sz="0" w:space="0"/>
          <w:between w:val="none" w:color="auto" w:sz="0" w:space="0"/>
        </w:pBd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Jacking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70</w:t>
      </w:r>
    </w:p>
    <w:p w14:paraId="37EAC1C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Waterproof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72</w:t>
      </w:r>
    </w:p>
    <w:p w14:paraId="0B62A7D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Finished Product Protection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75</w:t>
      </w:r>
    </w:p>
    <w:p w14:paraId="04F5998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0</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14:textFill>
            <w14:solidFill>
              <w14:schemeClr w14:val="tx1"/>
            </w14:solidFill>
          </w14:textFill>
        </w:rPr>
        <w:t xml:space="preserve">Seasonal construction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77</w:t>
      </w:r>
    </w:p>
    <w:p w14:paraId="72B17B9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11 </w:t>
      </w:r>
      <w:r>
        <w:rPr>
          <w:rFonts w:ascii="Times New Roman" w:hAnsi="Times New Roman" w:eastAsia="方正书宋简体" w:cs="Times New Roman"/>
          <w:color w:val="000000" w:themeColor="text1"/>
          <w:highlight w:val="none"/>
          <w14:textFill>
            <w14:solidFill>
              <w14:schemeClr w14:val="tx1"/>
            </w14:solidFill>
          </w14:textFill>
        </w:rPr>
        <w:t xml:space="preserve"> Ancillary Facilities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16D4353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492E0B8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11.2</w:t>
      </w:r>
      <w:r>
        <w:rPr>
          <w:rFonts w:ascii="Times New Roman" w:hAnsi="Times New Roman" w:eastAsia="方正书宋简体" w:cs="Times New Roman"/>
          <w:color w:val="000000" w:themeColor="text1"/>
          <w:highlight w:val="none"/>
          <w14:textFill>
            <w14:solidFill>
              <w14:schemeClr w14:val="tx1"/>
            </w14:solidFill>
          </w14:textFill>
        </w:rPr>
        <w:t xml:space="preserve">  Fire Fighting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6D3C7E7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11.3</w:t>
      </w:r>
      <w:r>
        <w:rPr>
          <w:rFonts w:ascii="Times New Roman" w:hAnsi="Times New Roman" w:eastAsia="方正书宋简体" w:cs="Times New Roman"/>
          <w:color w:val="000000" w:themeColor="text1"/>
          <w:highlight w:val="none"/>
          <w14:textFill>
            <w14:solidFill>
              <w14:schemeClr w14:val="tx1"/>
            </w14:solidFill>
          </w14:textFill>
        </w:rPr>
        <w:t xml:space="preserve">  Ventilation System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80</w:t>
      </w:r>
    </w:p>
    <w:p w14:paraId="667A75EF">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11.4</w:t>
      </w:r>
      <w:r>
        <w:rPr>
          <w:rFonts w:ascii="Times New Roman" w:hAnsi="Times New Roman" w:eastAsia="方正书宋简体" w:cs="Times New Roman"/>
          <w:color w:val="000000" w:themeColor="text1"/>
          <w:highlight w:val="none"/>
          <w14:textFill>
            <w14:solidFill>
              <w14:schemeClr w14:val="tx1"/>
            </w14:solidFill>
          </w14:textFill>
        </w:rPr>
        <w:t xml:space="preserve">  Power Supply System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092AFDC0">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11.5</w:t>
      </w:r>
      <w:r>
        <w:rPr>
          <w:rFonts w:ascii="Times New Roman" w:hAnsi="Times New Roman" w:eastAsia="方正书宋简体" w:cs="Times New Roman"/>
          <w:color w:val="000000" w:themeColor="text1"/>
          <w:highlight w:val="none"/>
          <w14:textFill>
            <w14:solidFill>
              <w14:schemeClr w14:val="tx1"/>
            </w14:solidFill>
          </w14:textFill>
        </w:rPr>
        <w:t xml:space="preserve">  Lighting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0CEAAA5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11.6</w:t>
      </w:r>
      <w:r>
        <w:rPr>
          <w:rFonts w:ascii="Times New Roman" w:hAnsi="Times New Roman" w:eastAsia="方正书宋简体" w:cs="Times New Roman"/>
          <w:color w:val="000000" w:themeColor="text1"/>
          <w:highlight w:val="none"/>
          <w14:textFill>
            <w14:solidFill>
              <w14:schemeClr w14:val="tx1"/>
            </w14:solidFill>
          </w14:textFill>
        </w:rPr>
        <w:t xml:space="preserve">  Monitoring and Alarm System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84</w:t>
      </w:r>
    </w:p>
    <w:p w14:paraId="44A6F560">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11.7</w:t>
      </w:r>
      <w:r>
        <w:rPr>
          <w:rFonts w:ascii="Times New Roman" w:hAnsi="Times New Roman" w:eastAsia="方正书宋简体" w:cs="Times New Roman"/>
          <w:color w:val="000000" w:themeColor="text1"/>
          <w:highlight w:val="none"/>
          <w14:textFill>
            <w14:solidFill>
              <w14:schemeClr w14:val="tx1"/>
            </w14:solidFill>
          </w14:textFill>
        </w:rPr>
        <w:t xml:space="preserve">  Drainage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86</w:t>
      </w:r>
    </w:p>
    <w:p w14:paraId="094F0F1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11.8</w:t>
      </w:r>
      <w:r>
        <w:rPr>
          <w:rFonts w:ascii="Times New Roman" w:hAnsi="Times New Roman" w:eastAsia="方正书宋简体" w:cs="Times New Roman"/>
          <w:color w:val="000000" w:themeColor="text1"/>
          <w:highlight w:val="none"/>
          <w14:textFill>
            <w14:solidFill>
              <w14:schemeClr w14:val="tx1"/>
            </w14:solidFill>
          </w14:textFill>
        </w:rPr>
        <w:t xml:space="preserve">  Sign System</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86</w:t>
      </w:r>
    </w:p>
    <w:p w14:paraId="767ECDCD">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12 </w:t>
      </w:r>
      <w:r>
        <w:rPr>
          <w:rFonts w:ascii="Times New Roman" w:hAnsi="Times New Roman" w:eastAsia="方正书宋简体" w:cs="Times New Roman"/>
          <w:color w:val="000000" w:themeColor="text1"/>
          <w:highlight w:val="none"/>
          <w14:textFill>
            <w14:solidFill>
              <w14:schemeClr w14:val="tx1"/>
            </w14:solidFill>
          </w14:textFill>
        </w:rPr>
        <w:t xml:space="preserve"> Pipeline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7C25C250">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12.1</w:t>
      </w:r>
      <w:r>
        <w:rPr>
          <w:rFonts w:ascii="Times New Roman" w:hAnsi="Times New Roman" w:eastAsia="方正书宋简体" w:cs="Times New Roman"/>
          <w:color w:val="000000" w:themeColor="text1"/>
          <w:highlight w:val="none"/>
          <w14:textFill>
            <w14:solidFill>
              <w14:schemeClr w14:val="tx1"/>
            </w14:solidFill>
          </w14:textFill>
        </w:rPr>
        <w:t xml:space="preserve">  General Requirement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433A149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12.2</w:t>
      </w:r>
      <w:r>
        <w:rPr>
          <w:rFonts w:ascii="Times New Roman" w:hAnsi="Times New Roman" w:eastAsia="方正书宋简体" w:cs="Times New Roman"/>
          <w:color w:val="000000" w:themeColor="text1"/>
          <w:highlight w:val="none"/>
          <w14:textFill>
            <w14:solidFill>
              <w14:schemeClr w14:val="tx1"/>
            </w14:solidFill>
          </w14:textFill>
        </w:rPr>
        <w:t xml:space="preserve">  Water Supply and Reclaimed Water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1F40661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12.3</w:t>
      </w:r>
      <w:r>
        <w:rPr>
          <w:rFonts w:ascii="Times New Roman" w:hAnsi="Times New Roman" w:eastAsia="方正书宋简体" w:cs="Times New Roman"/>
          <w:color w:val="000000" w:themeColor="text1"/>
          <w:highlight w:val="none"/>
          <w14:textFill>
            <w14:solidFill>
              <w14:schemeClr w14:val="tx1"/>
            </w14:solidFill>
          </w14:textFill>
        </w:rPr>
        <w:t xml:space="preserve">  Drainage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89</w:t>
      </w:r>
    </w:p>
    <w:p w14:paraId="5FEAD76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12.4</w:t>
      </w:r>
      <w:r>
        <w:rPr>
          <w:rFonts w:ascii="Times New Roman" w:hAnsi="Times New Roman" w:eastAsia="方正书宋简体" w:cs="Times New Roman"/>
          <w:color w:val="000000" w:themeColor="text1"/>
          <w:highlight w:val="none"/>
          <w14:textFill>
            <w14:solidFill>
              <w14:schemeClr w14:val="tx1"/>
            </w14:solidFill>
          </w14:textFill>
        </w:rPr>
        <w:t xml:space="preserve">  Natural Gas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89</w:t>
      </w:r>
    </w:p>
    <w:p w14:paraId="75E08CE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12.5</w:t>
      </w:r>
      <w:r>
        <w:rPr>
          <w:rFonts w:ascii="Times New Roman" w:hAnsi="Times New Roman" w:eastAsia="方正书宋简体" w:cs="Times New Roman"/>
          <w:color w:val="000000" w:themeColor="text1"/>
          <w:highlight w:val="none"/>
          <w14:textFill>
            <w14:solidFill>
              <w14:schemeClr w14:val="tx1"/>
            </w14:solidFill>
          </w14:textFill>
        </w:rPr>
        <w:t xml:space="preserve">  Heat Distribution Pipeline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90</w:t>
      </w:r>
    </w:p>
    <w:p w14:paraId="2CF342FC">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12.6</w:t>
      </w:r>
      <w:r>
        <w:rPr>
          <w:rFonts w:ascii="Times New Roman" w:hAnsi="Times New Roman" w:eastAsia="方正书宋简体" w:cs="Times New Roman"/>
          <w:color w:val="000000" w:themeColor="text1"/>
          <w:highlight w:val="none"/>
          <w14:textFill>
            <w14:solidFill>
              <w14:schemeClr w14:val="tx1"/>
            </w14:solidFill>
          </w14:textFill>
        </w:rPr>
        <w:t xml:space="preserve">  Power Cable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92</w:t>
      </w:r>
    </w:p>
    <w:p w14:paraId="6939BA7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12.7</w:t>
      </w:r>
      <w:r>
        <w:rPr>
          <w:rFonts w:ascii="Times New Roman" w:hAnsi="Times New Roman" w:eastAsia="方正书宋简体" w:cs="Times New Roman"/>
          <w:color w:val="000000" w:themeColor="text1"/>
          <w:highlight w:val="none"/>
          <w14:textFill>
            <w14:solidFill>
              <w14:schemeClr w14:val="tx1"/>
            </w14:solidFill>
          </w14:textFill>
        </w:rPr>
        <w:t xml:space="preserve">  Communications Cable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93</w:t>
      </w:r>
    </w:p>
    <w:p w14:paraId="519A3FBC">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Project Quality Acceptance and Data Management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95</w:t>
      </w:r>
    </w:p>
    <w:p w14:paraId="6C7842B7">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Quality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A</w:t>
      </w:r>
      <w:r>
        <w:rPr>
          <w:rFonts w:ascii="Times New Roman" w:hAnsi="Times New Roman" w:eastAsia="方正书宋简体" w:cs="Times New Roman"/>
          <w:color w:val="000000" w:themeColor="text1"/>
          <w:highlight w:val="none"/>
          <w14:textFill>
            <w14:solidFill>
              <w14:schemeClr w14:val="tx1"/>
            </w14:solidFill>
          </w14:textFill>
        </w:rPr>
        <w:t>cceptance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95</w:t>
      </w:r>
    </w:p>
    <w:p w14:paraId="5706F8B6">
      <w:pPr>
        <w:tabs>
          <w:tab w:val="right" w:leader="middleDot" w:pos="6096"/>
        </w:tabs>
        <w:overflowPunct w:val="0"/>
        <w:spacing w:line="348" w:lineRule="exact"/>
        <w:ind w:firstLine="422" w:firstLineChars="200"/>
        <w:rPr>
          <w:rFonts w:hint="default" w:ascii="Times New Roman" w:hAnsi="Times New Roman" w:eastAsia="方正书宋简体" w:cs="Times New Roman"/>
          <w:b/>
          <w:bCs/>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Data Management</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97</w:t>
      </w:r>
    </w:p>
    <w:p w14:paraId="164BC8C8">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Safe and Green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99</w:t>
      </w:r>
    </w:p>
    <w:p w14:paraId="7056A62A">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Safe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99</w:t>
      </w:r>
    </w:p>
    <w:p w14:paraId="27B09316">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Green Construction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101</w:t>
      </w:r>
    </w:p>
    <w:p w14:paraId="5D01036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15</w:t>
      </w:r>
      <w:r>
        <w:rPr>
          <w:rFonts w:ascii="Times New Roman" w:hAnsi="Times New Roman" w:eastAsia="方正书宋简体" w:cs="Times New Roman"/>
          <w:color w:val="000000" w:themeColor="text1"/>
          <w:highlight w:val="none"/>
          <w14:textFill>
            <w14:solidFill>
              <w14:schemeClr w14:val="tx1"/>
            </w14:solidFill>
          </w14:textFill>
        </w:rPr>
        <w:t xml:space="preserve">  Operation and Maintenance</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05</w:t>
      </w:r>
    </w:p>
    <w:p w14:paraId="0CECD51B">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黑体" w:cs="Times New Roman"/>
          <w:color w:val="000000" w:themeColor="text1"/>
          <w:highlight w:val="none"/>
          <w14:textFill>
            <w14:solidFill>
              <w14:schemeClr w14:val="tx1"/>
            </w14:solidFill>
          </w14:textFill>
        </w:rPr>
        <w:t>Appendix</w:t>
      </w:r>
      <w:r>
        <w:rPr>
          <w:rFonts w:ascii="Times New Roman" w:hAnsi="Times New Roman" w:eastAsia="方正书宋简体" w:cs="Times New Roman"/>
          <w:b/>
          <w:bCs/>
          <w:color w:val="000000" w:themeColor="text1"/>
          <w:highlight w:val="none"/>
          <w14:textFill>
            <w14:solidFill>
              <w14:schemeClr w14:val="tx1"/>
            </w14:solidFill>
          </w14:textFill>
        </w:rPr>
        <w:t>A</w:t>
      </w:r>
      <w:r>
        <w:rPr>
          <w:rFonts w:ascii="Times New Roman" w:hAnsi="Times New Roman" w:eastAsia="方正书宋简体" w:cs="Times New Roman"/>
          <w:color w:val="000000" w:themeColor="text1"/>
          <w:highlight w:val="none"/>
          <w14:textFill>
            <w14:solidFill>
              <w14:schemeClr w14:val="tx1"/>
            </w14:solidFill>
          </w14:textFill>
        </w:rPr>
        <w:t xml:space="preserve">  Calculation of Cable Heat Dissipation</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08</w:t>
      </w:r>
    </w:p>
    <w:p w14:paraId="41D778ED">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Explanation of Wording in This Standard</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11</w:t>
      </w:r>
    </w:p>
    <w:p w14:paraId="63E1D87F">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List of Quoted Standards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12</w:t>
      </w:r>
    </w:p>
    <w:p w14:paraId="2A5D1BEF">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Explanation of Provisions</w:t>
      </w:r>
      <w:r>
        <w:rPr>
          <w:rFonts w:hint="eastAsia"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7</w:t>
      </w:r>
    </w:p>
    <w:p w14:paraId="76F2E1D3">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08C93CC7">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sectPr>
          <w:footerReference r:id="rId7" w:type="first"/>
          <w:headerReference r:id="rId5" w:type="default"/>
          <w:footerReference r:id="rId6" w:type="default"/>
          <w:pgSz w:w="7937" w:h="11509"/>
          <w:pgMar w:top="1020" w:right="907" w:bottom="1020" w:left="907" w:header="737" w:footer="737" w:gutter="0"/>
          <w:pgNumType w:fmt="decimal" w:start="1"/>
          <w:cols w:space="0" w:num="1"/>
          <w:docGrid w:type="linesAndChars" w:linePitch="312" w:charSpace="233"/>
        </w:sectPr>
      </w:pPr>
    </w:p>
    <w:p w14:paraId="3F9CC5C7">
      <w:pPr>
        <w:pStyle w:val="2"/>
        <w:rPr>
          <w:color w:val="000000" w:themeColor="text1"/>
          <w:highlight w:val="none"/>
          <w14:textFill>
            <w14:solidFill>
              <w14:schemeClr w14:val="tx1"/>
            </w14:solidFill>
          </w14:textFill>
        </w:rPr>
      </w:pPr>
      <w:bookmarkStart w:id="5" w:name="_Toc37689721"/>
      <w:r>
        <w:rPr>
          <w:color w:val="000000" w:themeColor="text1"/>
          <w:highlight w:val="none"/>
          <w14:textFill>
            <w14:solidFill>
              <w14:schemeClr w14:val="tx1"/>
            </w14:solidFill>
          </w14:textFill>
        </w:rPr>
        <w:t xml:space="preserve">1  </w:t>
      </w:r>
      <w:r>
        <w:rPr>
          <w:b w:val="0"/>
          <w:bCs w:val="0"/>
          <w:color w:val="000000" w:themeColor="text1"/>
          <w:highlight w:val="none"/>
          <w14:textFill>
            <w14:solidFill>
              <w14:schemeClr w14:val="tx1"/>
            </w14:solidFill>
          </w14:textFill>
        </w:rPr>
        <w:t>总  则</w:t>
      </w:r>
      <w:bookmarkEnd w:id="5"/>
    </w:p>
    <w:p w14:paraId="2EEB6175">
      <w:pPr>
        <w:pStyle w:val="5"/>
        <w:rPr>
          <w:highlight w:val="none"/>
        </w:rPr>
      </w:pPr>
      <w:r>
        <w:rPr>
          <w:b/>
          <w:highlight w:val="none"/>
        </w:rPr>
        <w:t>1.0.1</w:t>
      </w:r>
      <w:r>
        <w:rPr>
          <w:highlight w:val="none"/>
        </w:rPr>
        <w:t xml:space="preserve">  为加强我省城市地下综合管廊建设工作，科学合理地开发利用城市地下空间，统筹综合管廊规划、勘察、设计、施工及验收、运营和维护工作，</w:t>
      </w:r>
      <w:r>
        <w:rPr>
          <w:rFonts w:hint="eastAsia"/>
          <w:highlight w:val="none"/>
        </w:rPr>
        <w:t>制定</w:t>
      </w:r>
      <w:r>
        <w:rPr>
          <w:highlight w:val="none"/>
        </w:rPr>
        <w:t>本标准。</w:t>
      </w:r>
    </w:p>
    <w:p w14:paraId="6FC9166E">
      <w:pPr>
        <w:pStyle w:val="5"/>
        <w:rPr>
          <w:highlight w:val="none"/>
        </w:rPr>
      </w:pPr>
      <w:r>
        <w:rPr>
          <w:b/>
          <w:highlight w:val="none"/>
        </w:rPr>
        <w:t>1.0.2</w:t>
      </w:r>
      <w:r>
        <w:rPr>
          <w:highlight w:val="none"/>
        </w:rPr>
        <w:t xml:space="preserve">  本标准适用于山西省行政区域内新建、扩建、改建城市综合管廊工程的规划、勘察、设计、施工及验收、维护管理。</w:t>
      </w:r>
    </w:p>
    <w:p w14:paraId="758E7A40">
      <w:pPr>
        <w:pStyle w:val="5"/>
        <w:rPr>
          <w:highlight w:val="none"/>
        </w:rPr>
      </w:pPr>
      <w:r>
        <w:rPr>
          <w:b/>
          <w:highlight w:val="none"/>
        </w:rPr>
        <w:t>1.0.3</w:t>
      </w:r>
      <w:r>
        <w:rPr>
          <w:highlight w:val="none"/>
        </w:rPr>
        <w:t xml:space="preserve">  综合管廊工程建设应遵循“规划先行、</w:t>
      </w:r>
      <w:r>
        <w:rPr>
          <w:rFonts w:hint="eastAsia"/>
          <w:highlight w:val="none"/>
          <w:u w:val="none"/>
        </w:rPr>
        <w:t>安全适用</w:t>
      </w:r>
      <w:r>
        <w:rPr>
          <w:highlight w:val="none"/>
          <w:u w:val="none"/>
        </w:rPr>
        <w:t>、</w:t>
      </w:r>
      <w:r>
        <w:rPr>
          <w:rFonts w:hint="eastAsia"/>
          <w:highlight w:val="none"/>
          <w:u w:val="none"/>
        </w:rPr>
        <w:t>经济合理、数字赋能、智慧引领</w:t>
      </w:r>
      <w:r>
        <w:rPr>
          <w:highlight w:val="none"/>
          <w:u w:val="none"/>
        </w:rPr>
        <w:t>、</w:t>
      </w:r>
      <w:r>
        <w:rPr>
          <w:highlight w:val="none"/>
        </w:rPr>
        <w:t>因地制宜、统筹兼顾”的原则，充分发挥综合管廊的综合效益。</w:t>
      </w:r>
    </w:p>
    <w:p w14:paraId="555B9DBE">
      <w:pPr>
        <w:pStyle w:val="5"/>
        <w:rPr>
          <w:highlight w:val="none"/>
        </w:rPr>
      </w:pPr>
      <w:r>
        <w:rPr>
          <w:b/>
          <w:highlight w:val="none"/>
        </w:rPr>
        <w:t>1.0.4</w:t>
      </w:r>
      <w:r>
        <w:rPr>
          <w:highlight w:val="none"/>
        </w:rPr>
        <w:t xml:space="preserve">  综合管廊工程的规划、勘察、设计、施工及验收、运营和维护除应符合本标准外，尚应符合国家、行业及山西省现行有关标准的规定。</w:t>
      </w:r>
    </w:p>
    <w:p w14:paraId="36BF7411">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16A07115">
      <w:pPr>
        <w:pStyle w:val="2"/>
        <w:rPr>
          <w:color w:val="000000" w:themeColor="text1"/>
          <w:highlight w:val="none"/>
          <w14:textFill>
            <w14:solidFill>
              <w14:schemeClr w14:val="tx1"/>
            </w14:solidFill>
          </w14:textFill>
        </w:rPr>
      </w:pPr>
      <w:bookmarkStart w:id="6" w:name="_Toc37689722"/>
      <w:r>
        <w:rPr>
          <w:color w:val="000000" w:themeColor="text1"/>
          <w:highlight w:val="none"/>
          <w14:textFill>
            <w14:solidFill>
              <w14:schemeClr w14:val="tx1"/>
            </w14:solidFill>
          </w14:textFill>
        </w:rPr>
        <w:t xml:space="preserve">2  </w:t>
      </w:r>
      <w:r>
        <w:rPr>
          <w:b w:val="0"/>
          <w:bCs w:val="0"/>
          <w:color w:val="000000" w:themeColor="text1"/>
          <w:highlight w:val="none"/>
          <w14:textFill>
            <w14:solidFill>
              <w14:schemeClr w14:val="tx1"/>
            </w14:solidFill>
          </w14:textFill>
        </w:rPr>
        <w:t>术</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语</w:t>
      </w:r>
      <w:bookmarkEnd w:id="6"/>
    </w:p>
    <w:p w14:paraId="241EE06A">
      <w:pPr>
        <w:pStyle w:val="5"/>
        <w:rPr>
          <w:highlight w:val="none"/>
        </w:rPr>
      </w:pPr>
      <w:r>
        <w:rPr>
          <w:b/>
          <w:highlight w:val="none"/>
        </w:rPr>
        <w:t>2.0.1</w:t>
      </w:r>
      <w:r>
        <w:rPr>
          <w:highlight w:val="none"/>
        </w:rPr>
        <w:t xml:space="preserve">  综合管廊  utility tunnel</w:t>
      </w:r>
    </w:p>
    <w:p w14:paraId="17EE2855">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建于城市地下用于容纳两类及以上城市工程管线、内部空间能够满足人员通行的构筑物及附属设施。包括干线综合管廊、支线综合管廊和小型综合管廊三类。</w:t>
      </w:r>
    </w:p>
    <w:p w14:paraId="7A36B761">
      <w:pPr>
        <w:pStyle w:val="5"/>
        <w:rPr>
          <w:highlight w:val="none"/>
          <w:u w:val="none"/>
        </w:rPr>
      </w:pPr>
      <w:r>
        <w:rPr>
          <w:b/>
          <w:highlight w:val="none"/>
          <w:u w:val="none"/>
        </w:rPr>
        <w:t>2.0.2</w:t>
      </w:r>
      <w:r>
        <w:rPr>
          <w:highlight w:val="none"/>
          <w:u w:val="none"/>
        </w:rPr>
        <w:t xml:space="preserve"> </w:t>
      </w:r>
      <w:r>
        <w:rPr>
          <w:color w:val="FF0000"/>
          <w:highlight w:val="none"/>
          <w:u w:val="none"/>
        </w:rPr>
        <w:t xml:space="preserve"> </w:t>
      </w:r>
      <w:r>
        <w:rPr>
          <w:highlight w:val="none"/>
          <w:u w:val="none"/>
        </w:rPr>
        <w:t>干线综合管廊  trunk utility tunnel</w:t>
      </w:r>
    </w:p>
    <w:p w14:paraId="229AB1EC">
      <w:pPr>
        <w:pStyle w:val="59"/>
        <w:rPr>
          <w:color w:val="FF0000"/>
          <w:highlight w:val="none"/>
          <w:u w:val="none"/>
        </w:rPr>
      </w:pPr>
      <w:r>
        <w:rPr>
          <w:rFonts w:hint="eastAsia"/>
          <w:color w:val="000000" w:themeColor="text1"/>
          <w:highlight w:val="none"/>
          <w:u w:val="none"/>
          <w14:textFill>
            <w14:solidFill>
              <w14:schemeClr w14:val="tx1"/>
            </w14:solidFill>
          </w14:textFill>
        </w:rPr>
        <w:t>主要容纳城市主干工程管线，一般不直接向沿线用户提供服务的综合管廊</w:t>
      </w:r>
      <w:r>
        <w:rPr>
          <w:color w:val="000000" w:themeColor="text1"/>
          <w:highlight w:val="none"/>
          <w:u w:val="none"/>
          <w14:textFill>
            <w14:solidFill>
              <w14:schemeClr w14:val="tx1"/>
            </w14:solidFill>
          </w14:textFill>
        </w:rPr>
        <w:t>。</w:t>
      </w:r>
    </w:p>
    <w:p w14:paraId="6D4317B2">
      <w:pPr>
        <w:pStyle w:val="5"/>
        <w:rPr>
          <w:highlight w:val="none"/>
          <w:u w:val="none"/>
        </w:rPr>
      </w:pPr>
      <w:r>
        <w:rPr>
          <w:b/>
          <w:highlight w:val="none"/>
          <w:u w:val="none"/>
        </w:rPr>
        <w:t>2.0.3</w:t>
      </w:r>
      <w:r>
        <w:rPr>
          <w:highlight w:val="none"/>
          <w:u w:val="none"/>
        </w:rPr>
        <w:t xml:space="preserve">  支线综合管廊  branch utility tunnel</w:t>
      </w:r>
    </w:p>
    <w:p w14:paraId="3D782D74">
      <w:pPr>
        <w:pStyle w:val="59"/>
        <w:rPr>
          <w:highlight w:val="none"/>
          <w:u w:val="none"/>
        </w:rPr>
      </w:pPr>
      <w:r>
        <w:rPr>
          <w:rFonts w:hint="eastAsia"/>
          <w:highlight w:val="none"/>
          <w:u w:val="none"/>
        </w:rPr>
        <w:t>容纳城市配给工程管线，直接向用户提供服务的综合管廊。</w:t>
      </w:r>
    </w:p>
    <w:p w14:paraId="27EF4059">
      <w:pPr>
        <w:pStyle w:val="5"/>
        <w:rPr>
          <w:highlight w:val="none"/>
          <w:u w:val="none"/>
          <w:bdr w:val="single" w:color="auto" w:sz="4" w:space="0"/>
        </w:rPr>
      </w:pPr>
      <w:r>
        <w:rPr>
          <w:b/>
          <w:highlight w:val="none"/>
          <w:u w:val="none"/>
        </w:rPr>
        <w:t>2.0.4</w:t>
      </w:r>
      <w:r>
        <w:rPr>
          <w:highlight w:val="none"/>
          <w:u w:val="none"/>
        </w:rPr>
        <w:t xml:space="preserve">  小型综合管廊 small utility tunnel</w:t>
      </w:r>
    </w:p>
    <w:p w14:paraId="007B93E9">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用于容纳小规模管网或末端配给工程管线，直接向用户提供服务的综合管廊。</w:t>
      </w:r>
    </w:p>
    <w:p w14:paraId="1CFBDE8E">
      <w:pPr>
        <w:pStyle w:val="5"/>
        <w:rPr>
          <w:highlight w:val="none"/>
          <w:u w:val="none"/>
        </w:rPr>
      </w:pPr>
      <w:r>
        <w:rPr>
          <w:b/>
          <w:highlight w:val="none"/>
          <w:u w:val="none"/>
        </w:rPr>
        <w:t xml:space="preserve">2.0.5 </w:t>
      </w:r>
      <w:r>
        <w:rPr>
          <w:highlight w:val="none"/>
          <w:u w:val="none"/>
        </w:rPr>
        <w:t xml:space="preserve"> 城市工程管线  urban engineering pipeline</w:t>
      </w:r>
    </w:p>
    <w:p w14:paraId="0595A436">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城市范围内为满足生活、生产需要的给水、雨水、污水、再生水、天然气、热力、电力、通信等市政公用管线，不包括工业管线。</w:t>
      </w:r>
    </w:p>
    <w:p w14:paraId="58C96F0D">
      <w:pPr>
        <w:pStyle w:val="5"/>
        <w:rPr>
          <w:highlight w:val="none"/>
          <w:u w:val="none"/>
        </w:rPr>
      </w:pPr>
      <w:r>
        <w:rPr>
          <w:b/>
          <w:highlight w:val="none"/>
          <w:u w:val="none"/>
        </w:rPr>
        <w:t xml:space="preserve">2.0.6 </w:t>
      </w:r>
      <w:r>
        <w:rPr>
          <w:highlight w:val="none"/>
          <w:u w:val="none"/>
        </w:rPr>
        <w:t xml:space="preserve"> 通信线缆  communication cable</w:t>
      </w:r>
    </w:p>
    <w:p w14:paraId="42B631D8">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用于传输信息数据电信号或光信号的各种导线的总称，包括通信光缆、通信电缆以及智能弱电系统的信号传输线缆。</w:t>
      </w:r>
    </w:p>
    <w:p w14:paraId="698F0574">
      <w:pPr>
        <w:pStyle w:val="5"/>
        <w:rPr>
          <w:highlight w:val="none"/>
          <w:u w:val="none"/>
        </w:rPr>
      </w:pPr>
      <w:r>
        <w:rPr>
          <w:b/>
          <w:highlight w:val="none"/>
          <w:u w:val="none"/>
        </w:rPr>
        <w:t>2.0.</w:t>
      </w:r>
      <w:r>
        <w:rPr>
          <w:rFonts w:hint="eastAsia"/>
          <w:b/>
          <w:highlight w:val="none"/>
          <w:u w:val="none"/>
          <w:lang w:val="en-US" w:eastAsia="zh-CN"/>
        </w:rPr>
        <w:t>7</w:t>
      </w:r>
      <w:r>
        <w:rPr>
          <w:highlight w:val="none"/>
          <w:u w:val="none"/>
        </w:rPr>
        <w:t xml:space="preserve">  吊装口  lifting hole</w:t>
      </w:r>
    </w:p>
    <w:p w14:paraId="2ED124A9">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用于将各种管线和设备吊入综合管廊内并满足人员出入而在综合管廊上开设的洞口。</w:t>
      </w:r>
    </w:p>
    <w:p w14:paraId="287821FD">
      <w:pPr>
        <w:pStyle w:val="5"/>
        <w:rPr>
          <w:highlight w:val="none"/>
          <w:u w:val="none"/>
        </w:rPr>
      </w:pPr>
      <w:r>
        <w:rPr>
          <w:b/>
          <w:highlight w:val="none"/>
          <w:u w:val="none"/>
        </w:rPr>
        <w:t>2.0.</w:t>
      </w:r>
      <w:r>
        <w:rPr>
          <w:rFonts w:hint="eastAsia"/>
          <w:b/>
          <w:highlight w:val="none"/>
          <w:u w:val="none"/>
          <w:lang w:val="en-US" w:eastAsia="zh-CN"/>
        </w:rPr>
        <w:t>8</w:t>
      </w:r>
      <w:r>
        <w:rPr>
          <w:highlight w:val="none"/>
          <w:u w:val="none"/>
        </w:rPr>
        <w:t xml:space="preserve">  通风口  air vent</w:t>
      </w:r>
    </w:p>
    <w:p w14:paraId="23BCC266">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供综合管廊内外部空气交换而开设的洞口。</w:t>
      </w:r>
    </w:p>
    <w:p w14:paraId="1B7A9494">
      <w:pPr>
        <w:pStyle w:val="5"/>
        <w:rPr>
          <w:highlight w:val="none"/>
          <w:u w:val="none"/>
        </w:rPr>
      </w:pPr>
      <w:r>
        <w:rPr>
          <w:b/>
          <w:highlight w:val="none"/>
          <w:u w:val="none"/>
        </w:rPr>
        <w:t>2.0.</w:t>
      </w:r>
      <w:r>
        <w:rPr>
          <w:rFonts w:hint="eastAsia"/>
          <w:b/>
          <w:highlight w:val="none"/>
          <w:u w:val="none"/>
          <w:lang w:val="en-US" w:eastAsia="zh-CN"/>
        </w:rPr>
        <w:t>9</w:t>
      </w:r>
      <w:r>
        <w:rPr>
          <w:highlight w:val="none"/>
          <w:u w:val="none"/>
        </w:rPr>
        <w:t xml:space="preserve">  管线分支口junction for pipe or cable</w:t>
      </w:r>
    </w:p>
    <w:p w14:paraId="48A2BD38">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综合管廊内部管线和外部直埋管线相衔接的部位。</w:t>
      </w:r>
    </w:p>
    <w:p w14:paraId="2641E3D0">
      <w:pPr>
        <w:pStyle w:val="5"/>
        <w:rPr>
          <w:highlight w:val="none"/>
          <w:u w:val="none"/>
        </w:rPr>
      </w:pPr>
      <w:r>
        <w:rPr>
          <w:b/>
          <w:highlight w:val="none"/>
          <w:u w:val="none"/>
        </w:rPr>
        <w:t>2.0.1</w:t>
      </w:r>
      <w:r>
        <w:rPr>
          <w:rFonts w:hint="eastAsia"/>
          <w:b/>
          <w:highlight w:val="none"/>
          <w:u w:val="none"/>
          <w:lang w:val="en-US" w:eastAsia="zh-CN"/>
        </w:rPr>
        <w:t>0</w:t>
      </w:r>
      <w:r>
        <w:rPr>
          <w:highlight w:val="none"/>
          <w:u w:val="none"/>
        </w:rPr>
        <w:t xml:space="preserve">  集水坑  sump pit</w:t>
      </w:r>
    </w:p>
    <w:p w14:paraId="48CD6D91">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用</w:t>
      </w:r>
      <w:r>
        <w:rPr>
          <w:rFonts w:hint="eastAsia"/>
          <w:highlight w:val="none"/>
          <w:u w:val="none"/>
        </w:rPr>
        <w:t>于</w:t>
      </w:r>
      <w:r>
        <w:rPr>
          <w:color w:val="000000" w:themeColor="text1"/>
          <w:highlight w:val="none"/>
          <w:u w:val="none"/>
          <w14:textFill>
            <w14:solidFill>
              <w14:schemeClr w14:val="tx1"/>
            </w14:solidFill>
          </w14:textFill>
        </w:rPr>
        <w:t>收集综合管廊内部渗漏水或供水管道排空水、消防积水的构筑物。</w:t>
      </w:r>
    </w:p>
    <w:p w14:paraId="0BF126B3">
      <w:pPr>
        <w:pStyle w:val="5"/>
        <w:rPr>
          <w:highlight w:val="none"/>
          <w:u w:val="none"/>
        </w:rPr>
      </w:pPr>
      <w:r>
        <w:rPr>
          <w:b/>
          <w:highlight w:val="none"/>
          <w:u w:val="none"/>
        </w:rPr>
        <w:t>2.0.1</w:t>
      </w:r>
      <w:r>
        <w:rPr>
          <w:rFonts w:hint="eastAsia"/>
          <w:b/>
          <w:highlight w:val="none"/>
          <w:u w:val="none"/>
          <w:lang w:val="en-US" w:eastAsia="zh-CN"/>
        </w:rPr>
        <w:t>1</w:t>
      </w:r>
      <w:r>
        <w:rPr>
          <w:highlight w:val="none"/>
          <w:u w:val="none"/>
        </w:rPr>
        <w:t xml:space="preserve">  安全标识  safety mark</w:t>
      </w:r>
    </w:p>
    <w:p w14:paraId="3D665E65">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为便于综合管廊内部管线分类管理、安全引导、警告警示而设置的铭牌或颜色标识。</w:t>
      </w:r>
    </w:p>
    <w:p w14:paraId="1B401977">
      <w:pPr>
        <w:pStyle w:val="5"/>
        <w:rPr>
          <w:highlight w:val="none"/>
          <w:u w:val="none"/>
        </w:rPr>
      </w:pPr>
      <w:r>
        <w:rPr>
          <w:b/>
          <w:highlight w:val="none"/>
          <w:u w:val="none"/>
        </w:rPr>
        <w:t>2.0.1</w:t>
      </w:r>
      <w:r>
        <w:rPr>
          <w:rFonts w:hint="eastAsia"/>
          <w:b/>
          <w:highlight w:val="none"/>
          <w:u w:val="none"/>
          <w:lang w:val="en-US" w:eastAsia="zh-CN"/>
        </w:rPr>
        <w:t>2</w:t>
      </w:r>
      <w:r>
        <w:rPr>
          <w:b/>
          <w:highlight w:val="none"/>
          <w:u w:val="none"/>
        </w:rPr>
        <w:t xml:space="preserve"> </w:t>
      </w:r>
      <w:r>
        <w:rPr>
          <w:highlight w:val="none"/>
          <w:u w:val="none"/>
        </w:rPr>
        <w:t xml:space="preserve"> 舱室  compartment</w:t>
      </w:r>
    </w:p>
    <w:p w14:paraId="051DBCBB">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由结构本体或防火墙分割的用于敷设管线的封闭空间。</w:t>
      </w:r>
    </w:p>
    <w:p w14:paraId="1CA3A535">
      <w:pPr>
        <w:pStyle w:val="5"/>
        <w:rPr>
          <w:highlight w:val="none"/>
          <w:u w:val="none"/>
        </w:rPr>
      </w:pPr>
      <w:r>
        <w:rPr>
          <w:b/>
          <w:highlight w:val="none"/>
          <w:u w:val="none"/>
        </w:rPr>
        <w:t>2.0.1</w:t>
      </w:r>
      <w:r>
        <w:rPr>
          <w:rFonts w:hint="eastAsia"/>
          <w:b/>
          <w:highlight w:val="none"/>
          <w:u w:val="none"/>
          <w:lang w:val="en-US" w:eastAsia="zh-CN"/>
        </w:rPr>
        <w:t>3</w:t>
      </w:r>
      <w:r>
        <w:rPr>
          <w:b/>
          <w:highlight w:val="none"/>
          <w:u w:val="none"/>
        </w:rPr>
        <w:t xml:space="preserve"> </w:t>
      </w:r>
      <w:r>
        <w:rPr>
          <w:highlight w:val="none"/>
          <w:u w:val="none"/>
        </w:rPr>
        <w:t xml:space="preserve"> 重点防护区域  key protection area</w:t>
      </w:r>
    </w:p>
    <w:p w14:paraId="79322D3A">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指综合管廊中容纳电力电缆舱室的电缆接头区、接头集中敷设区和综合管廊中天然气管道舱等容易发生可燃气体泄漏的区域。</w:t>
      </w:r>
    </w:p>
    <w:p w14:paraId="135CFFC6">
      <w:pPr>
        <w:overflowPunct w:val="0"/>
        <w:spacing w:line="348" w:lineRule="exact"/>
        <w:jc w:val="left"/>
        <w:rPr>
          <w:rFonts w:ascii="Times New Roman" w:hAnsi="Times New Roman" w:eastAsia="方正书宋简体" w:cs="Times New Roman"/>
          <w:b/>
          <w:bCs/>
          <w:color w:val="000000" w:themeColor="text1"/>
          <w:kern w:val="44"/>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br w:type="page"/>
      </w:r>
    </w:p>
    <w:p w14:paraId="61E4D5D0">
      <w:pPr>
        <w:pStyle w:val="2"/>
        <w:rPr>
          <w:color w:val="000000" w:themeColor="text1"/>
          <w:highlight w:val="none"/>
          <w:u w:val="none"/>
          <w14:textFill>
            <w14:solidFill>
              <w14:schemeClr w14:val="tx1"/>
            </w14:solidFill>
          </w14:textFill>
        </w:rPr>
      </w:pPr>
      <w:bookmarkStart w:id="7" w:name="_Toc37689725"/>
      <w:r>
        <w:rPr>
          <w:color w:val="000000" w:themeColor="text1"/>
          <w:highlight w:val="none"/>
          <w:u w:val="none"/>
          <w14:textFill>
            <w14:solidFill>
              <w14:schemeClr w14:val="tx1"/>
            </w14:solidFill>
          </w14:textFill>
        </w:rPr>
        <w:t xml:space="preserve">3  </w:t>
      </w:r>
      <w:r>
        <w:rPr>
          <w:b w:val="0"/>
          <w:bCs w:val="0"/>
          <w:color w:val="000000" w:themeColor="text1"/>
          <w:highlight w:val="none"/>
          <w:u w:val="none"/>
          <w14:textFill>
            <w14:solidFill>
              <w14:schemeClr w14:val="tx1"/>
            </w14:solidFill>
          </w14:textFill>
        </w:rPr>
        <w:t>基</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本</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规</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定</w:t>
      </w:r>
      <w:bookmarkEnd w:id="7"/>
    </w:p>
    <w:p w14:paraId="7B9909AE">
      <w:pPr>
        <w:pStyle w:val="5"/>
        <w:rPr>
          <w:highlight w:val="none"/>
          <w:u w:val="none"/>
        </w:rPr>
      </w:pPr>
      <w:r>
        <w:rPr>
          <w:b/>
          <w:highlight w:val="none"/>
          <w:u w:val="none"/>
        </w:rPr>
        <w:t>3.0.1</w:t>
      </w:r>
      <w:r>
        <w:rPr>
          <w:highlight w:val="none"/>
          <w:u w:val="none"/>
        </w:rPr>
        <w:t xml:space="preserve">  给水、再生水、</w:t>
      </w:r>
      <w:r>
        <w:rPr>
          <w:rFonts w:hint="eastAsia"/>
          <w:highlight w:val="none"/>
          <w:u w:val="none"/>
        </w:rPr>
        <w:t>雨水</w:t>
      </w:r>
      <w:r>
        <w:rPr>
          <w:highlight w:val="none"/>
          <w:u w:val="none"/>
        </w:rPr>
        <w:t>、</w:t>
      </w:r>
      <w:r>
        <w:rPr>
          <w:rFonts w:hint="eastAsia"/>
          <w:highlight w:val="none"/>
          <w:u w:val="none"/>
        </w:rPr>
        <w:t>污水</w:t>
      </w:r>
      <w:r>
        <w:rPr>
          <w:highlight w:val="none"/>
          <w:u w:val="none"/>
        </w:rPr>
        <w:t>、天然气、热力、电力、通信、气动垃圾输送等城市工程管线可纳入综合管廊。</w:t>
      </w:r>
    </w:p>
    <w:p w14:paraId="0FFB1FB0">
      <w:pPr>
        <w:pStyle w:val="5"/>
        <w:rPr>
          <w:highlight w:val="none"/>
          <w:u w:val="none"/>
        </w:rPr>
      </w:pPr>
      <w:r>
        <w:rPr>
          <w:b/>
          <w:highlight w:val="none"/>
          <w:u w:val="none"/>
        </w:rPr>
        <w:t>3.0.2</w:t>
      </w:r>
      <w:r>
        <w:rPr>
          <w:highlight w:val="none"/>
          <w:u w:val="none"/>
        </w:rPr>
        <w:t xml:space="preserve">  综合管廊工程建设应符合综合管廊工程专项规划。</w:t>
      </w:r>
    </w:p>
    <w:p w14:paraId="22E8D850">
      <w:pPr>
        <w:pStyle w:val="5"/>
        <w:rPr>
          <w:highlight w:val="none"/>
          <w:u w:val="none"/>
        </w:rPr>
      </w:pPr>
      <w:r>
        <w:rPr>
          <w:b/>
          <w:highlight w:val="none"/>
          <w:u w:val="none"/>
        </w:rPr>
        <w:t xml:space="preserve">3.0.3 </w:t>
      </w:r>
      <w:r>
        <w:rPr>
          <w:highlight w:val="none"/>
          <w:u w:val="none"/>
        </w:rPr>
        <w:t xml:space="preserve"> 综合管廊工程应结合新区建设、旧城改造、道路新（扩、改）建，在城市重要地段和管线密集区规划建设。</w:t>
      </w:r>
    </w:p>
    <w:p w14:paraId="15BC293F">
      <w:pPr>
        <w:pStyle w:val="5"/>
        <w:rPr>
          <w:highlight w:val="none"/>
          <w:u w:val="none"/>
        </w:rPr>
      </w:pPr>
      <w:r>
        <w:rPr>
          <w:b/>
          <w:highlight w:val="none"/>
          <w:u w:val="none"/>
        </w:rPr>
        <w:t xml:space="preserve">3.0.4 </w:t>
      </w:r>
      <w:r>
        <w:rPr>
          <w:highlight w:val="none"/>
          <w:u w:val="none"/>
        </w:rPr>
        <w:t xml:space="preserve"> 综合管廊应与所在道路同步建设，城市老（旧）城区综合管廊建设宜结合地下空间开发、城市更新、道路改造、地下主要管线改造等项目同步进行。</w:t>
      </w:r>
    </w:p>
    <w:p w14:paraId="4FA9CD7F">
      <w:pPr>
        <w:pStyle w:val="5"/>
        <w:rPr>
          <w:highlight w:val="none"/>
          <w:u w:val="none"/>
        </w:rPr>
      </w:pPr>
      <w:r>
        <w:rPr>
          <w:b/>
          <w:highlight w:val="none"/>
          <w:u w:val="none"/>
        </w:rPr>
        <w:t xml:space="preserve">3.0.5 </w:t>
      </w:r>
      <w:r>
        <w:rPr>
          <w:highlight w:val="none"/>
          <w:u w:val="none"/>
        </w:rPr>
        <w:t xml:space="preserve"> 综合管廊工程</w:t>
      </w:r>
      <w:r>
        <w:rPr>
          <w:rFonts w:hint="eastAsia"/>
          <w:color w:val="auto"/>
          <w:highlight w:val="none"/>
          <w:u w:val="none"/>
        </w:rPr>
        <w:t>专项</w:t>
      </w:r>
      <w:r>
        <w:rPr>
          <w:highlight w:val="none"/>
          <w:u w:val="none"/>
        </w:rPr>
        <w:t>规划与建设应与地下空间、环境景观等相关城市基础设施衔接、协调。</w:t>
      </w:r>
    </w:p>
    <w:p w14:paraId="0ACD6D44">
      <w:pPr>
        <w:pStyle w:val="5"/>
        <w:rPr>
          <w:highlight w:val="none"/>
          <w:u w:val="none"/>
        </w:rPr>
      </w:pPr>
      <w:r>
        <w:rPr>
          <w:b/>
          <w:highlight w:val="none"/>
          <w:u w:val="none"/>
        </w:rPr>
        <w:t>3.0.6</w:t>
      </w:r>
      <w:r>
        <w:rPr>
          <w:highlight w:val="none"/>
          <w:u w:val="none"/>
        </w:rPr>
        <w:t xml:space="preserve">  综合管廊工程建设应符合现行</w:t>
      </w:r>
      <w:r>
        <w:rPr>
          <w:rFonts w:hint="eastAsia"/>
          <w:highlight w:val="none"/>
          <w:u w:val="none"/>
        </w:rPr>
        <w:t>国家行业标准</w:t>
      </w:r>
      <w:r>
        <w:rPr>
          <w:highlight w:val="none"/>
          <w:u w:val="none"/>
        </w:rPr>
        <w:t>的有关规定。</w:t>
      </w:r>
      <w:r>
        <w:rPr>
          <w:b/>
          <w:highlight w:val="none"/>
          <w:u w:val="none"/>
        </w:rPr>
        <w:t>3.0.7</w:t>
      </w:r>
      <w:r>
        <w:rPr>
          <w:highlight w:val="none"/>
          <w:u w:val="none"/>
        </w:rPr>
        <w:t xml:space="preserve">  综合管廊的附属设施应符合下列规定：</w:t>
      </w:r>
    </w:p>
    <w:p w14:paraId="05E56E6C">
      <w:pPr>
        <w:pStyle w:val="59"/>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干线综合管廊、支线综合管廊应同步建设消防、供电、照明、监控与报警、通风、排水、标识等附属设施系统；</w:t>
      </w:r>
    </w:p>
    <w:p w14:paraId="4DC9D8DC">
      <w:pPr>
        <w:pStyle w:val="59"/>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小型综合管廊应根据入廊管线运行维护要求，同步建设通风、排水、消防、标识、防入侵等附属设施。</w:t>
      </w:r>
    </w:p>
    <w:p w14:paraId="099F462E">
      <w:pPr>
        <w:pStyle w:val="5"/>
        <w:rPr>
          <w:highlight w:val="none"/>
          <w:u w:val="none"/>
          <w:bdr w:val="single" w:color="auto" w:sz="4" w:space="0"/>
        </w:rPr>
      </w:pPr>
      <w:r>
        <w:rPr>
          <w:b/>
          <w:highlight w:val="none"/>
          <w:u w:val="none"/>
        </w:rPr>
        <w:t>3.0.8</w:t>
      </w:r>
      <w:r>
        <w:rPr>
          <w:highlight w:val="none"/>
          <w:u w:val="none"/>
        </w:rPr>
        <w:t xml:space="preserve">  纳入综合管廊的管线应进行专项管线设计。</w:t>
      </w:r>
    </w:p>
    <w:p w14:paraId="376A3D87">
      <w:pPr>
        <w:pStyle w:val="5"/>
        <w:rPr>
          <w:highlight w:val="none"/>
          <w:u w:val="none"/>
        </w:rPr>
      </w:pPr>
      <w:r>
        <w:rPr>
          <w:b/>
          <w:highlight w:val="none"/>
          <w:u w:val="none"/>
        </w:rPr>
        <w:t>3.0.9</w:t>
      </w:r>
      <w:r>
        <w:rPr>
          <w:highlight w:val="none"/>
          <w:u w:val="none"/>
        </w:rPr>
        <w:t xml:space="preserve">  纳入综合管廊的工程管线设计应符合综合管廊总体设计的规定及国家现行相应管线设计标准的规定。</w:t>
      </w:r>
    </w:p>
    <w:p w14:paraId="4F98C712">
      <w:pPr>
        <w:pStyle w:val="5"/>
        <w:rPr>
          <w:highlight w:val="none"/>
          <w:u w:val="none"/>
        </w:rPr>
      </w:pPr>
      <w:r>
        <w:rPr>
          <w:b/>
          <w:highlight w:val="none"/>
          <w:u w:val="none"/>
        </w:rPr>
        <w:t>3.0.10</w:t>
      </w:r>
      <w:r>
        <w:rPr>
          <w:highlight w:val="none"/>
          <w:u w:val="none"/>
        </w:rPr>
        <w:t xml:space="preserve">  综合管廊的建设应贯彻落实国家环境保护、绿色建筑相关法律和法规的要求，采用绿色规划、绿色设计、绿色施工三个手段，遵照线路最优、断面最优、资源投入最少、废弃物排放最少、对周边环境影响最小的原则，积极采用节材、节水、节能、节地各项新技术，实现绿色建造的目的。</w:t>
      </w:r>
    </w:p>
    <w:p w14:paraId="2415381A">
      <w:pPr>
        <w:pStyle w:val="5"/>
        <w:rPr>
          <w:highlight w:val="none"/>
          <w:u w:val="none"/>
        </w:rPr>
      </w:pPr>
      <w:r>
        <w:rPr>
          <w:b/>
          <w:highlight w:val="none"/>
          <w:u w:val="none"/>
        </w:rPr>
        <w:t>3.0.11</w:t>
      </w:r>
      <w:r>
        <w:rPr>
          <w:highlight w:val="none"/>
          <w:u w:val="none"/>
        </w:rPr>
        <w:t xml:space="preserve">  综合管廊安全标志应符合现行国家标准《安全标志及其使用导则》GB 2894的有关规定。</w:t>
      </w:r>
    </w:p>
    <w:p w14:paraId="12BA8349">
      <w:pPr>
        <w:pStyle w:val="5"/>
        <w:rPr>
          <w:highlight w:val="none"/>
          <w:u w:val="none"/>
        </w:rPr>
      </w:pPr>
      <w:r>
        <w:rPr>
          <w:rFonts w:hint="eastAsia"/>
          <w:b/>
          <w:highlight w:val="none"/>
          <w:u w:val="none"/>
        </w:rPr>
        <w:t>3</w:t>
      </w:r>
      <w:r>
        <w:rPr>
          <w:b/>
          <w:highlight w:val="none"/>
          <w:u w:val="none"/>
        </w:rPr>
        <w:t>.</w:t>
      </w:r>
      <w:r>
        <w:rPr>
          <w:rFonts w:hint="eastAsia"/>
          <w:b/>
          <w:highlight w:val="none"/>
          <w:u w:val="none"/>
        </w:rPr>
        <w:t>0</w:t>
      </w:r>
      <w:r>
        <w:rPr>
          <w:b/>
          <w:highlight w:val="none"/>
          <w:u w:val="none"/>
        </w:rPr>
        <w:t>.1</w:t>
      </w:r>
      <w:r>
        <w:rPr>
          <w:rFonts w:hint="eastAsia"/>
          <w:b/>
          <w:highlight w:val="none"/>
          <w:u w:val="none"/>
        </w:rPr>
        <w:t>2</w:t>
      </w:r>
      <w:r>
        <w:rPr>
          <w:highlight w:val="none"/>
          <w:u w:val="none"/>
        </w:rPr>
        <w:t xml:space="preserve">  积极采用“BIM+GIS”三维数字化技术，有效提高地下综合管廊工程的建设和管理水平。</w:t>
      </w:r>
    </w:p>
    <w:p w14:paraId="2C711517">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679548B4">
      <w:pPr>
        <w:pStyle w:val="2"/>
        <w:rPr>
          <w:color w:val="000000" w:themeColor="text1"/>
          <w:highlight w:val="none"/>
          <w14:textFill>
            <w14:solidFill>
              <w14:schemeClr w14:val="tx1"/>
            </w14:solidFill>
          </w14:textFill>
        </w:rPr>
      </w:pPr>
      <w:bookmarkStart w:id="8" w:name="_Toc37689726"/>
      <w:r>
        <w:rPr>
          <w:color w:val="000000" w:themeColor="text1"/>
          <w:highlight w:val="none"/>
          <w14:textFill>
            <w14:solidFill>
              <w14:schemeClr w14:val="tx1"/>
            </w14:solidFill>
          </w14:textFill>
        </w:rPr>
        <w:t xml:space="preserve">4  </w:t>
      </w:r>
      <w:r>
        <w:rPr>
          <w:b w:val="0"/>
          <w:bCs w:val="0"/>
          <w:color w:val="000000" w:themeColor="text1"/>
          <w:highlight w:val="none"/>
          <w14:textFill>
            <w14:solidFill>
              <w14:schemeClr w14:val="tx1"/>
            </w14:solidFill>
          </w14:textFill>
        </w:rPr>
        <w:t>系 统 规 划</w:t>
      </w:r>
      <w:bookmarkEnd w:id="8"/>
    </w:p>
    <w:p w14:paraId="65131D05">
      <w:pPr>
        <w:pStyle w:val="4"/>
        <w:spacing w:before="156" w:after="156"/>
        <w:rPr>
          <w:color w:val="000000" w:themeColor="text1"/>
          <w:highlight w:val="none"/>
          <w:u w:val="none"/>
          <w14:textFill>
            <w14:solidFill>
              <w14:schemeClr w14:val="tx1"/>
            </w14:solidFill>
          </w14:textFill>
        </w:rPr>
      </w:pPr>
      <w:bookmarkStart w:id="9" w:name="_Toc37689727"/>
      <w:r>
        <w:rPr>
          <w:b/>
          <w:bCs w:val="0"/>
          <w:color w:val="000000" w:themeColor="text1"/>
          <w:highlight w:val="none"/>
          <w:u w:val="none"/>
          <w14:textFill>
            <w14:solidFill>
              <w14:schemeClr w14:val="tx1"/>
            </w14:solidFill>
          </w14:textFill>
        </w:rPr>
        <w:t>4.1</w:t>
      </w:r>
      <w:r>
        <w:rPr>
          <w:color w:val="000000" w:themeColor="text1"/>
          <w:highlight w:val="none"/>
          <w:u w:val="none"/>
          <w14:textFill>
            <w14:solidFill>
              <w14:schemeClr w14:val="tx1"/>
            </w14:solidFill>
          </w14:textFill>
        </w:rPr>
        <w:t xml:space="preserve">  一 般 规 定</w:t>
      </w:r>
      <w:bookmarkEnd w:id="9"/>
    </w:p>
    <w:p w14:paraId="03F7EF6E">
      <w:pPr>
        <w:pStyle w:val="5"/>
        <w:rPr>
          <w:highlight w:val="none"/>
          <w:u w:val="none"/>
        </w:rPr>
      </w:pPr>
      <w:r>
        <w:rPr>
          <w:b/>
          <w:highlight w:val="none"/>
          <w:u w:val="none"/>
        </w:rPr>
        <w:t>4.1.1</w:t>
      </w:r>
      <w:r>
        <w:rPr>
          <w:highlight w:val="none"/>
          <w:u w:val="none"/>
        </w:rPr>
        <w:t xml:space="preserve">  综合管廊工程</w:t>
      </w:r>
      <w:r>
        <w:rPr>
          <w:color w:val="auto"/>
          <w:highlight w:val="none"/>
          <w:u w:val="none"/>
        </w:rPr>
        <w:t>专项</w:t>
      </w:r>
      <w:r>
        <w:rPr>
          <w:highlight w:val="none"/>
          <w:u w:val="none"/>
        </w:rPr>
        <w:t>规划应符合城市总体规划的要求，规划年限、规划范围应与城市总体规划一致，并应预留远景发展空间。</w:t>
      </w:r>
    </w:p>
    <w:p w14:paraId="6B35D87A">
      <w:pPr>
        <w:pStyle w:val="5"/>
        <w:rPr>
          <w:highlight w:val="none"/>
          <w:u w:val="none"/>
        </w:rPr>
      </w:pPr>
      <w:r>
        <w:rPr>
          <w:b/>
          <w:highlight w:val="none"/>
          <w:u w:val="none"/>
        </w:rPr>
        <w:t>4.1.2</w:t>
      </w:r>
      <w:r>
        <w:rPr>
          <w:highlight w:val="none"/>
          <w:u w:val="none"/>
        </w:rPr>
        <w:t xml:space="preserve">  综合管廊工程</w:t>
      </w:r>
      <w:r>
        <w:rPr>
          <w:color w:val="auto"/>
          <w:highlight w:val="none"/>
          <w:u w:val="none"/>
        </w:rPr>
        <w:t>专项</w:t>
      </w:r>
      <w:r>
        <w:rPr>
          <w:highlight w:val="none"/>
          <w:u w:val="none"/>
        </w:rPr>
        <w:t>规划应坚持因地制宜、远近结合、统一规划、统筹建设的原则。</w:t>
      </w:r>
    </w:p>
    <w:p w14:paraId="195772C2">
      <w:pPr>
        <w:pStyle w:val="5"/>
        <w:rPr>
          <w:highlight w:val="none"/>
          <w:u w:val="none"/>
        </w:rPr>
      </w:pPr>
      <w:r>
        <w:rPr>
          <w:b/>
          <w:highlight w:val="none"/>
          <w:u w:val="none"/>
        </w:rPr>
        <w:t>4.1.3</w:t>
      </w:r>
      <w:r>
        <w:rPr>
          <w:highlight w:val="none"/>
          <w:u w:val="none"/>
        </w:rPr>
        <w:t xml:space="preserve">  综合管廊工程</w:t>
      </w:r>
      <w:r>
        <w:rPr>
          <w:color w:val="auto"/>
          <w:highlight w:val="none"/>
          <w:u w:val="none"/>
        </w:rPr>
        <w:t>专项</w:t>
      </w:r>
      <w:r>
        <w:rPr>
          <w:highlight w:val="none"/>
          <w:u w:val="none"/>
        </w:rPr>
        <w:t>规划应与城市地下空间规划、海绵城市专项规划、工程管线专项规划及管线综合规划相衔接；综合管廊</w:t>
      </w:r>
      <w:r>
        <w:rPr>
          <w:color w:val="auto"/>
          <w:highlight w:val="none"/>
          <w:u w:val="none"/>
        </w:rPr>
        <w:t>工程专项</w:t>
      </w:r>
      <w:r>
        <w:rPr>
          <w:highlight w:val="none"/>
          <w:u w:val="none"/>
        </w:rPr>
        <w:t>规划应分析</w:t>
      </w:r>
      <w:r>
        <w:rPr>
          <w:rFonts w:hint="eastAsia"/>
          <w:color w:val="auto"/>
          <w:highlight w:val="none"/>
          <w:u w:val="none"/>
        </w:rPr>
        <w:t>重力流</w:t>
      </w:r>
      <w:r>
        <w:rPr>
          <w:highlight w:val="none"/>
          <w:u w:val="none"/>
        </w:rPr>
        <w:t>管道纳入综合管廊的条件并提出规划建议。</w:t>
      </w:r>
    </w:p>
    <w:p w14:paraId="04C2E490">
      <w:pPr>
        <w:pStyle w:val="5"/>
        <w:rPr>
          <w:highlight w:val="none"/>
          <w:u w:val="none"/>
        </w:rPr>
      </w:pPr>
      <w:r>
        <w:rPr>
          <w:b/>
          <w:highlight w:val="none"/>
          <w:u w:val="none"/>
        </w:rPr>
        <w:t>4.1.4</w:t>
      </w:r>
      <w:r>
        <w:rPr>
          <w:highlight w:val="none"/>
          <w:u w:val="none"/>
        </w:rPr>
        <w:t xml:space="preserve">  综合管廊工程专项规划应统筹地上、地下空间布局，协调综合管廊工程与其他地上、地下工程的空间关系。</w:t>
      </w:r>
    </w:p>
    <w:p w14:paraId="03B2C75F">
      <w:pPr>
        <w:pStyle w:val="5"/>
        <w:rPr>
          <w:highlight w:val="none"/>
          <w:u w:val="none"/>
        </w:rPr>
      </w:pPr>
      <w:r>
        <w:rPr>
          <w:b/>
          <w:highlight w:val="none"/>
          <w:u w:val="none"/>
        </w:rPr>
        <w:t>4.1.5</w:t>
      </w:r>
      <w:r>
        <w:rPr>
          <w:highlight w:val="none"/>
          <w:u w:val="none"/>
        </w:rPr>
        <w:t xml:space="preserve">  综合管廊工程</w:t>
      </w:r>
      <w:r>
        <w:rPr>
          <w:color w:val="auto"/>
          <w:highlight w:val="none"/>
          <w:u w:val="none"/>
        </w:rPr>
        <w:t>专项</w:t>
      </w:r>
      <w:r>
        <w:rPr>
          <w:highlight w:val="none"/>
          <w:u w:val="none"/>
        </w:rPr>
        <w:t>规划应包含必要性和可行性分析、规划目标和规模、规划布局、管线入廊分析、管廊断面选型、三维控制线划定、重要节点控制、监控中心及附属构筑物、附属设施、安全防灾、绿色智慧、建设时序、投资估算、保障措施等内容。</w:t>
      </w:r>
    </w:p>
    <w:p w14:paraId="4F184098">
      <w:pPr>
        <w:pStyle w:val="5"/>
        <w:rPr>
          <w:highlight w:val="none"/>
          <w:u w:val="none"/>
        </w:rPr>
      </w:pPr>
      <w:bookmarkStart w:id="10" w:name="_Toc37689728"/>
      <w:r>
        <w:rPr>
          <w:b/>
          <w:highlight w:val="none"/>
          <w:u w:val="none"/>
        </w:rPr>
        <w:t>4.1.6</w:t>
      </w:r>
      <w:r>
        <w:rPr>
          <w:highlight w:val="none"/>
          <w:u w:val="none"/>
        </w:rPr>
        <w:t xml:space="preserve">  综合管廊近期建设</w:t>
      </w:r>
      <w:r>
        <w:rPr>
          <w:rFonts w:hint="eastAsia"/>
          <w:color w:val="auto"/>
          <w:highlight w:val="none"/>
          <w:u w:val="none"/>
        </w:rPr>
        <w:t>计划</w:t>
      </w:r>
      <w:r>
        <w:rPr>
          <w:highlight w:val="none"/>
          <w:u w:val="none"/>
        </w:rPr>
        <w:t>应与城市更新</w:t>
      </w:r>
      <w:r>
        <w:rPr>
          <w:rFonts w:hint="eastAsia"/>
          <w:highlight w:val="none"/>
          <w:u w:val="none"/>
        </w:rPr>
        <w:t>、</w:t>
      </w:r>
      <w:r>
        <w:rPr>
          <w:highlight w:val="none"/>
          <w:u w:val="none"/>
        </w:rPr>
        <w:t>道路及市政管线近期建设规划相协调统一。</w:t>
      </w:r>
    </w:p>
    <w:p w14:paraId="4D23B991">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4.2</w:t>
      </w:r>
      <w:r>
        <w:rPr>
          <w:color w:val="000000" w:themeColor="text1"/>
          <w:highlight w:val="none"/>
          <w:u w:val="none"/>
          <w14:textFill>
            <w14:solidFill>
              <w14:schemeClr w14:val="tx1"/>
            </w14:solidFill>
          </w14:textFill>
        </w:rPr>
        <w:t xml:space="preserve">  管廊系统布局</w:t>
      </w:r>
      <w:bookmarkEnd w:id="10"/>
    </w:p>
    <w:p w14:paraId="73AB24CC">
      <w:pPr>
        <w:pStyle w:val="5"/>
        <w:rPr>
          <w:color w:val="auto"/>
          <w:highlight w:val="none"/>
          <w:u w:val="none"/>
        </w:rPr>
      </w:pPr>
      <w:r>
        <w:rPr>
          <w:b/>
          <w:color w:val="auto"/>
          <w:highlight w:val="none"/>
          <w:u w:val="none"/>
        </w:rPr>
        <w:t>4.2.1</w:t>
      </w:r>
      <w:r>
        <w:rPr>
          <w:color w:val="auto"/>
          <w:highlight w:val="none"/>
          <w:u w:val="none"/>
        </w:rPr>
        <w:t xml:space="preserve">  综合管廊布局应</w:t>
      </w:r>
      <w:r>
        <w:rPr>
          <w:rFonts w:hint="eastAsia"/>
          <w:color w:val="auto"/>
          <w:highlight w:val="none"/>
          <w:u w:val="none"/>
        </w:rPr>
        <w:t>综合考虑</w:t>
      </w:r>
      <w:r>
        <w:rPr>
          <w:color w:val="auto"/>
          <w:highlight w:val="none"/>
          <w:u w:val="none"/>
        </w:rPr>
        <w:t>城市功能分区、空间布局、土地利用、</w:t>
      </w:r>
      <w:r>
        <w:rPr>
          <w:rFonts w:hint="eastAsia"/>
          <w:color w:val="auto"/>
          <w:highlight w:val="none"/>
          <w:u w:val="none"/>
        </w:rPr>
        <w:t>道路与</w:t>
      </w:r>
      <w:r>
        <w:rPr>
          <w:color w:val="auto"/>
          <w:highlight w:val="none"/>
          <w:u w:val="none"/>
        </w:rPr>
        <w:t>管</w:t>
      </w:r>
      <w:r>
        <w:rPr>
          <w:rFonts w:hint="eastAsia"/>
          <w:color w:val="auto"/>
          <w:highlight w:val="none"/>
          <w:u w:val="none"/>
        </w:rPr>
        <w:t>网</w:t>
      </w:r>
      <w:r>
        <w:rPr>
          <w:color w:val="auto"/>
          <w:highlight w:val="none"/>
          <w:u w:val="none"/>
        </w:rPr>
        <w:t>布局</w:t>
      </w:r>
      <w:r>
        <w:rPr>
          <w:rFonts w:hint="eastAsia"/>
          <w:color w:val="auto"/>
          <w:highlight w:val="none"/>
          <w:u w:val="none"/>
        </w:rPr>
        <w:t>等因素</w:t>
      </w:r>
      <w:r>
        <w:rPr>
          <w:color w:val="auto"/>
          <w:highlight w:val="none"/>
          <w:u w:val="none"/>
        </w:rPr>
        <w:t>。</w:t>
      </w:r>
    </w:p>
    <w:p w14:paraId="0A3F01EE">
      <w:pPr>
        <w:pStyle w:val="5"/>
        <w:rPr>
          <w:highlight w:val="none"/>
          <w:u w:val="none"/>
        </w:rPr>
      </w:pPr>
      <w:r>
        <w:rPr>
          <w:b/>
          <w:highlight w:val="none"/>
          <w:u w:val="none"/>
        </w:rPr>
        <w:t>4.2.2</w:t>
      </w:r>
      <w:r>
        <w:rPr>
          <w:highlight w:val="none"/>
          <w:u w:val="none"/>
        </w:rPr>
        <w:t xml:space="preserve">  综合管廊工程</w:t>
      </w:r>
      <w:r>
        <w:rPr>
          <w:color w:val="auto"/>
          <w:highlight w:val="none"/>
          <w:u w:val="none"/>
        </w:rPr>
        <w:t>专项</w:t>
      </w:r>
      <w:r>
        <w:rPr>
          <w:highlight w:val="none"/>
          <w:u w:val="none"/>
        </w:rPr>
        <w:t>规划应结合城市地下管线现状，在城市道路、轨道交通、给水、雨水、污水、再生水、天然气、热力、电力、通信等专项规划以及地下管线综合规划的基础上，确定综合管廊的入廊管线种类和平面布局。纳入综合管廊内的管线布置，应与各管线主管单位批准的专项规划相适应。</w:t>
      </w:r>
    </w:p>
    <w:p w14:paraId="77C27AFC">
      <w:pPr>
        <w:pStyle w:val="5"/>
        <w:rPr>
          <w:highlight w:val="none"/>
          <w:u w:val="none"/>
        </w:rPr>
      </w:pPr>
      <w:r>
        <w:rPr>
          <w:b/>
          <w:highlight w:val="none"/>
          <w:u w:val="none"/>
        </w:rPr>
        <w:t>4.2.3</w:t>
      </w:r>
      <w:r>
        <w:rPr>
          <w:highlight w:val="none"/>
          <w:u w:val="none"/>
        </w:rPr>
        <w:t xml:space="preserve">  综合管廊应与地下交通、地下商业开发、地下人防设施及其他相关建设项目协调。</w:t>
      </w:r>
    </w:p>
    <w:p w14:paraId="27DD1216">
      <w:pPr>
        <w:pStyle w:val="5"/>
        <w:rPr>
          <w:highlight w:val="none"/>
          <w:u w:val="none"/>
        </w:rPr>
      </w:pPr>
      <w:r>
        <w:rPr>
          <w:b/>
          <w:highlight w:val="none"/>
          <w:u w:val="none"/>
        </w:rPr>
        <w:t>4.2.4</w:t>
      </w:r>
      <w:r>
        <w:rPr>
          <w:highlight w:val="none"/>
          <w:u w:val="none"/>
        </w:rPr>
        <w:t xml:space="preserve">  当遇到下列情况之一时，宜采用综合管廊：</w:t>
      </w:r>
    </w:p>
    <w:p w14:paraId="0BCA86C4">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交通运输繁忙或地下管线较多的城市主干道、次干道以及配合轨道交通、地下道路、城市地下综合体等建设工程地段；</w:t>
      </w:r>
    </w:p>
    <w:p w14:paraId="73A0B390">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城市核心区、中央商务区、地下空间高强度成片集中开发区、重要广场、主要道路的交叉口、道路与铁路或河流的交叉处、过河隧道等；</w:t>
      </w:r>
    </w:p>
    <w:p w14:paraId="77159B83">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道路宽度难以满足直埋敷设多种管线的路段；</w:t>
      </w:r>
    </w:p>
    <w:p w14:paraId="12FBE8B4">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重要的公共空间；</w:t>
      </w:r>
    </w:p>
    <w:p w14:paraId="651AFB75">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不宜开挖路面的路段；</w:t>
      </w:r>
    </w:p>
    <w:p w14:paraId="66551010">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6</w:t>
      </w:r>
      <w:r>
        <w:rPr>
          <w:rFonts w:ascii="Times New Roman" w:hAnsi="Times New Roman" w:eastAsia="方正书宋简体" w:cs="Times New Roman"/>
          <w:color w:val="000000" w:themeColor="text1"/>
          <w:highlight w:val="none"/>
          <w:u w:val="none"/>
          <w14:textFill>
            <w14:solidFill>
              <w14:schemeClr w14:val="tx1"/>
            </w14:solidFill>
          </w14:textFill>
        </w:rPr>
        <w:t xml:space="preserve">  有架空线入地需求地区。</w:t>
      </w:r>
    </w:p>
    <w:p w14:paraId="44D2E228">
      <w:pPr>
        <w:pStyle w:val="5"/>
        <w:rPr>
          <w:highlight w:val="none"/>
          <w:u w:val="none"/>
        </w:rPr>
      </w:pPr>
      <w:r>
        <w:rPr>
          <w:b/>
          <w:highlight w:val="none"/>
          <w:u w:val="none"/>
        </w:rPr>
        <w:t xml:space="preserve">4.2.5 </w:t>
      </w:r>
      <w:r>
        <w:rPr>
          <w:highlight w:val="none"/>
          <w:u w:val="none"/>
        </w:rPr>
        <w:t xml:space="preserve"> 综合管廊</w:t>
      </w:r>
      <w:r>
        <w:rPr>
          <w:rFonts w:hint="eastAsia"/>
          <w:color w:val="auto"/>
          <w:highlight w:val="none"/>
          <w:u w:val="none"/>
        </w:rPr>
        <w:t>工程</w:t>
      </w:r>
      <w:r>
        <w:rPr>
          <w:color w:val="auto"/>
          <w:highlight w:val="none"/>
          <w:u w:val="none"/>
        </w:rPr>
        <w:t>专项</w:t>
      </w:r>
      <w:r>
        <w:rPr>
          <w:highlight w:val="none"/>
          <w:u w:val="none"/>
        </w:rPr>
        <w:t>规划选址需充分考虑区域地质条件，避开不宜建设地带。</w:t>
      </w:r>
    </w:p>
    <w:p w14:paraId="15993660">
      <w:pPr>
        <w:pStyle w:val="5"/>
        <w:rPr>
          <w:highlight w:val="none"/>
          <w:u w:val="none"/>
        </w:rPr>
      </w:pPr>
      <w:r>
        <w:rPr>
          <w:b/>
          <w:highlight w:val="none"/>
          <w:u w:val="none"/>
        </w:rPr>
        <w:t>4.2.6</w:t>
      </w:r>
      <w:r>
        <w:rPr>
          <w:highlight w:val="none"/>
          <w:u w:val="none"/>
        </w:rPr>
        <w:t xml:space="preserve">  综合管廊宜按照干线综合管廊、支线综合管廊及</w:t>
      </w:r>
      <w:r>
        <w:rPr>
          <w:rFonts w:hint="eastAsia"/>
          <w:highlight w:val="none"/>
          <w:u w:val="none"/>
        </w:rPr>
        <w:t>小型综合</w:t>
      </w:r>
      <w:r>
        <w:rPr>
          <w:highlight w:val="none"/>
          <w:u w:val="none"/>
        </w:rPr>
        <w:t>管廊</w:t>
      </w:r>
      <w:r>
        <w:rPr>
          <w:rFonts w:hint="eastAsia"/>
          <w:highlight w:val="none"/>
          <w:u w:val="none"/>
        </w:rPr>
        <w:t>统筹</w:t>
      </w:r>
      <w:r>
        <w:rPr>
          <w:highlight w:val="none"/>
          <w:u w:val="none"/>
        </w:rPr>
        <w:t>规划布局。</w:t>
      </w:r>
    </w:p>
    <w:p w14:paraId="5827924B">
      <w:pPr>
        <w:pStyle w:val="5"/>
        <w:rPr>
          <w:highlight w:val="none"/>
          <w:u w:val="none"/>
        </w:rPr>
      </w:pPr>
      <w:r>
        <w:rPr>
          <w:b/>
          <w:highlight w:val="none"/>
          <w:u w:val="none"/>
        </w:rPr>
        <w:t>4.2.7</w:t>
      </w:r>
      <w:r>
        <w:rPr>
          <w:highlight w:val="none"/>
          <w:u w:val="none"/>
        </w:rPr>
        <w:t xml:space="preserve">  综合管廊内的管线布置应根据纳入管线的种类、规模及周边用地功能确定。管廊分舱应考虑纳入管线之间的相互影响。</w:t>
      </w:r>
    </w:p>
    <w:p w14:paraId="718DBA3C">
      <w:pPr>
        <w:pStyle w:val="5"/>
        <w:rPr>
          <w:highlight w:val="none"/>
          <w:u w:val="none"/>
        </w:rPr>
      </w:pPr>
      <w:bookmarkStart w:id="11" w:name="_Toc37689729"/>
      <w:r>
        <w:rPr>
          <w:b/>
          <w:highlight w:val="none"/>
          <w:u w:val="none"/>
        </w:rPr>
        <w:t>4.2.8</w:t>
      </w:r>
      <w:r>
        <w:rPr>
          <w:highlight w:val="none"/>
          <w:u w:val="none"/>
        </w:rPr>
        <w:t xml:space="preserve">  综合管廊应规划建设监控中心，并应符合下列规定：</w:t>
      </w:r>
    </w:p>
    <w:p w14:paraId="652E81E9">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应满足综合管廊运行维护的需要；</w:t>
      </w:r>
    </w:p>
    <w:p w14:paraId="443ABA0F">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宜设置在综合管廊平面中心位置；</w:t>
      </w:r>
    </w:p>
    <w:p w14:paraId="1C00B94D">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应满足城市管理和应急处置的需要；</w:t>
      </w:r>
    </w:p>
    <w:p w14:paraId="62D18F5E">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当城市在不同片区（组团）规划建设综合管廊时，宜分别设立片区（组团）级、城市级监控中心；</w:t>
      </w:r>
    </w:p>
    <w:p w14:paraId="7CC375DE">
      <w:pPr>
        <w:pStyle w:val="59"/>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 xml:space="preserve">5 </w:t>
      </w:r>
      <w:r>
        <w:rPr>
          <w:color w:val="000000" w:themeColor="text1"/>
          <w:highlight w:val="none"/>
          <w:u w:val="none"/>
          <w14:textFill>
            <w14:solidFill>
              <w14:schemeClr w14:val="tx1"/>
            </w14:solidFill>
          </w14:textFill>
        </w:rPr>
        <w:t xml:space="preserve"> 宜与临近的公共建筑物合建，建筑面积应满足综合管廊最终规模的使用要求。</w:t>
      </w:r>
    </w:p>
    <w:p w14:paraId="732EAE4B">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4.3</w:t>
      </w:r>
      <w:r>
        <w:rPr>
          <w:color w:val="000000" w:themeColor="text1"/>
          <w:highlight w:val="none"/>
          <w:u w:val="none"/>
          <w14:textFill>
            <w14:solidFill>
              <w14:schemeClr w14:val="tx1"/>
            </w14:solidFill>
          </w14:textFill>
        </w:rPr>
        <w:t xml:space="preserve">  入 廊 管 线</w:t>
      </w:r>
      <w:bookmarkEnd w:id="11"/>
    </w:p>
    <w:p w14:paraId="4F853273">
      <w:pPr>
        <w:pStyle w:val="5"/>
        <w:rPr>
          <w:highlight w:val="none"/>
          <w:u w:val="none"/>
        </w:rPr>
      </w:pPr>
      <w:r>
        <w:rPr>
          <w:b/>
          <w:highlight w:val="none"/>
          <w:u w:val="none"/>
        </w:rPr>
        <w:t xml:space="preserve">4.3.1 </w:t>
      </w:r>
      <w:r>
        <w:rPr>
          <w:highlight w:val="none"/>
          <w:u w:val="none"/>
        </w:rPr>
        <w:t xml:space="preserve"> 给水管道，再生水管道应纳入综合管廊。当</w:t>
      </w:r>
      <w:r>
        <w:rPr>
          <w:color w:val="auto"/>
          <w:highlight w:val="none"/>
          <w:u w:val="none"/>
        </w:rPr>
        <w:t>管道</w:t>
      </w:r>
      <w:r>
        <w:rPr>
          <w:highlight w:val="none"/>
          <w:u w:val="none"/>
        </w:rPr>
        <w:t>公称</w:t>
      </w:r>
      <w:r>
        <w:rPr>
          <w:rFonts w:hint="eastAsia"/>
          <w:highlight w:val="none"/>
          <w:u w:val="none"/>
        </w:rPr>
        <w:t>直</w:t>
      </w:r>
      <w:r>
        <w:rPr>
          <w:highlight w:val="none"/>
          <w:u w:val="none"/>
        </w:rPr>
        <w:t>径≥</w:t>
      </w:r>
      <w:r>
        <w:rPr>
          <w:iCs/>
          <w:highlight w:val="none"/>
          <w:u w:val="none"/>
        </w:rPr>
        <w:t>DN</w:t>
      </w:r>
      <w:r>
        <w:rPr>
          <w:highlight w:val="none"/>
          <w:u w:val="none"/>
        </w:rPr>
        <w:t>1200时，应考虑其对管廊断面尺寸、造价和安全运行的影响，经技术经济论证后确定是否纳入综合管廊。</w:t>
      </w:r>
    </w:p>
    <w:p w14:paraId="456341B8">
      <w:pPr>
        <w:pStyle w:val="5"/>
        <w:rPr>
          <w:highlight w:val="none"/>
          <w:u w:val="none"/>
        </w:rPr>
      </w:pPr>
      <w:r>
        <w:rPr>
          <w:b/>
          <w:highlight w:val="none"/>
          <w:u w:val="none"/>
        </w:rPr>
        <w:t>4.3.2</w:t>
      </w:r>
      <w:r>
        <w:rPr>
          <w:highlight w:val="none"/>
          <w:u w:val="none"/>
        </w:rPr>
        <w:t xml:space="preserve">  当综合管廊的纵坡和高程满足污水管道的重力排水要求或采用压力排水时，可将污水管道纳入管廊。入廊污水应采用管道形式，并采取有效措施确保管廊运行安全。</w:t>
      </w:r>
    </w:p>
    <w:p w14:paraId="3B337FF4">
      <w:pPr>
        <w:pStyle w:val="5"/>
        <w:rPr>
          <w:highlight w:val="none"/>
          <w:u w:val="none"/>
        </w:rPr>
      </w:pPr>
      <w:r>
        <w:rPr>
          <w:b/>
          <w:highlight w:val="none"/>
          <w:u w:val="none"/>
        </w:rPr>
        <w:t>4.3.3</w:t>
      </w:r>
      <w:r>
        <w:rPr>
          <w:highlight w:val="none"/>
          <w:u w:val="none"/>
        </w:rPr>
        <w:t xml:space="preserve">  当综合管廊的纵坡和高程满足</w:t>
      </w:r>
      <w:r>
        <w:rPr>
          <w:color w:val="auto"/>
          <w:highlight w:val="none"/>
          <w:u w:val="none"/>
        </w:rPr>
        <w:t>雨水</w:t>
      </w:r>
      <w:r>
        <w:rPr>
          <w:highlight w:val="none"/>
          <w:u w:val="none"/>
        </w:rPr>
        <w:t>管道的</w:t>
      </w:r>
      <w:r>
        <w:rPr>
          <w:rFonts w:hint="eastAsia"/>
          <w:color w:val="auto"/>
          <w:highlight w:val="none"/>
          <w:u w:val="none"/>
        </w:rPr>
        <w:t>重力</w:t>
      </w:r>
      <w:r>
        <w:rPr>
          <w:highlight w:val="none"/>
          <w:u w:val="none"/>
        </w:rPr>
        <w:t>排水要求或采用压力排水时，可将</w:t>
      </w:r>
      <w:r>
        <w:rPr>
          <w:color w:val="auto"/>
          <w:highlight w:val="none"/>
          <w:u w:val="none"/>
        </w:rPr>
        <w:t>雨水</w:t>
      </w:r>
      <w:r>
        <w:rPr>
          <w:highlight w:val="none"/>
          <w:u w:val="none"/>
        </w:rPr>
        <w:t>管道纳入管廊，进入综合管廊的排水管道应采用分流制，入廊雨水可根据实际需要采用管廊本体或管道敷设的形式。</w:t>
      </w:r>
    </w:p>
    <w:p w14:paraId="2A3C3873">
      <w:pPr>
        <w:pStyle w:val="5"/>
        <w:rPr>
          <w:highlight w:val="none"/>
          <w:u w:val="none"/>
        </w:rPr>
      </w:pPr>
      <w:r>
        <w:rPr>
          <w:b/>
          <w:highlight w:val="none"/>
          <w:u w:val="none"/>
        </w:rPr>
        <w:t>4.3.4</w:t>
      </w:r>
      <w:r>
        <w:rPr>
          <w:highlight w:val="none"/>
          <w:u w:val="none"/>
        </w:rPr>
        <w:t xml:space="preserve">  敷设在综合管廊内的天然气管道应符合下列规定：</w:t>
      </w:r>
    </w:p>
    <w:p w14:paraId="634E6346">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最高工作压力应小于或等于1.6MPa；</w:t>
      </w:r>
    </w:p>
    <w:p w14:paraId="514369EB">
      <w:pPr>
        <w:pStyle w:val="59"/>
        <w:ind w:firstLine="424"/>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设计</w:t>
      </w:r>
      <w:r>
        <w:rPr>
          <w:rFonts w:hint="eastAsia"/>
          <w:color w:val="000000" w:themeColor="text1"/>
          <w:highlight w:val="none"/>
          <w:u w:val="none"/>
          <w14:textFill>
            <w14:solidFill>
              <w14:schemeClr w14:val="tx1"/>
            </w14:solidFill>
          </w14:textFill>
        </w:rPr>
        <w:t>管道公称直径</w:t>
      </w:r>
      <w:r>
        <w:rPr>
          <w:color w:val="000000" w:themeColor="text1"/>
          <w:highlight w:val="none"/>
          <w:u w:val="none"/>
          <w14:textFill>
            <w14:solidFill>
              <w14:schemeClr w14:val="tx1"/>
            </w14:solidFill>
          </w14:textFill>
        </w:rPr>
        <w:t>不应大于DN600mm。当设计</w:t>
      </w:r>
      <w:r>
        <w:rPr>
          <w:rFonts w:hint="eastAsia"/>
          <w:color w:val="000000" w:themeColor="text1"/>
          <w:highlight w:val="none"/>
          <w:u w:val="none"/>
          <w14:textFill>
            <w14:solidFill>
              <w14:schemeClr w14:val="tx1"/>
            </w14:solidFill>
          </w14:textFill>
        </w:rPr>
        <w:t>管道公称直径</w:t>
      </w:r>
      <w:r>
        <w:rPr>
          <w:color w:val="000000" w:themeColor="text1"/>
          <w:highlight w:val="none"/>
          <w:u w:val="none"/>
          <w14:textFill>
            <w14:solidFill>
              <w14:schemeClr w14:val="tx1"/>
            </w14:solidFill>
          </w14:textFill>
        </w:rPr>
        <w:t>大于DN600mm时，应在独立舱室内敷设；</w:t>
      </w:r>
    </w:p>
    <w:p w14:paraId="2C5DEC3A">
      <w:pPr>
        <w:pStyle w:val="59"/>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天然气管道不宜纳入小型综合管廊。</w:t>
      </w:r>
    </w:p>
    <w:p w14:paraId="52615E3A">
      <w:pPr>
        <w:pStyle w:val="5"/>
        <w:rPr>
          <w:highlight w:val="none"/>
          <w:u w:val="none"/>
        </w:rPr>
      </w:pPr>
      <w:r>
        <w:rPr>
          <w:b/>
          <w:highlight w:val="none"/>
          <w:u w:val="none"/>
        </w:rPr>
        <w:t xml:space="preserve">4.3.5 </w:t>
      </w:r>
      <w:r>
        <w:rPr>
          <w:highlight w:val="none"/>
          <w:u w:val="none"/>
        </w:rPr>
        <w:t xml:space="preserve"> 集中供热管道应纳入综合管廊，供热管道不应与电力电缆同舱敷设，当采用蒸汽介质时不应纳入小型综合管廊。</w:t>
      </w:r>
    </w:p>
    <w:p w14:paraId="59461612">
      <w:pPr>
        <w:pStyle w:val="5"/>
        <w:rPr>
          <w:highlight w:val="none"/>
          <w:u w:val="none"/>
        </w:rPr>
      </w:pPr>
      <w:r>
        <w:rPr>
          <w:b/>
          <w:highlight w:val="none"/>
          <w:u w:val="none"/>
        </w:rPr>
        <w:t>4.3.6</w:t>
      </w:r>
      <w:r>
        <w:rPr>
          <w:highlight w:val="none"/>
          <w:u w:val="none"/>
        </w:rPr>
        <w:t xml:space="preserve">  电力电缆、通信电缆应纳入综合管廊，在管廊内的敷设应满足相关规范的要求。110kV及以上电力电缆宜独立成舱。</w:t>
      </w:r>
    </w:p>
    <w:p w14:paraId="01C55AC6">
      <w:pPr>
        <w:pStyle w:val="5"/>
        <w:rPr>
          <w:highlight w:val="none"/>
          <w:u w:val="none"/>
        </w:rPr>
      </w:pPr>
      <w:bookmarkStart w:id="12" w:name="_Toc37689730"/>
      <w:r>
        <w:rPr>
          <w:b/>
          <w:highlight w:val="none"/>
          <w:u w:val="none"/>
        </w:rPr>
        <w:t>4.3.7</w:t>
      </w:r>
      <w:r>
        <w:rPr>
          <w:highlight w:val="none"/>
          <w:u w:val="none"/>
        </w:rPr>
        <w:t xml:space="preserve">  空调水系统管道、气动垃圾输送管道等其他管线应根据类型、特点和要求经综合分析确定。</w:t>
      </w:r>
    </w:p>
    <w:p w14:paraId="005D1553">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4.4</w:t>
      </w:r>
      <w:r>
        <w:rPr>
          <w:color w:val="000000" w:themeColor="text1"/>
          <w:highlight w:val="none"/>
          <w:u w:val="none"/>
          <w14:textFill>
            <w14:solidFill>
              <w14:schemeClr w14:val="tx1"/>
            </w14:solidFill>
          </w14:textFill>
        </w:rPr>
        <w:t xml:space="preserve">  平 面 位 置</w:t>
      </w:r>
      <w:bookmarkEnd w:id="12"/>
    </w:p>
    <w:p w14:paraId="7EE42CC4">
      <w:pPr>
        <w:pStyle w:val="5"/>
        <w:rPr>
          <w:highlight w:val="none"/>
          <w:u w:val="none"/>
        </w:rPr>
      </w:pPr>
      <w:r>
        <w:rPr>
          <w:b/>
          <w:highlight w:val="none"/>
          <w:u w:val="none"/>
        </w:rPr>
        <w:t>4.4.1</w:t>
      </w:r>
      <w:r>
        <w:rPr>
          <w:highlight w:val="none"/>
          <w:u w:val="none"/>
        </w:rPr>
        <w:t xml:space="preserve">  综合管廊平面线形宜与道路线形基本保持一致，定线时应避让现状或规划建（构）筑物的桩、柱、基础等的平面位置。</w:t>
      </w:r>
    </w:p>
    <w:p w14:paraId="2BFE08F3">
      <w:pPr>
        <w:pStyle w:val="5"/>
        <w:rPr>
          <w:highlight w:val="none"/>
          <w:u w:val="none"/>
        </w:rPr>
      </w:pPr>
      <w:r>
        <w:rPr>
          <w:b/>
          <w:highlight w:val="none"/>
          <w:u w:val="none"/>
        </w:rPr>
        <w:t xml:space="preserve">4.4.2 </w:t>
      </w:r>
      <w:r>
        <w:rPr>
          <w:highlight w:val="none"/>
          <w:u w:val="none"/>
        </w:rPr>
        <w:t xml:space="preserve"> 综合管廊在道路横断中的位置应根据道路横断面、地下管线、地下空间利用和施工条件等情况综合确定，一般情况下宜遵循以下原则：</w:t>
      </w:r>
    </w:p>
    <w:p w14:paraId="4A1C0495">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1 </w:t>
      </w:r>
      <w:r>
        <w:rPr>
          <w:rFonts w:ascii="Times New Roman" w:hAnsi="Times New Roman" w:eastAsia="方正书宋简体" w:cs="Times New Roman"/>
          <w:color w:val="000000" w:themeColor="text1"/>
          <w:highlight w:val="none"/>
          <w:u w:val="none"/>
          <w14:textFill>
            <w14:solidFill>
              <w14:schemeClr w14:val="tx1"/>
            </w14:solidFill>
          </w14:textFill>
        </w:rPr>
        <w:t xml:space="preserve"> 道路红线外设置有防护绿地的区域，综合管廊宜优先布置于防护绿地内；</w:t>
      </w:r>
    </w:p>
    <w:p w14:paraId="2FE8A8B6">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2 </w:t>
      </w:r>
      <w:r>
        <w:rPr>
          <w:rFonts w:ascii="Times New Roman" w:hAnsi="Times New Roman" w:eastAsia="方正书宋简体" w:cs="Times New Roman"/>
          <w:color w:val="000000" w:themeColor="text1"/>
          <w:highlight w:val="none"/>
          <w:u w:val="none"/>
          <w14:textFill>
            <w14:solidFill>
              <w14:schemeClr w14:val="tx1"/>
            </w14:solidFill>
          </w14:textFill>
        </w:rPr>
        <w:t xml:space="preserve"> 干线综合管廊宜设置在机动车道、绿化带下；</w:t>
      </w:r>
    </w:p>
    <w:p w14:paraId="0B9D2D21">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3 </w:t>
      </w:r>
      <w:r>
        <w:rPr>
          <w:rFonts w:ascii="Times New Roman" w:hAnsi="Times New Roman" w:eastAsia="方正书宋简体" w:cs="Times New Roman"/>
          <w:color w:val="000000" w:themeColor="text1"/>
          <w:highlight w:val="none"/>
          <w:u w:val="none"/>
          <w14:textFill>
            <w14:solidFill>
              <w14:schemeClr w14:val="tx1"/>
            </w14:solidFill>
          </w14:textFill>
        </w:rPr>
        <w:t xml:space="preserve"> 支</w:t>
      </w:r>
      <w:r>
        <w:rPr>
          <w:rFonts w:ascii="Times New Roman" w:hAnsi="Times New Roman" w:eastAsia="方正书宋简体" w:cs="Times New Roman"/>
          <w:color w:val="000000" w:themeColor="text1"/>
          <w:spacing w:val="-6"/>
          <w:highlight w:val="none"/>
          <w:u w:val="none"/>
          <w14:textFill>
            <w14:solidFill>
              <w14:schemeClr w14:val="tx1"/>
            </w14:solidFill>
          </w14:textFill>
        </w:rPr>
        <w:t>线综合管廊宜设置在道路绿化带、人行道或非机动车道下；</w:t>
      </w:r>
    </w:p>
    <w:p w14:paraId="27D90AC1">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4 </w:t>
      </w:r>
      <w:r>
        <w:rPr>
          <w:rFonts w:ascii="Times New Roman" w:hAnsi="Times New Roman" w:eastAsia="方正书宋简体" w:cs="Times New Roman"/>
          <w:color w:val="000000" w:themeColor="text1"/>
          <w:highlight w:val="none"/>
          <w:u w:val="none"/>
          <w14:textFill>
            <w14:solidFill>
              <w14:schemeClr w14:val="tx1"/>
            </w14:solidFill>
          </w14:textFill>
        </w:rPr>
        <w:t xml:space="preserve"> 小型</w:t>
      </w:r>
      <w:r>
        <w:rPr>
          <w:rFonts w:hint="eastAsia" w:ascii="Times New Roman" w:hAnsi="Times New Roman" w:eastAsia="方正书宋简体" w:cs="Times New Roman"/>
          <w:color w:val="000000" w:themeColor="text1"/>
          <w:highlight w:val="none"/>
          <w:u w:val="none"/>
          <w14:textFill>
            <w14:solidFill>
              <w14:schemeClr w14:val="tx1"/>
            </w14:solidFill>
          </w14:textFill>
        </w:rPr>
        <w:t>综合</w:t>
      </w:r>
      <w:r>
        <w:rPr>
          <w:rFonts w:ascii="Times New Roman" w:hAnsi="Times New Roman" w:eastAsia="方正书宋简体" w:cs="Times New Roman"/>
          <w:color w:val="000000" w:themeColor="text1"/>
          <w:highlight w:val="none"/>
          <w:u w:val="none"/>
          <w14:textFill>
            <w14:solidFill>
              <w14:schemeClr w14:val="tx1"/>
            </w14:solidFill>
          </w14:textFill>
        </w:rPr>
        <w:t>管廊宜设置在人行道下。</w:t>
      </w:r>
    </w:p>
    <w:p w14:paraId="55F0602C">
      <w:pPr>
        <w:pStyle w:val="5"/>
        <w:rPr>
          <w:highlight w:val="none"/>
          <w:u w:val="none"/>
        </w:rPr>
      </w:pPr>
      <w:r>
        <w:rPr>
          <w:b/>
          <w:highlight w:val="none"/>
          <w:u w:val="none"/>
        </w:rPr>
        <w:t xml:space="preserve">4.4.3 </w:t>
      </w:r>
      <w:r>
        <w:rPr>
          <w:highlight w:val="none"/>
          <w:u w:val="none"/>
        </w:rPr>
        <w:t xml:space="preserve"> 综合管廊的通风口、吊装口、逃生口、人员出入口等宜设置于机动车道和非机动车道的绿化分隔带内。不具备条件的道路横断面，宜设置于人行道内，并与道路景观及功能相结合。</w:t>
      </w:r>
    </w:p>
    <w:p w14:paraId="63C08748">
      <w:pPr>
        <w:pStyle w:val="5"/>
        <w:rPr>
          <w:highlight w:val="none"/>
          <w:u w:val="none"/>
        </w:rPr>
      </w:pPr>
      <w:bookmarkStart w:id="13" w:name="_Toc37689731"/>
      <w:r>
        <w:rPr>
          <w:b/>
          <w:highlight w:val="none"/>
          <w:u w:val="none"/>
        </w:rPr>
        <w:t xml:space="preserve">4.4.4 </w:t>
      </w:r>
      <w:r>
        <w:rPr>
          <w:highlight w:val="none"/>
          <w:u w:val="none"/>
        </w:rPr>
        <w:t xml:space="preserve"> 综合管廊相交节点的平面控制边界应根据节点的平面布置形式进行确定。</w:t>
      </w:r>
    </w:p>
    <w:p w14:paraId="112F8D2E">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t xml:space="preserve">  竖 向 条 件</w:t>
      </w:r>
      <w:bookmarkEnd w:id="13"/>
    </w:p>
    <w:p w14:paraId="254E9893">
      <w:pPr>
        <w:pStyle w:val="5"/>
        <w:rPr>
          <w:highlight w:val="none"/>
        </w:rPr>
      </w:pPr>
      <w:r>
        <w:rPr>
          <w:b/>
          <w:highlight w:val="none"/>
        </w:rPr>
        <w:t>4.5.1</w:t>
      </w:r>
      <w:r>
        <w:rPr>
          <w:highlight w:val="none"/>
        </w:rPr>
        <w:t xml:space="preserve">  综合管廊的覆土深度应根据地下设施竖向规划、行车荷载、绿化种植、</w:t>
      </w:r>
      <w:r>
        <w:rPr>
          <w:highlight w:val="none"/>
          <w:u w:val="none"/>
        </w:rPr>
        <w:t>冻土深度</w:t>
      </w:r>
      <w:r>
        <w:rPr>
          <w:highlight w:val="none"/>
        </w:rPr>
        <w:t>、交叉管道及入廊管线等因素综合确定。</w:t>
      </w:r>
    </w:p>
    <w:p w14:paraId="5A29D2D2">
      <w:pPr>
        <w:pStyle w:val="5"/>
        <w:rPr>
          <w:highlight w:val="none"/>
        </w:rPr>
      </w:pPr>
      <w:r>
        <w:rPr>
          <w:b/>
          <w:highlight w:val="none"/>
        </w:rPr>
        <w:t>4.5.2</w:t>
      </w:r>
      <w:r>
        <w:rPr>
          <w:highlight w:val="none"/>
        </w:rPr>
        <w:t xml:space="preserve">  综合管廊与其他直埋管道发生交叉时，应符合以下要求：</w:t>
      </w:r>
    </w:p>
    <w:p w14:paraId="3FE2AB3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与非重力流管道交叉，非重力流管道主动避让管廊；</w:t>
      </w:r>
    </w:p>
    <w:p w14:paraId="75CE8D8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不包含重力流管道的综合管廊与直埋干线重力流管道发生交叉时，管廊与干线重力流管道应统筹考虑相互避让措施；</w:t>
      </w:r>
    </w:p>
    <w:p w14:paraId="10196C1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包含重力流管道的综合管廊与其他直埋重力流管道发生交叉时，应根据具体情况分析后进行确定。</w:t>
      </w:r>
    </w:p>
    <w:p w14:paraId="66BEB517">
      <w:pPr>
        <w:pStyle w:val="5"/>
        <w:rPr>
          <w:highlight w:val="none"/>
        </w:rPr>
      </w:pPr>
      <w:r>
        <w:rPr>
          <w:b/>
          <w:highlight w:val="none"/>
        </w:rPr>
        <w:t xml:space="preserve">4.5.3 </w:t>
      </w:r>
      <w:r>
        <w:rPr>
          <w:highlight w:val="none"/>
        </w:rPr>
        <w:t xml:space="preserve"> 综合管廊相交节点的控制埋深应根据节点的廊体总高度、管廊覆土厚度综合考虑确定。</w:t>
      </w:r>
    </w:p>
    <w:p w14:paraId="72BE8385">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br w:type="page"/>
      </w:r>
    </w:p>
    <w:p w14:paraId="3368FD8E">
      <w:pPr>
        <w:pStyle w:val="2"/>
        <w:rPr>
          <w:color w:val="000000" w:themeColor="text1"/>
          <w:highlight w:val="none"/>
          <w14:textFill>
            <w14:solidFill>
              <w14:schemeClr w14:val="tx1"/>
            </w14:solidFill>
          </w14:textFill>
        </w:rPr>
      </w:pPr>
      <w:bookmarkStart w:id="14" w:name="_Toc37689732"/>
      <w:r>
        <w:rPr>
          <w:color w:val="000000" w:themeColor="text1"/>
          <w:highlight w:val="none"/>
          <w14:textFill>
            <w14:solidFill>
              <w14:schemeClr w14:val="tx1"/>
            </w14:solidFill>
          </w14:textFill>
        </w:rPr>
        <w:t xml:space="preserve">5  </w:t>
      </w:r>
      <w:r>
        <w:rPr>
          <w:b w:val="0"/>
          <w:bCs w:val="0"/>
          <w:color w:val="000000" w:themeColor="text1"/>
          <w:highlight w:val="none"/>
          <w14:textFill>
            <w14:solidFill>
              <w14:schemeClr w14:val="tx1"/>
            </w14:solidFill>
          </w14:textFill>
        </w:rPr>
        <w:t>勘  察</w:t>
      </w:r>
      <w:bookmarkEnd w:id="14"/>
    </w:p>
    <w:p w14:paraId="382B1607">
      <w:pPr>
        <w:pStyle w:val="4"/>
        <w:spacing w:before="156" w:after="156"/>
        <w:rPr>
          <w:b/>
          <w:color w:val="000000" w:themeColor="text1"/>
          <w:highlight w:val="none"/>
          <w:u w:val="none"/>
          <w14:textFill>
            <w14:solidFill>
              <w14:schemeClr w14:val="tx1"/>
            </w14:solidFill>
          </w14:textFill>
        </w:rPr>
      </w:pPr>
      <w:bookmarkStart w:id="15" w:name="_Toc37689733"/>
      <w:r>
        <w:rPr>
          <w:b/>
          <w:bCs w:val="0"/>
          <w:color w:val="000000" w:themeColor="text1"/>
          <w:highlight w:val="none"/>
          <w:u w:val="none"/>
          <w14:textFill>
            <w14:solidFill>
              <w14:schemeClr w14:val="tx1"/>
            </w14:solidFill>
          </w14:textFill>
        </w:rPr>
        <w:t>5.1</w:t>
      </w:r>
      <w:r>
        <w:rPr>
          <w:color w:val="000000" w:themeColor="text1"/>
          <w:highlight w:val="none"/>
          <w:u w:val="none"/>
          <w14:textFill>
            <w14:solidFill>
              <w14:schemeClr w14:val="tx1"/>
            </w14:solidFill>
          </w14:textFill>
        </w:rPr>
        <w:t xml:space="preserve">  一 般 规 定</w:t>
      </w:r>
      <w:bookmarkEnd w:id="15"/>
    </w:p>
    <w:p w14:paraId="19F5EFED">
      <w:pPr>
        <w:pStyle w:val="9"/>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5.1.1  </w:t>
      </w:r>
      <w:r>
        <w:rPr>
          <w:rFonts w:ascii="Times New Roman" w:hAnsi="Times New Roman" w:eastAsia="方正书宋简体" w:cs="Times New Roman"/>
          <w:color w:val="000000" w:themeColor="text1"/>
          <w:highlight w:val="none"/>
          <w:u w:val="none"/>
          <w14:textFill>
            <w14:solidFill>
              <w14:schemeClr w14:val="tx1"/>
            </w14:solidFill>
          </w14:textFill>
        </w:rPr>
        <w:t>城市地下综合管廊工程设计前应进行岩土工程勘察，勘察等级应根据工程重要性、</w:t>
      </w:r>
      <w:bookmarkStart w:id="16" w:name="OLE_LINK9"/>
      <w:r>
        <w:rPr>
          <w:rFonts w:ascii="Times New Roman" w:hAnsi="Times New Roman" w:eastAsia="方正书宋简体" w:cs="Times New Roman"/>
          <w:color w:val="000000" w:themeColor="text1"/>
          <w:highlight w:val="none"/>
          <w:u w:val="none"/>
          <w14:textFill>
            <w14:solidFill>
              <w14:schemeClr w14:val="tx1"/>
            </w14:solidFill>
          </w14:textFill>
        </w:rPr>
        <w:t>场地复杂程度</w:t>
      </w:r>
      <w:bookmarkEnd w:id="16"/>
      <w:r>
        <w:rPr>
          <w:rFonts w:hint="eastAsia" w:ascii="Times New Roman" w:hAnsi="Times New Roman" w:eastAsia="方正书宋简体" w:cs="Times New Roman"/>
          <w:color w:val="000000" w:themeColor="text1"/>
          <w:highlight w:val="none"/>
          <w:u w:val="none"/>
          <w14:textFill>
            <w14:solidFill>
              <w14:schemeClr w14:val="tx1"/>
            </w14:solidFill>
          </w14:textFill>
        </w:rPr>
        <w:t>和</w:t>
      </w:r>
      <w:r>
        <w:rPr>
          <w:rFonts w:hint="eastAsia" w:ascii="Times New Roman" w:hAnsi="Times New Roman" w:eastAsia="方正书宋简体" w:cs="Times New Roman"/>
          <w:color w:val="000000" w:themeColor="text1"/>
          <w:highlight w:val="none"/>
          <w:u w:val="none"/>
          <w:lang w:eastAsia="zh-CN"/>
          <w14:textFill>
            <w14:solidFill>
              <w14:schemeClr w14:val="tx1"/>
            </w14:solidFill>
          </w14:textFill>
        </w:rPr>
        <w:t>地基</w:t>
      </w:r>
      <w:r>
        <w:rPr>
          <w:rFonts w:ascii="Times New Roman" w:hAnsi="Times New Roman" w:eastAsia="方正书宋简体" w:cs="Times New Roman"/>
          <w:color w:val="000000" w:themeColor="text1"/>
          <w:highlight w:val="none"/>
          <w:u w:val="none"/>
          <w14:textFill>
            <w14:solidFill>
              <w14:schemeClr w14:val="tx1"/>
            </w14:solidFill>
          </w14:textFill>
        </w:rPr>
        <w:t>复杂程度</w:t>
      </w:r>
      <w:r>
        <w:rPr>
          <w:rFonts w:hint="eastAsia" w:ascii="Times New Roman" w:hAnsi="Times New Roman" w:eastAsia="方正书宋简体" w:cs="Times New Roman"/>
          <w:color w:val="000000" w:themeColor="text1"/>
          <w:highlight w:val="none"/>
          <w:u w:val="none"/>
          <w14:textFill>
            <w14:solidFill>
              <w14:schemeClr w14:val="tx1"/>
            </w14:solidFill>
          </w14:textFill>
        </w:rPr>
        <w:t>进行划分</w:t>
      </w:r>
      <w:r>
        <w:rPr>
          <w:rFonts w:ascii="Times New Roman" w:hAnsi="Times New Roman" w:eastAsia="方正书宋简体" w:cs="Times New Roman"/>
          <w:color w:val="000000" w:themeColor="text1"/>
          <w:highlight w:val="none"/>
          <w:u w:val="none"/>
          <w14:textFill>
            <w14:solidFill>
              <w14:schemeClr w14:val="tx1"/>
            </w14:solidFill>
          </w14:textFill>
        </w:rPr>
        <w:t>，</w:t>
      </w:r>
      <w:r>
        <w:rPr>
          <w:rFonts w:hint="eastAsia" w:ascii="Times New Roman" w:hAnsi="Times New Roman" w:eastAsia="方正书宋简体" w:cs="Times New Roman"/>
          <w:color w:val="000000" w:themeColor="text1"/>
          <w:highlight w:val="none"/>
          <w:u w:val="none"/>
          <w14:textFill>
            <w14:solidFill>
              <w14:schemeClr w14:val="tx1"/>
            </w14:solidFill>
          </w14:textFill>
        </w:rPr>
        <w:t>并</w:t>
      </w:r>
      <w:r>
        <w:rPr>
          <w:rFonts w:ascii="Times New Roman" w:hAnsi="Times New Roman" w:eastAsia="方正书宋简体" w:cs="Times New Roman"/>
          <w:color w:val="000000" w:themeColor="text1"/>
          <w:highlight w:val="none"/>
          <w:u w:val="none"/>
          <w14:textFill>
            <w14:solidFill>
              <w14:schemeClr w14:val="tx1"/>
            </w14:solidFill>
          </w14:textFill>
        </w:rPr>
        <w:t>按照现行国家标准《岩土工程勘察规范》GB 50021及行业标准《市政工程勘察规范》CJJ 56确定。</w:t>
      </w:r>
    </w:p>
    <w:p w14:paraId="1CC5BB6C">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5.1.2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bookmarkStart w:id="17" w:name="OLE_LINK1"/>
      <w:r>
        <w:rPr>
          <w:rFonts w:ascii="Times New Roman" w:hAnsi="Times New Roman" w:eastAsia="方正书宋简体" w:cs="Times New Roman"/>
          <w:color w:val="000000" w:themeColor="text1"/>
          <w:highlight w:val="none"/>
          <w:u w:val="none"/>
          <w14:textFill>
            <w14:solidFill>
              <w14:schemeClr w14:val="tx1"/>
            </w14:solidFill>
          </w14:textFill>
        </w:rPr>
        <w:t>城市地下综合管廊工程岩土工程勘察</w:t>
      </w:r>
      <w:bookmarkEnd w:id="17"/>
      <w:r>
        <w:rPr>
          <w:rFonts w:ascii="Times New Roman" w:hAnsi="Times New Roman" w:eastAsia="方正书宋简体" w:cs="Times New Roman"/>
          <w:color w:val="000000" w:themeColor="text1"/>
          <w:highlight w:val="none"/>
          <w:u w:val="none"/>
          <w14:textFill>
            <w14:solidFill>
              <w14:schemeClr w14:val="tx1"/>
            </w14:solidFill>
          </w14:textFill>
        </w:rPr>
        <w:t>宜按可行性研究勘察、初步勘察和详细勘察三个阶段开展工作，并可根据施工阶段的需要进行施工勘察。</w:t>
      </w:r>
    </w:p>
    <w:p w14:paraId="6E8C3CBF">
      <w:pPr>
        <w:pStyle w:val="9"/>
        <w:spacing w:line="348" w:lineRule="exact"/>
        <w:jc w:val="both"/>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5.1.</w:t>
      </w:r>
      <w:bookmarkStart w:id="18" w:name="OLE_LINK8"/>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城市地下综合管廊工程岩土工程勘</w:t>
      </w:r>
      <w:bookmarkEnd w:id="18"/>
      <w:r>
        <w:rPr>
          <w:rFonts w:ascii="Times New Roman" w:hAnsi="Times New Roman" w:eastAsia="方正书宋简体" w:cs="Times New Roman"/>
          <w:color w:val="000000" w:themeColor="text1"/>
          <w:highlight w:val="none"/>
          <w:u w:val="none"/>
          <w14:textFill>
            <w14:solidFill>
              <w14:schemeClr w14:val="tx1"/>
            </w14:solidFill>
          </w14:textFill>
        </w:rPr>
        <w:t>察应根据不同的勘察阶段、工程类别和重要性、场地及岩土条件的复杂程度、场地与发震断裂的位置关系、设计要求，确定勘察方案和提交勘察成果。</w:t>
      </w:r>
    </w:p>
    <w:p w14:paraId="1AF637AB">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bookmarkStart w:id="19" w:name="OLE_LINK4"/>
      <w:r>
        <w:rPr>
          <w:rFonts w:ascii="Times New Roman" w:hAnsi="Times New Roman" w:eastAsia="方正书宋简体" w:cs="Times New Roman"/>
          <w:b/>
          <w:bCs/>
          <w:color w:val="000000" w:themeColor="text1"/>
          <w:highlight w:val="none"/>
          <w:u w:val="none"/>
          <w14:textFill>
            <w14:solidFill>
              <w14:schemeClr w14:val="tx1"/>
            </w14:solidFill>
          </w14:textFill>
        </w:rPr>
        <w:t>5.1.4</w:t>
      </w:r>
      <w:bookmarkEnd w:id="19"/>
      <w:r>
        <w:rPr>
          <w:rFonts w:ascii="Times New Roman" w:hAnsi="Times New Roman" w:eastAsia="方正书宋简体" w:cs="Times New Roman"/>
          <w:color w:val="000000" w:themeColor="text1"/>
          <w:highlight w:val="none"/>
          <w:u w:val="none"/>
          <w14:textFill>
            <w14:solidFill>
              <w14:schemeClr w14:val="tx1"/>
            </w14:solidFill>
          </w14:textFill>
        </w:rPr>
        <w:t xml:space="preserve">  勘察施工前应取得规划、设计、施工等相关技术资料：</w:t>
      </w:r>
    </w:p>
    <w:p w14:paraId="372DD242">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综合管廊总平面布置图、横断面图及纵断面图等；</w:t>
      </w:r>
    </w:p>
    <w:p w14:paraId="4D683B74">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综合管廊的结构形式、埋置深度、基础类型等；</w:t>
      </w:r>
    </w:p>
    <w:p w14:paraId="14909EF1">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综合管廊材料类别及采取的施工方法；</w:t>
      </w:r>
    </w:p>
    <w:p w14:paraId="029C0459">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综合管廊沿线地形图、管线图、地下设施分布图以及周边既有建（构）筑物、道路等相关情况。</w:t>
      </w:r>
    </w:p>
    <w:p w14:paraId="0A86AF3B">
      <w:pPr>
        <w:pStyle w:val="42"/>
        <w:overflowPunct w:val="0"/>
        <w:spacing w:line="348" w:lineRule="exact"/>
        <w:ind w:firstLine="0" w:firstLineChars="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5.1.</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 xml:space="preserve">5  </w:t>
      </w:r>
      <w:r>
        <w:rPr>
          <w:rFonts w:ascii="Times New Roman" w:hAnsi="Times New Roman" w:eastAsia="方正书宋简体" w:cs="Times New Roman"/>
          <w:color w:val="000000" w:themeColor="text1"/>
          <w:highlight w:val="none"/>
          <w:u w:val="none"/>
          <w14:textFill>
            <w14:solidFill>
              <w14:schemeClr w14:val="tx1"/>
            </w14:solidFill>
          </w14:textFill>
        </w:rPr>
        <w:t>城市地下综合管廊工程勘</w:t>
      </w:r>
      <w:r>
        <w:rPr>
          <w:rFonts w:hint="eastAsia" w:ascii="Times New Roman" w:hAnsi="Times New Roman" w:eastAsia="方正书宋简体" w:cs="Times New Roman"/>
          <w:color w:val="000000" w:themeColor="text1"/>
          <w:highlight w:val="none"/>
          <w:u w:val="none"/>
          <w14:textFill>
            <w14:solidFill>
              <w14:schemeClr w14:val="tx1"/>
            </w14:solidFill>
          </w14:textFill>
        </w:rPr>
        <w:t>探作业和管理宜进行数字化建设和信息化管理。</w:t>
      </w:r>
    </w:p>
    <w:p w14:paraId="5DE19784">
      <w:pPr>
        <w:pStyle w:val="4"/>
        <w:spacing w:before="156" w:after="156"/>
        <w:rPr>
          <w:b/>
          <w:color w:val="000000" w:themeColor="text1"/>
          <w:highlight w:val="none"/>
          <w:u w:val="none"/>
          <w14:textFill>
            <w14:solidFill>
              <w14:schemeClr w14:val="tx1"/>
            </w14:solidFill>
          </w14:textFill>
        </w:rPr>
      </w:pPr>
      <w:bookmarkStart w:id="20" w:name="_Toc37689734"/>
      <w:r>
        <w:rPr>
          <w:b/>
          <w:bCs w:val="0"/>
          <w:color w:val="000000" w:themeColor="text1"/>
          <w:highlight w:val="none"/>
          <w:u w:val="none"/>
          <w14:textFill>
            <w14:solidFill>
              <w14:schemeClr w14:val="tx1"/>
            </w14:solidFill>
          </w14:textFill>
        </w:rPr>
        <w:t>5.2</w:t>
      </w:r>
      <w:r>
        <w:rPr>
          <w:color w:val="000000" w:themeColor="text1"/>
          <w:highlight w:val="none"/>
          <w:u w:val="none"/>
          <w14:textFill>
            <w14:solidFill>
              <w14:schemeClr w14:val="tx1"/>
            </w14:solidFill>
          </w14:textFill>
        </w:rPr>
        <w:t xml:space="preserve">  可行性研究勘察</w:t>
      </w:r>
      <w:bookmarkEnd w:id="20"/>
    </w:p>
    <w:p w14:paraId="1AA88EEE">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bookmarkStart w:id="21" w:name="_Toc37689735"/>
      <w:r>
        <w:rPr>
          <w:rFonts w:ascii="Times New Roman" w:hAnsi="Times New Roman" w:eastAsia="方正书宋简体" w:cs="Times New Roman"/>
          <w:b/>
          <w:bCs/>
          <w:color w:val="000000" w:themeColor="text1"/>
          <w:highlight w:val="none"/>
          <w:u w:val="none"/>
          <w14:textFill>
            <w14:solidFill>
              <w14:schemeClr w14:val="tx1"/>
            </w14:solidFill>
          </w14:textFill>
        </w:rPr>
        <w:t>5.2.1</w:t>
      </w:r>
      <w:r>
        <w:rPr>
          <w:rFonts w:ascii="Times New Roman" w:hAnsi="Times New Roman" w:eastAsia="方正书宋简体" w:cs="Times New Roman"/>
          <w:color w:val="000000" w:themeColor="text1"/>
          <w:highlight w:val="none"/>
          <w:u w:val="none"/>
          <w14:textFill>
            <w14:solidFill>
              <w14:schemeClr w14:val="tx1"/>
            </w14:solidFill>
          </w14:textFill>
        </w:rPr>
        <w:t xml:space="preserve">  可行性研究勘察应对拟建场地的稳定性和工程建设的适宜性做出评价，并在充分搜集和分析已有资料的基础上，通过踏勘了解场地的地层、构造、岩性、不良地质作用和地下水等工程地质条件，必要时应根据具体情况进行适当的地质测绘勘探、测试及试验。</w:t>
      </w:r>
    </w:p>
    <w:p w14:paraId="0874A0D7">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5.2.2</w:t>
      </w:r>
      <w:r>
        <w:rPr>
          <w:rFonts w:ascii="Times New Roman" w:hAnsi="Times New Roman" w:eastAsia="方正书宋简体" w:cs="Times New Roman"/>
          <w:color w:val="000000" w:themeColor="text1"/>
          <w:highlight w:val="none"/>
          <w:u w:val="none"/>
          <w14:textFill>
            <w14:solidFill>
              <w14:schemeClr w14:val="tx1"/>
            </w14:solidFill>
          </w14:textFill>
        </w:rPr>
        <w:t xml:space="preserve">  可行性研究勘察应重点分析评价下列内容：</w:t>
      </w:r>
    </w:p>
    <w:p w14:paraId="51B831B1">
      <w:pPr>
        <w:pStyle w:val="9"/>
        <w:spacing w:line="348" w:lineRule="exact"/>
        <w:ind w:firstLine="316" w:firstLineChars="150"/>
        <w:jc w:val="both"/>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根据工程特点搜集区域地质、构造、地震、水文、气象、地形、地貌等资料。了解场地的工程地质条件和水文地质条件概况及周边环境条件，分析评价拟建场地的稳定性，划分地震地段类别；</w:t>
      </w:r>
    </w:p>
    <w:p w14:paraId="4695CA04">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初步分析评价地震、滑坡、地面沉降、采空区等不良地质作用及其分布范围和影响，评价拟建场地工程建设的适宜性；</w:t>
      </w:r>
    </w:p>
    <w:p w14:paraId="23DBA84F">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在湿陷性黄土、盐渍土、膨胀土、深厚填土</w:t>
      </w:r>
      <w:r>
        <w:rPr>
          <w:rFonts w:hint="eastAsia" w:ascii="Times New Roman" w:hAnsi="Times New Roman" w:eastAsia="方正书宋简体" w:cs="Times New Roman"/>
          <w:color w:val="000000" w:themeColor="text1"/>
          <w:highlight w:val="none"/>
          <w:u w:val="none"/>
          <w14:textFill>
            <w14:solidFill>
              <w14:schemeClr w14:val="tx1"/>
            </w14:solidFill>
          </w14:textFill>
        </w:rPr>
        <w:t>、液化土</w:t>
      </w:r>
      <w:r>
        <w:rPr>
          <w:rFonts w:ascii="Times New Roman" w:hAnsi="Times New Roman" w:eastAsia="方正书宋简体" w:cs="Times New Roman"/>
          <w:color w:val="000000" w:themeColor="text1"/>
          <w:highlight w:val="none"/>
          <w:u w:val="none"/>
          <w14:textFill>
            <w14:solidFill>
              <w14:schemeClr w14:val="tx1"/>
            </w14:solidFill>
          </w14:textFill>
        </w:rPr>
        <w:t>等特殊性岩土分布区域，初步分析评价其工程特性和可能造成的不利影响；</w:t>
      </w:r>
    </w:p>
    <w:p w14:paraId="7C802FA4">
      <w:pPr>
        <w:pStyle w:val="9"/>
        <w:spacing w:line="348" w:lineRule="exact"/>
        <w:ind w:firstLine="316" w:firstLineChars="15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对于存在两个或两个以上拟选场地时，提出线路比选方案的建议。</w:t>
      </w:r>
    </w:p>
    <w:p w14:paraId="2EB2BD94">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5.3</w:t>
      </w:r>
      <w:r>
        <w:rPr>
          <w:color w:val="000000" w:themeColor="text1"/>
          <w:highlight w:val="none"/>
          <w:u w:val="none"/>
          <w14:textFill>
            <w14:solidFill>
              <w14:schemeClr w14:val="tx1"/>
            </w14:solidFill>
          </w14:textFill>
        </w:rPr>
        <w:t xml:space="preserve">  初 步 勘 察</w:t>
      </w:r>
      <w:bookmarkEnd w:id="21"/>
    </w:p>
    <w:p w14:paraId="199FEAD6">
      <w:pPr>
        <w:pStyle w:val="9"/>
        <w:spacing w:line="348" w:lineRule="exact"/>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cs="Times New Roman"/>
          <w:b/>
          <w:color w:val="000000" w:themeColor="text1"/>
          <w:highlight w:val="none"/>
          <w:u w:val="none"/>
          <w14:textFill>
            <w14:solidFill>
              <w14:schemeClr w14:val="tx1"/>
            </w14:solidFill>
          </w14:textFill>
        </w:rPr>
        <w:t>5.3.1</w:t>
      </w:r>
      <w:r>
        <w:rPr>
          <w:rFonts w:ascii="Times New Roman" w:hAnsi="Times New Roman"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初步勘察应以钻探、井探、坑探和槽探为主，对于岩溶、土洞、采空区应辅以工程地质测绘和调查、物探、原位测试等勘察方法，初步查明工程场地的工程地质和水文地质条件，评价拟建地段的稳定性。</w:t>
      </w:r>
    </w:p>
    <w:p w14:paraId="6ED70985">
      <w:pPr>
        <w:pStyle w:val="5"/>
        <w:rPr>
          <w:highlight w:val="none"/>
          <w:u w:val="none"/>
        </w:rPr>
      </w:pPr>
      <w:r>
        <w:rPr>
          <w:b/>
          <w:highlight w:val="none"/>
          <w:u w:val="none"/>
        </w:rPr>
        <w:t>5.3.2</w:t>
      </w:r>
      <w:r>
        <w:rPr>
          <w:highlight w:val="none"/>
          <w:u w:val="none"/>
        </w:rPr>
        <w:t xml:space="preserve">  </w:t>
      </w:r>
      <w:bookmarkStart w:id="22" w:name="_Hlk524266621"/>
      <w:r>
        <w:rPr>
          <w:highlight w:val="none"/>
          <w:u w:val="none"/>
        </w:rPr>
        <w:t>初步勘察</w:t>
      </w:r>
      <w:bookmarkEnd w:id="22"/>
      <w:r>
        <w:rPr>
          <w:highlight w:val="none"/>
          <w:u w:val="none"/>
        </w:rPr>
        <w:t>的勘探点宜沿管廊外侧交叉布置，勘探点间距可按表5.3.2确定。对于地质条件复杂的大中型河流地段，应进行钻探，每个穿越、跨越方案宜布置勘探点；对于湿陷性黄土地区，应布置一定数量的探井。</w:t>
      </w:r>
    </w:p>
    <w:p w14:paraId="01F8992C">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 xml:space="preserve">5.3.2 </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初步勘察勘探点间距表（m）</w:t>
      </w:r>
    </w:p>
    <w:tbl>
      <w:tblPr>
        <w:tblStyle w:val="28"/>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90"/>
        <w:gridCol w:w="2050"/>
        <w:gridCol w:w="1883"/>
      </w:tblGrid>
      <w:tr w14:paraId="37BF9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vAlign w:val="center"/>
          </w:tcPr>
          <w:p w14:paraId="2C438FBA">
            <w:pPr>
              <w:pStyle w:val="63"/>
              <w:rPr>
                <w:rFonts w:hint="eastAsia" w:eastAsia="方正书宋简体"/>
                <w:color w:val="000000" w:themeColor="text1"/>
                <w:highlight w:val="none"/>
                <w:u w:val="none"/>
                <w:lang w:eastAsia="zh-CN"/>
                <w14:textFill>
                  <w14:solidFill>
                    <w14:schemeClr w14:val="tx1"/>
                  </w14:solidFill>
                </w14:textFill>
              </w:rPr>
            </w:pPr>
            <w:bookmarkStart w:id="23" w:name="OLE_LINK10"/>
            <w:r>
              <w:rPr>
                <w:color w:val="000000" w:themeColor="text1"/>
                <w:highlight w:val="none"/>
                <w:u w:val="none"/>
                <w14:textFill>
                  <w14:solidFill>
                    <w14:schemeClr w14:val="tx1"/>
                  </w14:solidFill>
                </w14:textFill>
              </w:rPr>
              <w:t>场地</w:t>
            </w:r>
            <w:r>
              <w:rPr>
                <w:rFonts w:hint="eastAsia"/>
                <w:color w:val="000000" w:themeColor="text1"/>
                <w:highlight w:val="none"/>
                <w:u w:val="none"/>
                <w:lang w:eastAsia="zh-CN"/>
                <w14:textFill>
                  <w14:solidFill>
                    <w14:schemeClr w14:val="tx1"/>
                  </w14:solidFill>
                </w14:textFill>
              </w:rPr>
              <w:t>和地基</w:t>
            </w:r>
            <w:r>
              <w:rPr>
                <w:color w:val="000000" w:themeColor="text1"/>
                <w:highlight w:val="none"/>
                <w:u w:val="none"/>
                <w14:textFill>
                  <w14:solidFill>
                    <w14:schemeClr w14:val="tx1"/>
                  </w14:solidFill>
                </w14:textFill>
              </w:rPr>
              <w:t>复杂程度</w:t>
            </w:r>
            <w:bookmarkEnd w:id="23"/>
            <w:r>
              <w:rPr>
                <w:rFonts w:hint="eastAsia"/>
                <w:color w:val="000000" w:themeColor="text1"/>
                <w:highlight w:val="none"/>
                <w:u w:val="none"/>
                <w:lang w:eastAsia="zh-CN"/>
                <w14:textFill>
                  <w14:solidFill>
                    <w14:schemeClr w14:val="tx1"/>
                  </w14:solidFill>
                </w14:textFill>
              </w:rPr>
              <w:t>等级</w:t>
            </w:r>
          </w:p>
        </w:tc>
        <w:tc>
          <w:tcPr>
            <w:tcW w:w="2793" w:type="dxa"/>
            <w:vAlign w:val="center"/>
          </w:tcPr>
          <w:p w14:paraId="794B9A81">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明挖施工</w:t>
            </w:r>
          </w:p>
        </w:tc>
        <w:tc>
          <w:tcPr>
            <w:tcW w:w="2562" w:type="dxa"/>
            <w:vAlign w:val="center"/>
          </w:tcPr>
          <w:p w14:paraId="15B4029A">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暗挖施工</w:t>
            </w:r>
          </w:p>
        </w:tc>
      </w:tr>
      <w:tr w14:paraId="6FBAA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vAlign w:val="center"/>
          </w:tcPr>
          <w:p w14:paraId="5491389B">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一级</w:t>
            </w:r>
          </w:p>
        </w:tc>
        <w:tc>
          <w:tcPr>
            <w:tcW w:w="2793" w:type="dxa"/>
            <w:vAlign w:val="center"/>
          </w:tcPr>
          <w:p w14:paraId="7767E501">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50～100</w:t>
            </w:r>
          </w:p>
        </w:tc>
        <w:tc>
          <w:tcPr>
            <w:tcW w:w="2562" w:type="dxa"/>
            <w:vAlign w:val="center"/>
          </w:tcPr>
          <w:p w14:paraId="74B48C30">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40～60</w:t>
            </w:r>
          </w:p>
        </w:tc>
      </w:tr>
      <w:tr w14:paraId="72843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vAlign w:val="center"/>
          </w:tcPr>
          <w:p w14:paraId="569EEF4A">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二级</w:t>
            </w:r>
          </w:p>
        </w:tc>
        <w:tc>
          <w:tcPr>
            <w:tcW w:w="2793" w:type="dxa"/>
            <w:vAlign w:val="center"/>
          </w:tcPr>
          <w:p w14:paraId="7455451E">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100～200</w:t>
            </w:r>
          </w:p>
        </w:tc>
        <w:tc>
          <w:tcPr>
            <w:tcW w:w="2562" w:type="dxa"/>
            <w:vAlign w:val="center"/>
          </w:tcPr>
          <w:p w14:paraId="427E788A">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60～100</w:t>
            </w:r>
          </w:p>
        </w:tc>
      </w:tr>
      <w:tr w14:paraId="38539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vAlign w:val="center"/>
          </w:tcPr>
          <w:p w14:paraId="0D5360FD">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三级</w:t>
            </w:r>
          </w:p>
        </w:tc>
        <w:tc>
          <w:tcPr>
            <w:tcW w:w="2793" w:type="dxa"/>
            <w:vAlign w:val="center"/>
          </w:tcPr>
          <w:p w14:paraId="78E8083F">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200～400</w:t>
            </w:r>
          </w:p>
        </w:tc>
        <w:tc>
          <w:tcPr>
            <w:tcW w:w="2562" w:type="dxa"/>
            <w:vAlign w:val="center"/>
          </w:tcPr>
          <w:p w14:paraId="7AF70815">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100～150</w:t>
            </w:r>
          </w:p>
        </w:tc>
      </w:tr>
    </w:tbl>
    <w:p w14:paraId="5956D76A">
      <w:pPr>
        <w:pStyle w:val="62"/>
        <w:overflowPunct w:val="0"/>
        <w:spacing w:line="348" w:lineRule="exact"/>
        <w:ind w:left="573" w:leftChars="100" w:right="211" w:rightChars="100" w:hanging="362" w:hangingChars="200"/>
        <w:rPr>
          <w:rFonts w:ascii="Times New Roman" w:hAnsi="Times New Roman" w:eastAsia="方正书宋简体" w:cs="Times New Roman"/>
          <w:color w:val="000000" w:themeColor="text1"/>
          <w:sz w:val="18"/>
          <w:szCs w:val="18"/>
          <w:highlight w:val="none"/>
          <w:u w:val="none"/>
          <w14:textFill>
            <w14:solidFill>
              <w14:schemeClr w14:val="tx1"/>
            </w14:solidFill>
          </w14:textFill>
        </w:rPr>
      </w:pPr>
      <w:r>
        <w:rPr>
          <w:rFonts w:ascii="Times New Roman" w:hAnsi="Times New Roman" w:eastAsia="方正书宋简体" w:cs="Times New Roman"/>
          <w:color w:val="000000" w:themeColor="text1"/>
          <w:sz w:val="18"/>
          <w:szCs w:val="18"/>
          <w:highlight w:val="none"/>
          <w:u w:val="none"/>
          <w14:textFill>
            <w14:solidFill>
              <w14:schemeClr w14:val="tx1"/>
            </w14:solidFill>
          </w14:textFill>
        </w:rPr>
        <w:t>注：“场地</w:t>
      </w:r>
      <w:r>
        <w:rPr>
          <w:rFonts w:hint="eastAsia" w:ascii="Times New Roman" w:hAnsi="Times New Roman" w:eastAsia="方正书宋简体" w:cs="Times New Roman"/>
          <w:color w:val="000000" w:themeColor="text1"/>
          <w:sz w:val="18"/>
          <w:szCs w:val="18"/>
          <w:highlight w:val="none"/>
          <w:u w:val="none"/>
          <w:lang w:eastAsia="zh-CN"/>
          <w14:textFill>
            <w14:solidFill>
              <w14:schemeClr w14:val="tx1"/>
            </w14:solidFill>
          </w14:textFill>
        </w:rPr>
        <w:t>和地基</w:t>
      </w:r>
      <w:r>
        <w:rPr>
          <w:rFonts w:ascii="Times New Roman" w:hAnsi="Times New Roman" w:eastAsia="方正书宋简体" w:cs="Times New Roman"/>
          <w:color w:val="000000" w:themeColor="text1"/>
          <w:sz w:val="18"/>
          <w:szCs w:val="18"/>
          <w:highlight w:val="none"/>
          <w:u w:val="none"/>
          <w14:textFill>
            <w14:solidFill>
              <w14:schemeClr w14:val="tx1"/>
            </w14:solidFill>
          </w14:textFill>
        </w:rPr>
        <w:t>复杂程度</w:t>
      </w:r>
      <w:r>
        <w:rPr>
          <w:rFonts w:hint="eastAsia" w:ascii="Times New Roman" w:hAnsi="Times New Roman" w:eastAsia="方正书宋简体" w:cs="Times New Roman"/>
          <w:color w:val="000000" w:themeColor="text1"/>
          <w:sz w:val="18"/>
          <w:szCs w:val="18"/>
          <w:highlight w:val="none"/>
          <w:u w:val="none"/>
          <w:lang w:eastAsia="zh-CN"/>
          <w14:textFill>
            <w14:solidFill>
              <w14:schemeClr w14:val="tx1"/>
            </w14:solidFill>
          </w14:textFill>
        </w:rPr>
        <w:t>等级</w:t>
      </w:r>
      <w:r>
        <w:rPr>
          <w:rFonts w:ascii="Times New Roman" w:hAnsi="Times New Roman" w:eastAsia="方正书宋简体" w:cs="Times New Roman"/>
          <w:color w:val="000000" w:themeColor="text1"/>
          <w:sz w:val="18"/>
          <w:szCs w:val="18"/>
          <w:highlight w:val="none"/>
          <w:u w:val="none"/>
          <w14:textFill>
            <w14:solidFill>
              <w14:schemeClr w14:val="tx1"/>
            </w14:solidFill>
          </w14:textFill>
        </w:rPr>
        <w:t>”依据国家标准《岩土工程勘察规范》GB 50021第3.1节确定。</w:t>
      </w:r>
    </w:p>
    <w:p w14:paraId="723E8A8E">
      <w:pPr>
        <w:pStyle w:val="9"/>
        <w:spacing w:line="348" w:lineRule="exact"/>
        <w:rPr>
          <w:rFonts w:ascii="Times New Roman" w:hAnsi="Times New Roman" w:eastAsia="方正书宋简体" w:cs="Times New Roman"/>
          <w:color w:val="000000" w:themeColor="text1"/>
          <w:highlight w:val="none"/>
          <w:u w:val="none"/>
          <w:bdr w:val="single" w:color="auto" w:sz="4" w:space="0"/>
          <w14:textFill>
            <w14:solidFill>
              <w14:schemeClr w14:val="tx1"/>
            </w14:solidFill>
          </w14:textFill>
        </w:rPr>
      </w:pPr>
      <w:bookmarkStart w:id="24" w:name="_Toc37689736"/>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5.3.3  </w:t>
      </w:r>
      <w:r>
        <w:rPr>
          <w:rFonts w:ascii="Times New Roman" w:hAnsi="Times New Roman" w:eastAsia="方正书宋简体" w:cs="Times New Roman"/>
          <w:color w:val="000000" w:themeColor="text1"/>
          <w:highlight w:val="none"/>
          <w:u w:val="none"/>
          <w14:textFill>
            <w14:solidFill>
              <w14:schemeClr w14:val="tx1"/>
            </w14:solidFill>
          </w14:textFill>
        </w:rPr>
        <w:t>初步勘察采取土试样和进行原位测试的勘探孔数量宜占勘探孔总数的1/3~1/2。</w:t>
      </w:r>
    </w:p>
    <w:p w14:paraId="665EC13D">
      <w:pPr>
        <w:pStyle w:val="9"/>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5.3.4  </w:t>
      </w:r>
      <w:r>
        <w:rPr>
          <w:rFonts w:ascii="Times New Roman" w:hAnsi="Times New Roman" w:eastAsia="方正书宋简体" w:cs="Times New Roman"/>
          <w:color w:val="000000" w:themeColor="text1"/>
          <w:highlight w:val="none"/>
          <w:u w:val="none"/>
          <w14:textFill>
            <w14:solidFill>
              <w14:schemeClr w14:val="tx1"/>
            </w14:solidFill>
          </w14:textFill>
        </w:rPr>
        <w:t>初步勘察的控制性勘探</w:t>
      </w:r>
      <w:r>
        <w:rPr>
          <w:rFonts w:hint="eastAsia" w:ascii="Times New Roman" w:hAnsi="Times New Roman" w:eastAsia="方正书宋简体" w:cs="Times New Roman"/>
          <w:color w:val="000000" w:themeColor="text1"/>
          <w:highlight w:val="none"/>
          <w:u w:val="none"/>
          <w14:textFill>
            <w14:solidFill>
              <w14:schemeClr w14:val="tx1"/>
            </w14:solidFill>
          </w14:textFill>
        </w:rPr>
        <w:t>孔</w:t>
      </w:r>
      <w:r>
        <w:rPr>
          <w:rFonts w:ascii="Times New Roman" w:hAnsi="Times New Roman" w:eastAsia="方正书宋简体" w:cs="Times New Roman"/>
          <w:color w:val="000000" w:themeColor="text1"/>
          <w:highlight w:val="none"/>
          <w:u w:val="none"/>
          <w14:textFill>
            <w14:solidFill>
              <w14:schemeClr w14:val="tx1"/>
            </w14:solidFill>
          </w14:textFill>
        </w:rPr>
        <w:t>深度应满足综合管廊地基基础、支护方案初步设计及施工方案比选和地基稳定性、变形计算的要求，一般性勘探孔应满足查明地基持力层和软弱下卧土层分布的要求。</w:t>
      </w:r>
    </w:p>
    <w:p w14:paraId="6B3EBC01">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bookmarkStart w:id="25" w:name="OLE_LINK2"/>
      <w:bookmarkStart w:id="26" w:name="OLE_LINK3"/>
      <w:r>
        <w:rPr>
          <w:rFonts w:ascii="Times New Roman" w:hAnsi="Times New Roman" w:eastAsia="方正书宋简体" w:cs="Times New Roman"/>
          <w:b/>
          <w:bCs/>
          <w:color w:val="000000" w:themeColor="text1"/>
          <w:highlight w:val="none"/>
          <w:u w:val="none"/>
          <w14:textFill>
            <w14:solidFill>
              <w14:schemeClr w14:val="tx1"/>
            </w14:solidFill>
          </w14:textFill>
        </w:rPr>
        <w:t>5.3.</w:t>
      </w:r>
      <w:bookmarkEnd w:id="25"/>
      <w:bookmarkEnd w:id="26"/>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初步勘察应重点分析评价下列内容：</w:t>
      </w:r>
    </w:p>
    <w:p w14:paraId="0FCCE825">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1 </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初步查明沿线地质、构造、地貌、地层、水文地质条件；</w:t>
      </w:r>
    </w:p>
    <w:p w14:paraId="1B2D08A7">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初步分析评价地震、滑坡、地面沉降、采空区等不良地质作用及其分布范围和影响；</w:t>
      </w:r>
    </w:p>
    <w:p w14:paraId="6D93FB42">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在湿陷性黄土、盐渍土、膨胀土、深厚填土等特殊岩土分布区域，初步分析评价其工程特性和可能造成的不利影响，提出防治措施的建议；</w:t>
      </w:r>
    </w:p>
    <w:p w14:paraId="13462E4C">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初步确定沿线岩土工程分级、围岩分级，提出各岩土层物理力学参数；</w:t>
      </w:r>
    </w:p>
    <w:p w14:paraId="3E3CD9E9">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初步查明地表水、地下水条件，评价对管廊施工的影响；</w:t>
      </w:r>
    </w:p>
    <w:p w14:paraId="7607C061">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6</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初步评价水和土对建筑材料的腐蚀性；</w:t>
      </w:r>
    </w:p>
    <w:p w14:paraId="4902C75D">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w:t>
      </w:r>
      <w:r>
        <w:rPr>
          <w:rFonts w:ascii="Times New Roman" w:hAnsi="Times New Roman" w:eastAsia="方正书宋简体" w:cs="Times New Roman"/>
          <w:color w:val="000000" w:themeColor="text1"/>
          <w:highlight w:val="none"/>
          <w:u w:val="none"/>
          <w14:textFill>
            <w14:solidFill>
              <w14:schemeClr w14:val="tx1"/>
            </w14:solidFill>
          </w14:textFill>
        </w:rPr>
        <w:t xml:space="preserve">  初步评价场地和地基的地震效应。</w:t>
      </w:r>
    </w:p>
    <w:p w14:paraId="653F8788">
      <w:pPr>
        <w:pStyle w:val="4"/>
        <w:spacing w:before="156" w:after="156"/>
        <w:rPr>
          <w:b/>
          <w:color w:val="000000" w:themeColor="text1"/>
          <w:highlight w:val="none"/>
          <w:u w:val="none"/>
          <w14:textFill>
            <w14:solidFill>
              <w14:schemeClr w14:val="tx1"/>
            </w14:solidFill>
          </w14:textFill>
        </w:rPr>
      </w:pPr>
      <w:bookmarkStart w:id="27" w:name="OLE_LINK13"/>
      <w:r>
        <w:rPr>
          <w:b/>
          <w:bCs w:val="0"/>
          <w:color w:val="000000" w:themeColor="text1"/>
          <w:highlight w:val="none"/>
          <w:u w:val="none"/>
          <w14:textFill>
            <w14:solidFill>
              <w14:schemeClr w14:val="tx1"/>
            </w14:solidFill>
          </w14:textFill>
        </w:rPr>
        <w:t>5.4</w:t>
      </w:r>
      <w:r>
        <w:rPr>
          <w:color w:val="000000" w:themeColor="text1"/>
          <w:highlight w:val="none"/>
          <w:u w:val="none"/>
          <w14:textFill>
            <w14:solidFill>
              <w14:schemeClr w14:val="tx1"/>
            </w14:solidFill>
          </w14:textFill>
        </w:rPr>
        <w:t xml:space="preserve">  详 细 勘 察</w:t>
      </w:r>
      <w:bookmarkEnd w:id="24"/>
      <w:bookmarkEnd w:id="27"/>
    </w:p>
    <w:p w14:paraId="47795242">
      <w:pPr>
        <w:pStyle w:val="9"/>
        <w:spacing w:line="348" w:lineRule="exact"/>
        <w:rPr>
          <w:rFonts w:ascii="Times New Roman" w:hAnsi="Times New Roman" w:cs="Times New Roman"/>
          <w:color w:val="000000" w:themeColor="text1"/>
          <w:highlight w:val="none"/>
          <w:u w:val="none"/>
          <w14:textFill>
            <w14:solidFill>
              <w14:schemeClr w14:val="tx1"/>
            </w14:solidFill>
          </w14:textFill>
        </w:rPr>
      </w:pPr>
      <w:bookmarkStart w:id="28" w:name="OLE_LINK18"/>
      <w:r>
        <w:rPr>
          <w:rFonts w:ascii="Times New Roman" w:hAnsi="Times New Roman" w:cs="Times New Roman"/>
          <w:b/>
          <w:color w:val="000000" w:themeColor="text1"/>
          <w:highlight w:val="none"/>
          <w:u w:val="none"/>
          <w14:textFill>
            <w14:solidFill>
              <w14:schemeClr w14:val="tx1"/>
            </w14:solidFill>
          </w14:textFill>
        </w:rPr>
        <w:t>5.4.1</w:t>
      </w:r>
      <w:r>
        <w:rPr>
          <w:rFonts w:ascii="Times New Roman" w:hAnsi="Times New Roman"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详细勘察</w:t>
      </w:r>
      <w:bookmarkEnd w:id="28"/>
      <w:r>
        <w:rPr>
          <w:rFonts w:ascii="Times New Roman" w:hAnsi="Times New Roman" w:eastAsia="方正书宋简体" w:cs="Times New Roman"/>
          <w:color w:val="000000" w:themeColor="text1"/>
          <w:highlight w:val="none"/>
          <w:u w:val="none"/>
          <w14:textFill>
            <w14:solidFill>
              <w14:schemeClr w14:val="tx1"/>
            </w14:solidFill>
          </w14:textFill>
        </w:rPr>
        <w:t>应以钻探、井探、坑探、测试等工作为主，查明管廊沿线场地工程地质条件和水文地质条件，为设计和施工提供岩土治理的建议和相关岩土技术参数。</w:t>
      </w:r>
    </w:p>
    <w:p w14:paraId="038A6F7E">
      <w:pPr>
        <w:pStyle w:val="5"/>
        <w:rPr>
          <w:highlight w:val="none"/>
          <w:u w:val="none"/>
        </w:rPr>
      </w:pPr>
      <w:r>
        <w:rPr>
          <w:b/>
          <w:highlight w:val="none"/>
          <w:u w:val="none"/>
        </w:rPr>
        <w:t>5.4.2</w:t>
      </w:r>
      <w:r>
        <w:rPr>
          <w:highlight w:val="none"/>
          <w:u w:val="none"/>
        </w:rPr>
        <w:t xml:space="preserve">  </w:t>
      </w:r>
      <w:bookmarkStart w:id="29" w:name="_Hlk524266636"/>
      <w:r>
        <w:rPr>
          <w:highlight w:val="none"/>
          <w:u w:val="none"/>
        </w:rPr>
        <w:t>详细勘察</w:t>
      </w:r>
      <w:bookmarkEnd w:id="29"/>
      <w:r>
        <w:rPr>
          <w:highlight w:val="none"/>
          <w:u w:val="none"/>
        </w:rPr>
        <w:t>的勘探点布置应符合下列规定：</w:t>
      </w:r>
    </w:p>
    <w:p w14:paraId="16C77EAF">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勘探点宜沿综合管廊外侧交叉布置，管廊走向转角、节点处宜布置勘探点；当基坑开挖深度较深时，宜在基坑开挖影响范围内布置一定数量的勘探孔。详细勘察勘探点间距可按表5.4.2确定；</w:t>
      </w:r>
    </w:p>
    <w:p w14:paraId="16ADA7A8">
      <w:pPr>
        <w:pStyle w:val="9"/>
        <w:spacing w:line="348" w:lineRule="exact"/>
        <w:ind w:firstLine="316" w:firstLineChars="150"/>
        <w:jc w:val="both"/>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详细勘察阶段，控制性勘探孔数量不应少于勘探孔总数的1/3；采取土试样和进行原位测试的勘探孔数量不应少于勘探孔总数的1/2；当勘探孔总数少于3个时，每个勘探孔均应取样或进行原位测试；</w:t>
      </w:r>
    </w:p>
    <w:p w14:paraId="0A152774">
      <w:pPr>
        <w:pStyle w:val="9"/>
        <w:spacing w:line="348" w:lineRule="exact"/>
        <w:ind w:firstLine="316" w:firstLineChars="150"/>
        <w:jc w:val="both"/>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在湿陷性黄土地区，取土勘探点中应</w:t>
      </w:r>
      <w:r>
        <w:rPr>
          <w:rFonts w:ascii="Times New Roman" w:hAnsi="Times New Roman" w:eastAsia="方正书宋简体" w:cs="Times New Roman"/>
          <w:color w:val="000000" w:themeColor="text1"/>
          <w:highlight w:val="none"/>
          <w:u w:val="single"/>
          <w14:textFill>
            <w14:solidFill>
              <w14:schemeClr w14:val="tx1"/>
            </w14:solidFill>
          </w14:textFill>
        </w:rPr>
        <w:t>布置</w:t>
      </w:r>
      <w:r>
        <w:rPr>
          <w:rFonts w:ascii="Times New Roman" w:hAnsi="Times New Roman" w:eastAsia="方正书宋简体" w:cs="Times New Roman"/>
          <w:color w:val="000000" w:themeColor="text1"/>
          <w:highlight w:val="none"/>
          <w14:textFill>
            <w14:solidFill>
              <w14:schemeClr w14:val="tx1"/>
            </w14:solidFill>
          </w14:textFill>
        </w:rPr>
        <w:t>足够数量的探井，其数量应为取土勘探点总数1/3～1/2，并不宜少于3个。探井的深度宜穿透</w:t>
      </w:r>
      <w:bookmarkStart w:id="30" w:name="OLE_LINK6"/>
      <w:r>
        <w:rPr>
          <w:rFonts w:ascii="Times New Roman" w:hAnsi="Times New Roman" w:eastAsia="方正书宋简体" w:cs="Times New Roman"/>
          <w:color w:val="000000" w:themeColor="text1"/>
          <w:highlight w:val="none"/>
          <w14:textFill>
            <w14:solidFill>
              <w14:schemeClr w14:val="tx1"/>
            </w14:solidFill>
          </w14:textFill>
        </w:rPr>
        <w:t>湿陷性黄土</w:t>
      </w:r>
      <w:bookmarkEnd w:id="30"/>
      <w:r>
        <w:rPr>
          <w:rFonts w:ascii="Times New Roman" w:hAnsi="Times New Roman" w:eastAsia="方正书宋简体" w:cs="Times New Roman"/>
          <w:color w:val="000000" w:themeColor="text1"/>
          <w:highlight w:val="none"/>
          <w14:textFill>
            <w14:solidFill>
              <w14:schemeClr w14:val="tx1"/>
            </w14:solidFill>
          </w14:textFill>
        </w:rPr>
        <w:t>层；</w:t>
      </w:r>
    </w:p>
    <w:p w14:paraId="17A44ED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管廊穿越河流时，河床及两岸均应布置勘探点，穿越铁路和公路时，铁路和公路两侧应布置勘探点；</w:t>
      </w:r>
    </w:p>
    <w:p w14:paraId="761115E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 </w:t>
      </w:r>
      <w:r>
        <w:rPr>
          <w:rFonts w:ascii="Times New Roman" w:hAnsi="Times New Roman" w:eastAsia="方正书宋简体" w:cs="Times New Roman"/>
          <w:color w:val="000000" w:themeColor="text1"/>
          <w:highlight w:val="none"/>
          <w14:textFill>
            <w14:solidFill>
              <w14:schemeClr w14:val="tx1"/>
            </w14:solidFill>
          </w14:textFill>
        </w:rPr>
        <w:t xml:space="preserve"> 在每个地貌单位及不同地貌单元的交界部位、微地貌及地层变化较大的地段宜适当加密勘探点；</w:t>
      </w:r>
    </w:p>
    <w:p w14:paraId="4B64DCD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 </w:t>
      </w:r>
      <w:r>
        <w:rPr>
          <w:rFonts w:ascii="Times New Roman" w:hAnsi="Times New Roman" w:eastAsia="方正书宋简体" w:cs="Times New Roman"/>
          <w:color w:val="000000" w:themeColor="text1"/>
          <w:highlight w:val="none"/>
          <w14:textFill>
            <w14:solidFill>
              <w14:schemeClr w14:val="tx1"/>
            </w14:solidFill>
          </w14:textFill>
        </w:rPr>
        <w:t xml:space="preserve"> 当综合管廊拟采用桩基础或进行地基处理，且持力层起伏较大、地层分布复杂时应适当加密勘探孔；</w:t>
      </w:r>
    </w:p>
    <w:p w14:paraId="3A3B518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综合管廊穿越暗埋的河、湖、沟、坑地段和可能产生流砂（土）管涌及地震液化的松软土层地段，宜加密勘探点；</w:t>
      </w:r>
    </w:p>
    <w:p w14:paraId="505224CF">
      <w:pPr>
        <w:pStyle w:val="9"/>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综合管廊通过人工填土及软土等特殊性岩土分布地段，或不良地质作用发育地段时，宜加密勘探点</w:t>
      </w:r>
      <w:r>
        <w:rPr>
          <w:rFonts w:ascii="Times New Roman" w:hAnsi="Times New Roman" w:eastAsia="方正书宋简体" w:cs="Times New Roman"/>
          <w:color w:val="000000" w:themeColor="text1"/>
          <w:highlight w:val="none"/>
          <w:u w:val="none"/>
          <w14:textFill>
            <w14:solidFill>
              <w14:schemeClr w14:val="tx1"/>
            </w14:solidFill>
          </w14:textFill>
        </w:rPr>
        <w:t>，对高灵敏度软土地区，宜进行现场十字板剪切试验等原位测试；</w:t>
      </w:r>
    </w:p>
    <w:p w14:paraId="09A66E8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lang w:eastAsia="zh-CN"/>
          <w14:textFill>
            <w14:solidFill>
              <w14:schemeClr w14:val="tx1"/>
            </w14:solidFill>
          </w14:textFill>
        </w:rPr>
        <w:t>场地或</w:t>
      </w:r>
      <w:r>
        <w:rPr>
          <w:rFonts w:ascii="Times New Roman" w:hAnsi="Times New Roman" w:eastAsia="方正书宋简体" w:cs="Times New Roman"/>
          <w:color w:val="000000" w:themeColor="text1"/>
          <w:highlight w:val="none"/>
          <w:u w:val="none"/>
          <w14:textFill>
            <w14:solidFill>
              <w14:schemeClr w14:val="tx1"/>
            </w14:solidFill>
          </w14:textFill>
        </w:rPr>
        <w:t>地质条件</w:t>
      </w:r>
      <w:r>
        <w:rPr>
          <w:rFonts w:ascii="Times New Roman" w:hAnsi="Times New Roman" w:eastAsia="方正书宋简体" w:cs="Times New Roman"/>
          <w:color w:val="000000" w:themeColor="text1"/>
          <w:highlight w:val="none"/>
          <w14:textFill>
            <w14:solidFill>
              <w14:schemeClr w14:val="tx1"/>
            </w14:solidFill>
          </w14:textFill>
        </w:rPr>
        <w:t>复杂的地段应布置横断面。</w:t>
      </w:r>
    </w:p>
    <w:p w14:paraId="07951631">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5.4.2</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勘探点间距（m）</w:t>
      </w:r>
    </w:p>
    <w:tbl>
      <w:tblPr>
        <w:tblStyle w:val="28"/>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90"/>
        <w:gridCol w:w="2050"/>
        <w:gridCol w:w="1883"/>
      </w:tblGrid>
      <w:tr w14:paraId="26FB0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tcPr>
          <w:p w14:paraId="7752979D">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场地</w:t>
            </w:r>
            <w:r>
              <w:rPr>
                <w:rFonts w:hint="eastAsia"/>
                <w:color w:val="000000" w:themeColor="text1"/>
                <w:highlight w:val="none"/>
                <w:lang w:eastAsia="zh-CN"/>
                <w14:textFill>
                  <w14:solidFill>
                    <w14:schemeClr w14:val="tx1"/>
                  </w14:solidFill>
                </w14:textFill>
              </w:rPr>
              <w:t>和地基</w:t>
            </w:r>
            <w:r>
              <w:rPr>
                <w:color w:val="000000" w:themeColor="text1"/>
                <w:highlight w:val="none"/>
                <w14:textFill>
                  <w14:solidFill>
                    <w14:schemeClr w14:val="tx1"/>
                  </w14:solidFill>
                </w14:textFill>
              </w:rPr>
              <w:t>复杂程度</w:t>
            </w:r>
            <w:r>
              <w:rPr>
                <w:rFonts w:hint="eastAsia"/>
                <w:color w:val="000000" w:themeColor="text1"/>
                <w:highlight w:val="none"/>
                <w:lang w:eastAsia="zh-CN"/>
                <w14:textFill>
                  <w14:solidFill>
                    <w14:schemeClr w14:val="tx1"/>
                  </w14:solidFill>
                </w14:textFill>
              </w:rPr>
              <w:t>等级</w:t>
            </w:r>
          </w:p>
        </w:tc>
        <w:tc>
          <w:tcPr>
            <w:tcW w:w="2793" w:type="dxa"/>
          </w:tcPr>
          <w:p w14:paraId="52496F2F">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明挖施工</w:t>
            </w:r>
          </w:p>
        </w:tc>
        <w:tc>
          <w:tcPr>
            <w:tcW w:w="2562" w:type="dxa"/>
          </w:tcPr>
          <w:p w14:paraId="4E372DF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暗挖施工</w:t>
            </w:r>
          </w:p>
        </w:tc>
      </w:tr>
      <w:tr w14:paraId="2AC6C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tcPr>
          <w:p w14:paraId="28750BF6">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一级</w:t>
            </w:r>
          </w:p>
        </w:tc>
        <w:tc>
          <w:tcPr>
            <w:tcW w:w="2793" w:type="dxa"/>
          </w:tcPr>
          <w:p w14:paraId="06A1D14D">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30～50</w:t>
            </w:r>
          </w:p>
        </w:tc>
        <w:tc>
          <w:tcPr>
            <w:tcW w:w="2562" w:type="dxa"/>
          </w:tcPr>
          <w:p w14:paraId="143FF866">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20～30</w:t>
            </w:r>
          </w:p>
        </w:tc>
      </w:tr>
      <w:tr w14:paraId="4F313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tcPr>
          <w:p w14:paraId="70085EF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二级</w:t>
            </w:r>
          </w:p>
        </w:tc>
        <w:tc>
          <w:tcPr>
            <w:tcW w:w="2793" w:type="dxa"/>
          </w:tcPr>
          <w:p w14:paraId="6C06202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50～75</w:t>
            </w:r>
          </w:p>
        </w:tc>
        <w:tc>
          <w:tcPr>
            <w:tcW w:w="2562" w:type="dxa"/>
          </w:tcPr>
          <w:p w14:paraId="2820399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30～50</w:t>
            </w:r>
          </w:p>
        </w:tc>
      </w:tr>
      <w:tr w14:paraId="63DEF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85" w:type="dxa"/>
          </w:tcPr>
          <w:p w14:paraId="1659F4DF">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三级</w:t>
            </w:r>
          </w:p>
        </w:tc>
        <w:tc>
          <w:tcPr>
            <w:tcW w:w="2793" w:type="dxa"/>
          </w:tcPr>
          <w:p w14:paraId="5DB73DE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75～150</w:t>
            </w:r>
          </w:p>
        </w:tc>
        <w:tc>
          <w:tcPr>
            <w:tcW w:w="2562" w:type="dxa"/>
          </w:tcPr>
          <w:p w14:paraId="2D4D9D1F">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50～100</w:t>
            </w:r>
          </w:p>
        </w:tc>
      </w:tr>
    </w:tbl>
    <w:p w14:paraId="082D645B">
      <w:pPr>
        <w:pStyle w:val="5"/>
        <w:rPr>
          <w:highlight w:val="none"/>
        </w:rPr>
      </w:pPr>
      <w:r>
        <w:rPr>
          <w:b/>
          <w:highlight w:val="none"/>
        </w:rPr>
        <w:t>5.4.3</w:t>
      </w:r>
      <w:r>
        <w:rPr>
          <w:highlight w:val="none"/>
        </w:rPr>
        <w:t xml:space="preserve">  详细勘察勘探孔深度应符合下列规定：</w:t>
      </w:r>
    </w:p>
    <w:p w14:paraId="1D5FAAA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勘探</w:t>
      </w:r>
      <w:r>
        <w:rPr>
          <w:rFonts w:hint="eastAsia" w:ascii="Times New Roman" w:hAnsi="Times New Roman" w:eastAsia="方正书宋简体" w:cs="Times New Roman"/>
          <w:color w:val="000000" w:themeColor="text1"/>
          <w:highlight w:val="none"/>
          <w14:textFill>
            <w14:solidFill>
              <w14:schemeClr w14:val="tx1"/>
            </w14:solidFill>
          </w14:textFill>
        </w:rPr>
        <w:t>孔</w:t>
      </w:r>
      <w:r>
        <w:rPr>
          <w:rFonts w:ascii="Times New Roman" w:hAnsi="Times New Roman" w:eastAsia="方正书宋简体" w:cs="Times New Roman"/>
          <w:color w:val="000000" w:themeColor="text1"/>
          <w:highlight w:val="none"/>
          <w14:textFill>
            <w14:solidFill>
              <w14:schemeClr w14:val="tx1"/>
            </w14:solidFill>
          </w14:textFill>
        </w:rPr>
        <w:t>深度应满足综合管廊基础设计、地下水控制、基坑支护设计及施工要求，以及满足沉降计算及抗浮设计要求</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85DDDD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一般性勘探孔的深度应能控制地基主要受力层，且达到结构底板以下不小于（0.5～1.5）倍基础宽度，控制性勘探孔的深度应超过地基变形计算深度，且达到结构底板以下不小于（1.5～2.5）倍基础宽度，并进入稳定分布的地层</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3CD30B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当基底下存在松软土层、高灵敏度软土、</w:t>
      </w:r>
      <w:r>
        <w:rPr>
          <w:rFonts w:ascii="Times New Roman" w:hAnsi="Times New Roman" w:eastAsia="方正书宋简体" w:cs="Times New Roman"/>
          <w:color w:val="000000" w:themeColor="text1"/>
          <w:highlight w:val="none"/>
          <w:u w:val="none"/>
          <w14:textFill>
            <w14:solidFill>
              <w14:schemeClr w14:val="tx1"/>
            </w14:solidFill>
          </w14:textFill>
        </w:rPr>
        <w:t>湿陷性黄土及</w:t>
      </w:r>
      <w:r>
        <w:rPr>
          <w:rFonts w:ascii="Times New Roman" w:hAnsi="Times New Roman" w:eastAsia="方正书宋简体" w:cs="Times New Roman"/>
          <w:color w:val="000000" w:themeColor="text1"/>
          <w:highlight w:val="none"/>
          <w14:textFill>
            <w14:solidFill>
              <w14:schemeClr w14:val="tx1"/>
            </w14:solidFill>
          </w14:textFill>
        </w:rPr>
        <w:t>深厚填土层等特殊性土时，勘探孔深度应加深并穿透；当基底以下存在可液化土层时，勘探孔深度应满足工程分析评价要求；遇溶洞、土洞、暗河等，勘探孔应加深并穿透；在微风化～中等风化岩石或厚层碎石土等稳定地层中，勘探孔深度可适当减小。</w:t>
      </w:r>
    </w:p>
    <w:p w14:paraId="7C3F0E34">
      <w:pPr>
        <w:pStyle w:val="5"/>
        <w:rPr>
          <w:highlight w:val="none"/>
        </w:rPr>
      </w:pPr>
      <w:r>
        <w:rPr>
          <w:b/>
          <w:highlight w:val="none"/>
        </w:rPr>
        <w:t>5.4.4</w:t>
      </w:r>
      <w:r>
        <w:rPr>
          <w:highlight w:val="none"/>
        </w:rPr>
        <w:t xml:space="preserve">  详细勘察的岩土工程评价应符合下列规定：</w:t>
      </w:r>
    </w:p>
    <w:p w14:paraId="37F3949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查明沿线地质、构造、地貌、地层、水文地质条件，调查地下有害气体情况。提出各岩土层物理力学参数、岩土工程分级、围岩分级；</w:t>
      </w:r>
    </w:p>
    <w:p w14:paraId="0275C29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分析评价不良地质作用及特殊性岩土对综合管廊施工的影响，并提出处理措施；</w:t>
      </w:r>
    </w:p>
    <w:p w14:paraId="22905CA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对明挖施工方案，应提出基坑边坡稳定性计算参数及基坑支护设计参数；应进行基坑周边环境状况调查，查明邻近建筑物和地下设施的现状、结构特点以及对开挖变形的承受能力；在管线密集区域，可通过地理信息系统或调取档案资料，了解管线类别、位置、埋深、规模等，必要时采取有效方法进行地下管线探测；</w:t>
      </w:r>
    </w:p>
    <w:p w14:paraId="0BCD405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分析评价地下水对工程设计、施工的影响，提供地下水控制所需地层参数，评价地下水控制方案对工程周边环境的影响；</w:t>
      </w:r>
    </w:p>
    <w:p w14:paraId="79C7D4A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对地基承载力、地基处理、围岩加固等提出建议；尤其对高灵敏度软土场地，应根据其分布范围，结构性、灵敏度等力学特性结合管廊结构特点、荷载分布、对不均匀沉降的敏感性等，提出地基处理的建议；</w:t>
      </w:r>
    </w:p>
    <w:p w14:paraId="35BFE49D">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对湿陷性黄土场地，应根据场地湿陷类型、湿陷等级、结构特点等因素，提出结构措施、防水措施的建议；</w:t>
      </w:r>
    </w:p>
    <w:p w14:paraId="66B04E6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对采用暗挖法施工方案，应提供相应工法设计、施工所需参数；对于稳定性差的地层及可能产生管涌、流砂的地层，应提出加固处理的建议；</w:t>
      </w:r>
    </w:p>
    <w:p w14:paraId="5105A83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分析评价地下水、土对建筑材料的腐蚀性；</w:t>
      </w:r>
    </w:p>
    <w:p w14:paraId="2C5119F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分析评价建筑的场地类别和场地与地基的地震效应；</w:t>
      </w:r>
    </w:p>
    <w:p w14:paraId="3A90FA0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ascii="Times New Roman" w:hAnsi="Times New Roman" w:eastAsia="方正书宋简体" w:cs="Times New Roman"/>
          <w:color w:val="000000" w:themeColor="text1"/>
          <w:highlight w:val="none"/>
          <w14:textFill>
            <w14:solidFill>
              <w14:schemeClr w14:val="tx1"/>
            </w14:solidFill>
          </w14:textFill>
        </w:rPr>
        <w:t xml:space="preserve">  管廊穿越堤岸时，应分析评价破堤对堤岸稳定性的影响和堤岸变形对管廊的影响，并提出相关建议。</w:t>
      </w:r>
    </w:p>
    <w:p w14:paraId="36CFF056">
      <w:pPr>
        <w:pStyle w:val="9"/>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cs="Times New Roman"/>
          <w:b/>
          <w:color w:val="000000" w:themeColor="text1"/>
          <w:highlight w:val="none"/>
          <w:u w:val="none"/>
          <w14:textFill>
            <w14:solidFill>
              <w14:schemeClr w14:val="tx1"/>
            </w14:solidFill>
          </w14:textFill>
        </w:rPr>
        <w:t>5.4.5</w:t>
      </w:r>
      <w:r>
        <w:rPr>
          <w:rFonts w:ascii="Times New Roman" w:hAnsi="Times New Roman"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对遇有的不良地质作用及特殊性岩土，分析评价尚应符合下列规定：</w:t>
      </w:r>
    </w:p>
    <w:p w14:paraId="4E90DC88">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1  </w:t>
      </w:r>
      <w:r>
        <w:rPr>
          <w:rFonts w:ascii="Times New Roman" w:hAnsi="Times New Roman" w:eastAsia="方正书宋简体" w:cs="Times New Roman"/>
          <w:color w:val="000000" w:themeColor="text1"/>
          <w:highlight w:val="none"/>
          <w:u w:val="none"/>
          <w14:textFill>
            <w14:solidFill>
              <w14:schemeClr w14:val="tx1"/>
            </w14:solidFill>
          </w14:textFill>
        </w:rPr>
        <w:t>岩溶发育地区，应根据岩溶发育的地质背景、溶洞 、土洞 、塌陷的形态、平面位置和顶底标高，分析岩溶的稳定性及其对拟建管廊工程的影响，提出治理和监测的建议；</w:t>
      </w:r>
    </w:p>
    <w:p w14:paraId="6E5F16D0">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2  </w:t>
      </w:r>
      <w:r>
        <w:rPr>
          <w:rFonts w:ascii="Times New Roman" w:hAnsi="Times New Roman" w:eastAsia="方正书宋简体" w:cs="Times New Roman"/>
          <w:color w:val="000000" w:themeColor="text1"/>
          <w:highlight w:val="none"/>
          <w:u w:val="none"/>
          <w14:textFill>
            <w14:solidFill>
              <w14:schemeClr w14:val="tx1"/>
            </w14:solidFill>
          </w14:textFill>
        </w:rPr>
        <w:t>当存在采空区时，应根据采空区的埋深、范围和上覆岩层的性质等评价管廊工程地基的稳定性，并提出处理措施的建议；</w:t>
      </w:r>
    </w:p>
    <w:p w14:paraId="44AAAABB">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湿陷性土地区，应根据土层的湿陷程度、地下水条件，分析评价湿陷性土对管廊工程的危害程度并提出地基处理等措施的建议；</w:t>
      </w:r>
    </w:p>
    <w:p w14:paraId="06611CA9">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膨胀岩土地区，应评价膨胀岩土的工程特性，并应根据场地的环境条件和岩土体增水后体积膨胀、强度衰减和失水后体积收缩、强度增大的变化特点，综合评价管廊工程的地基强度和变形特征；</w:t>
      </w:r>
    </w:p>
    <w:p w14:paraId="724FDED8">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软土地区，应根据软</w:t>
      </w:r>
      <w:r>
        <w:rPr>
          <w:rFonts w:hint="eastAsia" w:ascii="Times New Roman" w:hAnsi="Times New Roman" w:eastAsia="方正书宋简体" w:cs="Times New Roman"/>
          <w:color w:val="000000" w:themeColor="text1"/>
          <w:highlight w:val="none"/>
          <w:u w:val="none"/>
          <w14:textFill>
            <w14:solidFill>
              <w14:schemeClr w14:val="tx1"/>
            </w14:solidFill>
          </w14:textFill>
        </w:rPr>
        <w:t>土</w:t>
      </w:r>
      <w:r>
        <w:rPr>
          <w:rFonts w:ascii="Times New Roman" w:hAnsi="Times New Roman" w:eastAsia="方正书宋简体" w:cs="Times New Roman"/>
          <w:color w:val="000000" w:themeColor="text1"/>
          <w:highlight w:val="none"/>
          <w:u w:val="none"/>
          <w14:textFill>
            <w14:solidFill>
              <w14:schemeClr w14:val="tx1"/>
            </w14:solidFill>
          </w14:textFill>
        </w:rPr>
        <w:t>的分布范围、分布规律和物理力学性质，评价管廊地基的稳定性和变形特征，并提出地基处理措施的建议；</w:t>
      </w:r>
    </w:p>
    <w:p w14:paraId="6F5F7D88">
      <w:pPr>
        <w:pStyle w:val="9"/>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6  </w:t>
      </w:r>
      <w:r>
        <w:rPr>
          <w:rFonts w:ascii="Times New Roman" w:hAnsi="Times New Roman" w:eastAsia="方正书宋简体" w:cs="Times New Roman"/>
          <w:color w:val="000000" w:themeColor="text1"/>
          <w:highlight w:val="none"/>
          <w:u w:val="none"/>
          <w14:textFill>
            <w14:solidFill>
              <w14:schemeClr w14:val="tx1"/>
            </w14:solidFill>
          </w14:textFill>
        </w:rPr>
        <w:t>对厚层填土，应根据填土的堆积年代、物质组成、</w:t>
      </w:r>
      <w:r>
        <w:rPr>
          <w:rFonts w:hint="eastAsia" w:ascii="Times New Roman" w:hAnsi="Times New Roman" w:eastAsia="方正书宋简体" w:cs="Times New Roman"/>
          <w:color w:val="000000" w:themeColor="text1"/>
          <w:highlight w:val="none"/>
          <w:u w:val="none"/>
          <w14:textFill>
            <w14:solidFill>
              <w14:schemeClr w14:val="tx1"/>
            </w14:solidFill>
          </w14:textFill>
        </w:rPr>
        <w:t>均匀</w:t>
      </w:r>
      <w:r>
        <w:rPr>
          <w:rFonts w:ascii="Times New Roman" w:hAnsi="Times New Roman" w:eastAsia="方正书宋简体" w:cs="Times New Roman"/>
          <w:color w:val="000000" w:themeColor="text1"/>
          <w:highlight w:val="none"/>
          <w:u w:val="none"/>
          <w14:textFill>
            <w14:solidFill>
              <w14:schemeClr w14:val="tx1"/>
            </w14:solidFill>
          </w14:textFill>
        </w:rPr>
        <w:t>性、密实度等，评价其对拟建管廊地基基础的影响，提出加固处理措施的建议。</w:t>
      </w:r>
    </w:p>
    <w:p w14:paraId="36960932">
      <w:pPr>
        <w:pStyle w:val="9"/>
        <w:spacing w:line="348" w:lineRule="exact"/>
        <w:ind w:firstLine="316" w:firstLineChars="150"/>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7  </w:t>
      </w:r>
      <w:bookmarkStart w:id="31" w:name="OLE_LINK11"/>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盐渍土</w:t>
      </w:r>
      <w:bookmarkEnd w:id="31"/>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地区，应查明盐渍岩土的成因、分布和特点，确定</w:t>
      </w:r>
      <w:bookmarkStart w:id="32" w:name="OLE_LINK12"/>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含盐</w:t>
      </w:r>
      <w:bookmarkEnd w:id="32"/>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类型、含盐量及其在岩土中的分布以及对岩土工程特性的影响。评价岩土的溶陷性、盐胀性、腐蚀性对地基稳定性的影响及地基处理和防治措施的建议。</w:t>
      </w:r>
    </w:p>
    <w:p w14:paraId="0298E457">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5.</w:t>
      </w:r>
      <w:r>
        <w:rPr>
          <w:rFonts w:hint="eastAsia"/>
          <w:b/>
          <w:bCs w:val="0"/>
          <w:color w:val="000000" w:themeColor="text1"/>
          <w:highlight w:val="none"/>
          <w:u w:val="none"/>
          <w:lang w:val="en-US" w:eastAsia="zh-CN"/>
          <w14:textFill>
            <w14:solidFill>
              <w14:schemeClr w14:val="tx1"/>
            </w14:solidFill>
          </w14:textFill>
        </w:rPr>
        <w:t>5</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施 工</w:t>
      </w:r>
      <w:r>
        <w:rPr>
          <w:color w:val="000000" w:themeColor="text1"/>
          <w:highlight w:val="none"/>
          <w:u w:val="none"/>
          <w14:textFill>
            <w14:solidFill>
              <w14:schemeClr w14:val="tx1"/>
            </w14:solidFill>
          </w14:textFill>
        </w:rPr>
        <w:t xml:space="preserve"> 勘 察</w:t>
      </w:r>
    </w:p>
    <w:p w14:paraId="30B7577E">
      <w:pPr>
        <w:pStyle w:val="9"/>
        <w:keepNext w:val="0"/>
        <w:keepLines w:val="0"/>
        <w:pageBreakBefore w:val="0"/>
        <w:widowControl w:val="0"/>
        <w:kinsoku/>
        <w:wordWrap/>
        <w:overflowPunct/>
        <w:topLinePunct w:val="0"/>
        <w:autoSpaceDE/>
        <w:autoSpaceDN/>
        <w:bidi w:val="0"/>
        <w:adjustRightInd/>
        <w:snapToGrid/>
        <w:spacing w:line="348" w:lineRule="exact"/>
        <w:textAlignment w:val="auto"/>
        <w:rPr>
          <w:rStyle w:val="36"/>
          <w:rFonts w:hint="eastAsia"/>
          <w:highlight w:val="none"/>
          <w:lang w:eastAsia="zh-CN"/>
        </w:rPr>
      </w:pPr>
      <w:bookmarkStart w:id="33" w:name="OLE_LINK19"/>
      <w:r>
        <w:rPr>
          <w:rFonts w:ascii="Times New Roman" w:hAnsi="Times New Roman" w:cs="Times New Roman"/>
          <w:b/>
          <w:color w:val="000000" w:themeColor="text1"/>
          <w:highlight w:val="none"/>
          <w:u w:val="none"/>
          <w14:textFill>
            <w14:solidFill>
              <w14:schemeClr w14:val="tx1"/>
            </w14:solidFill>
          </w14:textFill>
        </w:rPr>
        <w:t>5.</w:t>
      </w:r>
      <w:r>
        <w:rPr>
          <w:rFonts w:hint="eastAsia" w:ascii="Times New Roman" w:hAnsi="Times New Roman" w:cs="Times New Roman"/>
          <w:b/>
          <w:color w:val="000000" w:themeColor="text1"/>
          <w:highlight w:val="none"/>
          <w:u w:val="none"/>
          <w:lang w:val="en-US" w:eastAsia="zh-CN"/>
          <w14:textFill>
            <w14:solidFill>
              <w14:schemeClr w14:val="tx1"/>
            </w14:solidFill>
          </w14:textFill>
        </w:rPr>
        <w:t>5</w:t>
      </w:r>
      <w:r>
        <w:rPr>
          <w:rFonts w:ascii="Times New Roman" w:hAnsi="Times New Roman" w:cs="Times New Roman"/>
          <w:b/>
          <w:color w:val="000000" w:themeColor="text1"/>
          <w:highlight w:val="none"/>
          <w:u w:val="none"/>
          <w14:textFill>
            <w14:solidFill>
              <w14:schemeClr w14:val="tx1"/>
            </w14:solidFill>
          </w14:textFill>
        </w:rPr>
        <w:t>.1</w:t>
      </w:r>
      <w:r>
        <w:rPr>
          <w:rFonts w:ascii="Times New Roman" w:hAnsi="Times New Roman" w:cs="Times New Roman"/>
          <w:color w:val="000000" w:themeColor="text1"/>
          <w:highlight w:val="none"/>
          <w:u w:val="none"/>
          <w14:textFill>
            <w14:solidFill>
              <w14:schemeClr w14:val="tx1"/>
            </w14:solidFill>
          </w14:textFill>
        </w:rPr>
        <w:t xml:space="preserve"> </w:t>
      </w:r>
      <w:r>
        <w:rPr>
          <w:rFonts w:hint="eastAsia" w:ascii="Times New Roman" w:hAnsi="Times New Roman" w:cs="Times New Roman"/>
          <w:color w:val="000000" w:themeColor="text1"/>
          <w:highlight w:val="none"/>
          <w:u w:val="none"/>
          <w:lang w:val="en-US" w:eastAsia="zh-CN"/>
          <w14:textFill>
            <w14:solidFill>
              <w14:schemeClr w14:val="tx1"/>
            </w14:solidFill>
          </w14:textFill>
        </w:rPr>
        <w:t xml:space="preserve"> </w:t>
      </w:r>
      <w:r>
        <w:rPr>
          <w:rStyle w:val="36"/>
          <w:rFonts w:hint="eastAsia"/>
          <w:highlight w:val="none"/>
          <w:lang w:eastAsia="zh-CN"/>
        </w:rPr>
        <w:t>施工</w:t>
      </w:r>
      <w:bookmarkEnd w:id="33"/>
      <w:r>
        <w:rPr>
          <w:rStyle w:val="36"/>
          <w:highlight w:val="none"/>
        </w:rPr>
        <w:t>勘察</w:t>
      </w:r>
      <w:r>
        <w:rPr>
          <w:rStyle w:val="36"/>
          <w:rFonts w:hint="eastAsia"/>
          <w:highlight w:val="none"/>
          <w:lang w:eastAsia="zh-CN"/>
        </w:rPr>
        <w:t>应针对施工方法、施工工艺的特殊要求和施工中出现的工程地质问题等开展工作，提供地质资料，满足施工方案调整和风险控制的要求。</w:t>
      </w:r>
    </w:p>
    <w:p w14:paraId="43642D4C">
      <w:pPr>
        <w:pStyle w:val="5"/>
        <w:bidi w:val="0"/>
        <w:rPr>
          <w:rFonts w:hint="eastAsia"/>
          <w:highlight w:val="none"/>
          <w:lang w:eastAsia="zh-CN"/>
        </w:rPr>
      </w:pPr>
      <w:bookmarkStart w:id="34" w:name="OLE_LINK21"/>
      <w:r>
        <w:rPr>
          <w:rFonts w:ascii="Times New Roman" w:hAnsi="Times New Roman" w:cs="Times New Roman"/>
          <w:b/>
          <w:color w:val="000000" w:themeColor="text1"/>
          <w:highlight w:val="none"/>
          <w:u w:val="none"/>
          <w14:textFill>
            <w14:solidFill>
              <w14:schemeClr w14:val="tx1"/>
            </w14:solidFill>
          </w14:textFill>
        </w:rPr>
        <w:t>5.</w:t>
      </w:r>
      <w:r>
        <w:rPr>
          <w:rFonts w:hint="eastAsia" w:ascii="Times New Roman" w:hAnsi="Times New Roman" w:cs="Times New Roman"/>
          <w:b/>
          <w:color w:val="000000" w:themeColor="text1"/>
          <w:highlight w:val="none"/>
          <w:u w:val="none"/>
          <w:lang w:val="en-US" w:eastAsia="zh-CN"/>
          <w14:textFill>
            <w14:solidFill>
              <w14:schemeClr w14:val="tx1"/>
            </w14:solidFill>
          </w14:textFill>
        </w:rPr>
        <w:t>5</w:t>
      </w:r>
      <w:r>
        <w:rPr>
          <w:rFonts w:ascii="Times New Roman" w:hAnsi="Times New Roman" w:cs="Times New Roman"/>
          <w:b/>
          <w:color w:val="000000" w:themeColor="text1"/>
          <w:highlight w:val="none"/>
          <w:u w:val="none"/>
          <w14:textFill>
            <w14:solidFill>
              <w14:schemeClr w14:val="tx1"/>
            </w14:solidFill>
          </w14:textFill>
        </w:rPr>
        <w:t>.</w:t>
      </w:r>
      <w:r>
        <w:rPr>
          <w:rFonts w:hint="eastAsia" w:ascii="Times New Roman" w:hAnsi="Times New Roman" w:cs="Times New Roman"/>
          <w:b/>
          <w:color w:val="000000" w:themeColor="text1"/>
          <w:highlight w:val="none"/>
          <w:u w:val="none"/>
          <w:lang w:val="en-US" w:eastAsia="zh-CN"/>
          <w14:textFill>
            <w14:solidFill>
              <w14:schemeClr w14:val="tx1"/>
            </w14:solidFill>
          </w14:textFill>
        </w:rPr>
        <w:t>2</w:t>
      </w:r>
      <w:r>
        <w:rPr>
          <w:rFonts w:ascii="Times New Roman" w:hAnsi="Times New Roman" w:cs="Times New Roman"/>
          <w:color w:val="000000" w:themeColor="text1"/>
          <w:highlight w:val="none"/>
          <w:u w:val="none"/>
          <w14:textFill>
            <w14:solidFill>
              <w14:schemeClr w14:val="tx1"/>
            </w14:solidFill>
          </w14:textFill>
        </w:rPr>
        <w:t xml:space="preserve"> </w:t>
      </w:r>
      <w:bookmarkStart w:id="35" w:name="OLE_LINK20"/>
      <w:r>
        <w:rPr>
          <w:rFonts w:hint="eastAsia" w:cs="Times New Roman"/>
          <w:color w:val="000000" w:themeColor="text1"/>
          <w:highlight w:val="none"/>
          <w:u w:val="none"/>
          <w:lang w:val="en-US" w:eastAsia="zh-CN"/>
          <w14:textFill>
            <w14:solidFill>
              <w14:schemeClr w14:val="tx1"/>
            </w14:solidFill>
          </w14:textFill>
        </w:rPr>
        <w:t xml:space="preserve"> </w:t>
      </w:r>
      <w:r>
        <w:rPr>
          <w:rFonts w:hint="eastAsia"/>
          <w:highlight w:val="none"/>
          <w:lang w:eastAsia="zh-CN"/>
        </w:rPr>
        <w:t>遇到</w:t>
      </w:r>
      <w:bookmarkEnd w:id="34"/>
      <w:bookmarkEnd w:id="35"/>
      <w:r>
        <w:rPr>
          <w:rFonts w:hint="eastAsia"/>
          <w:highlight w:val="none"/>
          <w:lang w:eastAsia="zh-CN"/>
        </w:rPr>
        <w:t>下列情况之一时，应进行施工勘察：</w:t>
      </w:r>
    </w:p>
    <w:p w14:paraId="2D912C91">
      <w:pPr>
        <w:pStyle w:val="5"/>
        <w:bidi w:val="0"/>
        <w:ind w:firstLine="422" w:firstLineChars="200"/>
        <w:rPr>
          <w:rFonts w:hint="eastAsia"/>
          <w:highlight w:val="none"/>
          <w:lang w:eastAsia="zh-CN"/>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highlight w:val="none"/>
          <w:lang w:val="en-US" w:eastAsia="zh-CN"/>
        </w:rPr>
        <w:t xml:space="preserve">  施工过程中</w:t>
      </w:r>
      <w:r>
        <w:rPr>
          <w:rFonts w:hint="eastAsia"/>
          <w:highlight w:val="none"/>
          <w:lang w:eastAsia="zh-CN"/>
        </w:rPr>
        <w:t>遇到详勘察工作中未能准确反映出的复杂岩土条件，并可能影响工程质量和安全；</w:t>
      </w:r>
    </w:p>
    <w:p w14:paraId="16308A1A">
      <w:pPr>
        <w:pStyle w:val="5"/>
        <w:bidi w:val="0"/>
        <w:ind w:firstLine="422" w:firstLineChars="200"/>
        <w:rPr>
          <w:rFonts w:hint="eastAsia"/>
          <w:highlight w:val="none"/>
          <w:lang w:val="en-US" w:eastAsia="zh-CN"/>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hint="eastAsia"/>
          <w:highlight w:val="none"/>
          <w:lang w:val="en-US" w:eastAsia="zh-CN"/>
        </w:rPr>
        <w:t xml:space="preserve">  施工中地下水位发生较大变化，地基、边坡及洞室变形或失稳需进行处理且原勘察文件不能满足设计、施工需要；</w:t>
      </w:r>
    </w:p>
    <w:p w14:paraId="3DA7CBAE">
      <w:pPr>
        <w:pStyle w:val="5"/>
        <w:bidi w:val="0"/>
        <w:ind w:firstLine="422" w:firstLineChars="200"/>
        <w:rPr>
          <w:rFonts w:hint="eastAsia"/>
          <w:highlight w:val="none"/>
          <w:lang w:val="en-US" w:eastAsia="zh-CN"/>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hint="eastAsia"/>
          <w:highlight w:val="none"/>
          <w:lang w:val="en-US" w:eastAsia="zh-CN"/>
        </w:rPr>
        <w:t xml:space="preserve">  地质环境复杂、施工可能导致地质环境严重破坏；</w:t>
      </w:r>
    </w:p>
    <w:p w14:paraId="4A51BC3C">
      <w:pPr>
        <w:pStyle w:val="5"/>
        <w:bidi w:val="0"/>
        <w:ind w:firstLine="422" w:firstLineChars="200"/>
        <w:rPr>
          <w:rFonts w:hint="eastAsia"/>
          <w:highlight w:val="none"/>
          <w:lang w:val="en-US" w:eastAsia="zh-CN"/>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hint="eastAsia"/>
          <w:highlight w:val="none"/>
          <w:lang w:val="en-US" w:eastAsia="zh-CN"/>
        </w:rPr>
        <w:t xml:space="preserve">  需进行施工勘察的其他情况。</w:t>
      </w:r>
    </w:p>
    <w:p w14:paraId="2F2B4BF2">
      <w:pPr>
        <w:pStyle w:val="9"/>
        <w:keepNext w:val="0"/>
        <w:keepLines w:val="0"/>
        <w:pageBreakBefore w:val="0"/>
        <w:widowControl w:val="0"/>
        <w:kinsoku/>
        <w:wordWrap/>
        <w:overflowPunct/>
        <w:topLinePunct w:val="0"/>
        <w:autoSpaceDE/>
        <w:autoSpaceDN/>
        <w:bidi w:val="0"/>
        <w:adjustRightInd/>
        <w:snapToGrid/>
        <w:spacing w:line="348" w:lineRule="exact"/>
        <w:textAlignment w:val="auto"/>
        <w:rPr>
          <w:rFonts w:hint="eastAsia" w:ascii="Times New Roman" w:hAnsi="Times New Roman" w:cs="Times New Roman"/>
          <w:color w:val="000000" w:themeColor="text1"/>
          <w:highlight w:val="none"/>
          <w:u w:val="none"/>
          <w:lang w:val="en-US" w:eastAsia="zh-CN"/>
          <w14:textFill>
            <w14:solidFill>
              <w14:schemeClr w14:val="tx1"/>
            </w14:solidFill>
          </w14:textFill>
        </w:rPr>
      </w:pPr>
      <w:r>
        <w:rPr>
          <w:rFonts w:ascii="Times New Roman" w:hAnsi="Times New Roman" w:cs="Times New Roman"/>
          <w:b/>
          <w:color w:val="000000" w:themeColor="text1"/>
          <w:highlight w:val="none"/>
          <w:u w:val="none"/>
          <w14:textFill>
            <w14:solidFill>
              <w14:schemeClr w14:val="tx1"/>
            </w14:solidFill>
          </w14:textFill>
        </w:rPr>
        <w:t>5.</w:t>
      </w:r>
      <w:r>
        <w:rPr>
          <w:rFonts w:hint="eastAsia" w:ascii="Times New Roman" w:hAnsi="Times New Roman" w:cs="Times New Roman"/>
          <w:b/>
          <w:color w:val="000000" w:themeColor="text1"/>
          <w:highlight w:val="none"/>
          <w:u w:val="none"/>
          <w:lang w:val="en-US" w:eastAsia="zh-CN"/>
          <w14:textFill>
            <w14:solidFill>
              <w14:schemeClr w14:val="tx1"/>
            </w14:solidFill>
          </w14:textFill>
        </w:rPr>
        <w:t>5</w:t>
      </w:r>
      <w:r>
        <w:rPr>
          <w:rFonts w:ascii="Times New Roman" w:hAnsi="Times New Roman" w:cs="Times New Roman"/>
          <w:b/>
          <w:color w:val="000000" w:themeColor="text1"/>
          <w:highlight w:val="none"/>
          <w:u w:val="none"/>
          <w14:textFill>
            <w14:solidFill>
              <w14:schemeClr w14:val="tx1"/>
            </w14:solidFill>
          </w14:textFill>
        </w:rPr>
        <w:t>.</w:t>
      </w:r>
      <w:r>
        <w:rPr>
          <w:rFonts w:hint="eastAsia" w:ascii="Times New Roman" w:hAnsi="Times New Roman" w:cs="Times New Roman"/>
          <w:b/>
          <w:color w:val="000000" w:themeColor="text1"/>
          <w:highlight w:val="none"/>
          <w:u w:val="none"/>
          <w:lang w:val="en-US" w:eastAsia="zh-CN"/>
          <w14:textFill>
            <w14:solidFill>
              <w14:schemeClr w14:val="tx1"/>
            </w14:solidFill>
          </w14:textFill>
        </w:rPr>
        <w:t>3</w:t>
      </w:r>
      <w:r>
        <w:rPr>
          <w:rFonts w:ascii="Times New Roman" w:hAnsi="Times New Roman" w:cs="Times New Roman"/>
          <w:color w:val="000000" w:themeColor="text1"/>
          <w:highlight w:val="none"/>
          <w:u w:val="none"/>
          <w14:textFill>
            <w14:solidFill>
              <w14:schemeClr w14:val="tx1"/>
            </w14:solidFill>
          </w14:textFill>
        </w:rPr>
        <w:t xml:space="preserve"> </w:t>
      </w:r>
      <w:r>
        <w:rPr>
          <w:rFonts w:hint="eastAsia" w:ascii="Times New Roman" w:hAnsi="Times New Roman" w:cs="Times New Roman"/>
          <w:color w:val="000000" w:themeColor="text1"/>
          <w:highlight w:val="none"/>
          <w:u w:val="none"/>
          <w:lang w:val="en-US" w:eastAsia="zh-CN"/>
          <w14:textFill>
            <w14:solidFill>
              <w14:schemeClr w14:val="tx1"/>
            </w14:solidFill>
          </w14:textFill>
        </w:rPr>
        <w:t xml:space="preserve"> </w:t>
      </w:r>
      <w:r>
        <w:rPr>
          <w:rStyle w:val="36"/>
          <w:rFonts w:hint="eastAsia"/>
          <w:highlight w:val="none"/>
          <w:lang w:eastAsia="zh-CN"/>
        </w:rPr>
        <w:t>施工勘察应按不同的要求选择勘探手段，布置勘察工作量。</w:t>
      </w:r>
    </w:p>
    <w:p w14:paraId="68C2001E">
      <w:pPr>
        <w:pStyle w:val="9"/>
        <w:spacing w:line="348" w:lineRule="exact"/>
        <w:ind w:firstLine="316" w:firstLineChars="150"/>
        <w:rPr>
          <w:rFonts w:ascii="Times New Roman" w:hAnsi="Times New Roman" w:cs="Times New Roman"/>
          <w:color w:val="000000" w:themeColor="text1"/>
          <w:kern w:val="44"/>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br w:type="page"/>
      </w:r>
    </w:p>
    <w:p w14:paraId="7FE35D05">
      <w:pPr>
        <w:pStyle w:val="2"/>
        <w:rPr>
          <w:b w:val="0"/>
          <w:bCs w:val="0"/>
          <w:color w:val="000000" w:themeColor="text1"/>
          <w:highlight w:val="none"/>
          <w14:textFill>
            <w14:solidFill>
              <w14:schemeClr w14:val="tx1"/>
            </w14:solidFill>
          </w14:textFill>
        </w:rPr>
      </w:pPr>
      <w:bookmarkStart w:id="36" w:name="_Toc37689737"/>
      <w:r>
        <w:rPr>
          <w:color w:val="000000" w:themeColor="text1"/>
          <w:highlight w:val="none"/>
          <w14:textFill>
            <w14:solidFill>
              <w14:schemeClr w14:val="tx1"/>
            </w14:solidFill>
          </w14:textFill>
        </w:rPr>
        <w:t xml:space="preserve">6  </w:t>
      </w:r>
      <w:r>
        <w:rPr>
          <w:b w:val="0"/>
          <w:bCs w:val="0"/>
          <w:color w:val="000000" w:themeColor="text1"/>
          <w:highlight w:val="none"/>
          <w14:textFill>
            <w14:solidFill>
              <w14:schemeClr w14:val="tx1"/>
            </w14:solidFill>
          </w14:textFill>
        </w:rPr>
        <w:t>总</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体</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设</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计</w:t>
      </w:r>
      <w:bookmarkEnd w:id="36"/>
    </w:p>
    <w:p w14:paraId="50748DF7">
      <w:pPr>
        <w:pStyle w:val="4"/>
        <w:spacing w:before="156" w:after="156"/>
        <w:rPr>
          <w:b/>
          <w:color w:val="000000" w:themeColor="text1"/>
          <w:highlight w:val="none"/>
          <w14:textFill>
            <w14:solidFill>
              <w14:schemeClr w14:val="tx1"/>
            </w14:solidFill>
          </w14:textFill>
        </w:rPr>
      </w:pPr>
      <w:bookmarkStart w:id="37" w:name="_Toc37689738"/>
      <w:bookmarkStart w:id="38" w:name="_Toc502346581"/>
      <w:r>
        <w:rPr>
          <w:b/>
          <w:bCs w:val="0"/>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t xml:space="preserve">  一 般 规 定</w:t>
      </w:r>
      <w:bookmarkEnd w:id="37"/>
      <w:bookmarkEnd w:id="38"/>
    </w:p>
    <w:p w14:paraId="69CAA7F7">
      <w:pPr>
        <w:pStyle w:val="5"/>
        <w:rPr>
          <w:highlight w:val="none"/>
        </w:rPr>
      </w:pPr>
      <w:r>
        <w:rPr>
          <w:b/>
          <w:highlight w:val="none"/>
        </w:rPr>
        <w:t>6.1.1</w:t>
      </w:r>
      <w:r>
        <w:rPr>
          <w:highlight w:val="none"/>
        </w:rPr>
        <w:t xml:space="preserve">  综合管廊平面中心线宜与道路、铁路、轨道交通、公路中心线平行。</w:t>
      </w:r>
    </w:p>
    <w:p w14:paraId="2A8A0E4C">
      <w:pPr>
        <w:pStyle w:val="5"/>
        <w:rPr>
          <w:highlight w:val="none"/>
        </w:rPr>
      </w:pPr>
      <w:r>
        <w:rPr>
          <w:b/>
          <w:highlight w:val="none"/>
        </w:rPr>
        <w:t>6.1.2</w:t>
      </w:r>
      <w:r>
        <w:rPr>
          <w:highlight w:val="none"/>
        </w:rPr>
        <w:t xml:space="preserve">  综合管廊穿越城市快速路、主干路、铁路、轨道交通、公路时，宜垂直穿越；受条件限制时可斜向穿越，最小交叉角不宜小于60°。综合管廊穿越河道时应选择在河床稳定的河段，最小覆土深度应满足河道整治及综合管廊安全运行的要求，不得小于1.0m。</w:t>
      </w:r>
    </w:p>
    <w:p w14:paraId="4ED809EB">
      <w:pPr>
        <w:pStyle w:val="5"/>
        <w:rPr>
          <w:highlight w:val="none"/>
        </w:rPr>
      </w:pPr>
      <w:r>
        <w:rPr>
          <w:b/>
          <w:highlight w:val="none"/>
        </w:rPr>
        <w:t>6.1.3</w:t>
      </w:r>
      <w:r>
        <w:rPr>
          <w:highlight w:val="none"/>
        </w:rPr>
        <w:t xml:space="preserve">  综合管廊的断面形式及尺寸应根据拟定的施工方法及容纳的管线种类、数量、分支等综合确定。</w:t>
      </w:r>
    </w:p>
    <w:p w14:paraId="3A4CB330">
      <w:pPr>
        <w:pStyle w:val="5"/>
        <w:rPr>
          <w:highlight w:val="none"/>
        </w:rPr>
      </w:pPr>
      <w:r>
        <w:rPr>
          <w:b/>
          <w:highlight w:val="none"/>
        </w:rPr>
        <w:t>6.1.4</w:t>
      </w:r>
      <w:r>
        <w:rPr>
          <w:highlight w:val="none"/>
        </w:rPr>
        <w:t xml:space="preserve">  综合管廊管线分支口应满足预留数量、管线进出、安装敷设作业的要求。相应的分支配套设施应同步设计。</w:t>
      </w:r>
    </w:p>
    <w:p w14:paraId="5DA34800">
      <w:pPr>
        <w:pStyle w:val="5"/>
        <w:rPr>
          <w:highlight w:val="none"/>
        </w:rPr>
      </w:pPr>
      <w:r>
        <w:rPr>
          <w:b/>
          <w:highlight w:val="none"/>
        </w:rPr>
        <w:t>6.1.5</w:t>
      </w:r>
      <w:r>
        <w:rPr>
          <w:highlight w:val="none"/>
        </w:rPr>
        <w:t xml:space="preserve">  含天然气管道舱室的综合管廊不应与其他建（构）筑物合建。</w:t>
      </w:r>
    </w:p>
    <w:p w14:paraId="20DC619B">
      <w:pPr>
        <w:pStyle w:val="5"/>
        <w:rPr>
          <w:highlight w:val="none"/>
        </w:rPr>
      </w:pPr>
      <w:r>
        <w:rPr>
          <w:b/>
          <w:highlight w:val="none"/>
        </w:rPr>
        <w:t xml:space="preserve">6.1.6 </w:t>
      </w:r>
      <w:r>
        <w:rPr>
          <w:highlight w:val="none"/>
        </w:rPr>
        <w:t xml:space="preserve"> 天然气管道舱室与周边建（构）筑物间距应符合现行国家标准《城镇燃气设计规范》GB 50028的相关规定。</w:t>
      </w:r>
    </w:p>
    <w:p w14:paraId="4F7F3DD7">
      <w:pPr>
        <w:pStyle w:val="5"/>
        <w:rPr>
          <w:highlight w:val="none"/>
          <w:u w:val="none"/>
        </w:rPr>
      </w:pPr>
      <w:r>
        <w:rPr>
          <w:rStyle w:val="69"/>
          <w:b/>
          <w:highlight w:val="none"/>
          <w:u w:val="none"/>
        </w:rPr>
        <w:t>6.1.</w:t>
      </w:r>
      <w:r>
        <w:rPr>
          <w:rStyle w:val="69"/>
          <w:rFonts w:hint="eastAsia"/>
          <w:b/>
          <w:highlight w:val="none"/>
          <w:u w:val="none"/>
          <w:lang w:val="en-US" w:eastAsia="zh-CN"/>
        </w:rPr>
        <w:t>7</w:t>
      </w:r>
      <w:r>
        <w:rPr>
          <w:rStyle w:val="69"/>
          <w:highlight w:val="none"/>
          <w:u w:val="none"/>
        </w:rPr>
        <w:t xml:space="preserve">  管道进入综合管廊时，应在综合管廊外部设置关断阀门。</w:t>
      </w:r>
    </w:p>
    <w:p w14:paraId="4E9AB1F7">
      <w:pPr>
        <w:pStyle w:val="5"/>
        <w:rPr>
          <w:highlight w:val="none"/>
        </w:rPr>
      </w:pPr>
      <w:r>
        <w:rPr>
          <w:b/>
          <w:highlight w:val="none"/>
        </w:rPr>
        <w:t>6.1.</w:t>
      </w:r>
      <w:r>
        <w:rPr>
          <w:rFonts w:hint="eastAsia"/>
          <w:b/>
          <w:highlight w:val="none"/>
          <w:lang w:val="en-US" w:eastAsia="zh-CN"/>
        </w:rPr>
        <w:t>8</w:t>
      </w:r>
      <w:r>
        <w:rPr>
          <w:highlight w:val="none"/>
        </w:rPr>
        <w:t xml:space="preserve">  综合管廊设计时，应预留管道排气阀、补偿器、阀门等附件安装、运行、维护作业所需的空间。</w:t>
      </w:r>
    </w:p>
    <w:p w14:paraId="3ACD8459">
      <w:pPr>
        <w:pStyle w:val="5"/>
        <w:rPr>
          <w:highlight w:val="none"/>
        </w:rPr>
      </w:pPr>
      <w:r>
        <w:rPr>
          <w:b/>
          <w:highlight w:val="none"/>
        </w:rPr>
        <w:t>6.1.</w:t>
      </w:r>
      <w:r>
        <w:rPr>
          <w:rFonts w:hint="eastAsia"/>
          <w:b/>
          <w:highlight w:val="none"/>
          <w:lang w:val="en-US" w:eastAsia="zh-CN"/>
        </w:rPr>
        <w:t>9</w:t>
      </w:r>
      <w:r>
        <w:rPr>
          <w:highlight w:val="none"/>
        </w:rPr>
        <w:t xml:space="preserve">  管廊内应设置工程管线敷设所需的支撑及预埋件。</w:t>
      </w:r>
    </w:p>
    <w:p w14:paraId="6BA3511D">
      <w:pPr>
        <w:pStyle w:val="5"/>
        <w:rPr>
          <w:highlight w:val="none"/>
        </w:rPr>
      </w:pPr>
      <w:r>
        <w:rPr>
          <w:b/>
          <w:highlight w:val="none"/>
        </w:rPr>
        <w:t>6.1.1</w:t>
      </w:r>
      <w:r>
        <w:rPr>
          <w:rFonts w:hint="eastAsia"/>
          <w:b/>
          <w:highlight w:val="none"/>
          <w:lang w:val="en-US" w:eastAsia="zh-CN"/>
        </w:rPr>
        <w:t>0</w:t>
      </w:r>
      <w:r>
        <w:rPr>
          <w:highlight w:val="none"/>
        </w:rPr>
        <w:t xml:space="preserve">  综合管廊顶板处，应设置供管道及附件安装用的吊钩、拉环或导轨。吊钩、拉环相邻间距不宜大于10m。</w:t>
      </w:r>
    </w:p>
    <w:p w14:paraId="06434FCB">
      <w:pPr>
        <w:pStyle w:val="5"/>
        <w:rPr>
          <w:highlight w:val="none"/>
        </w:rPr>
      </w:pPr>
      <w:r>
        <w:rPr>
          <w:b/>
          <w:highlight w:val="none"/>
        </w:rPr>
        <w:t>6.1.1</w:t>
      </w:r>
      <w:r>
        <w:rPr>
          <w:rFonts w:hint="eastAsia"/>
          <w:b/>
          <w:highlight w:val="none"/>
          <w:lang w:val="en-US" w:eastAsia="zh-CN"/>
        </w:rPr>
        <w:t>1</w:t>
      </w:r>
      <w:r>
        <w:rPr>
          <w:highlight w:val="none"/>
        </w:rPr>
        <w:t xml:space="preserve">  综合管廊附属设施应尽量减少备品备件的种类。</w:t>
      </w:r>
    </w:p>
    <w:p w14:paraId="394CE2C2">
      <w:pPr>
        <w:pStyle w:val="4"/>
        <w:spacing w:before="156" w:after="156"/>
        <w:rPr>
          <w:b/>
          <w:color w:val="000000" w:themeColor="text1"/>
          <w:highlight w:val="none"/>
          <w14:textFill>
            <w14:solidFill>
              <w14:schemeClr w14:val="tx1"/>
            </w14:solidFill>
          </w14:textFill>
        </w:rPr>
      </w:pPr>
      <w:bookmarkStart w:id="39" w:name="_Toc37689739"/>
      <w:r>
        <w:rPr>
          <w:b/>
          <w:bCs w:val="0"/>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t xml:space="preserve">  空 间 设 计</w:t>
      </w:r>
      <w:bookmarkEnd w:id="39"/>
    </w:p>
    <w:p w14:paraId="1890598D">
      <w:pPr>
        <w:pStyle w:val="5"/>
        <w:rPr>
          <w:highlight w:val="none"/>
        </w:rPr>
      </w:pPr>
      <w:r>
        <w:rPr>
          <w:b/>
          <w:highlight w:val="none"/>
        </w:rPr>
        <w:t>6.2.1</w:t>
      </w:r>
      <w:r>
        <w:rPr>
          <w:highlight w:val="none"/>
        </w:rPr>
        <w:t xml:space="preserve">  综合管廊与相邻地下管线及地下构筑物的最小净距应根据地质条件和相邻构筑物性质确定，且不得小于表6.2.1的规定。</w:t>
      </w:r>
    </w:p>
    <w:p w14:paraId="0F3752C0">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6.2.1</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综合管廊与相邻地下构筑物的最小净距</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438"/>
        <w:gridCol w:w="1093"/>
        <w:gridCol w:w="1592"/>
      </w:tblGrid>
      <w:tr w14:paraId="753FA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1" w:type="dxa"/>
            <w:tcBorders>
              <w:tl2br w:val="single" w:color="auto" w:sz="4" w:space="0"/>
            </w:tcBorders>
            <w:vAlign w:val="bottom"/>
          </w:tcPr>
          <w:p w14:paraId="586E42B3">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施工方法</w:t>
            </w:r>
          </w:p>
          <w:p w14:paraId="1901BAA6">
            <w:pPr>
              <w:pStyle w:val="63"/>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相邻情况</w:t>
            </w:r>
          </w:p>
        </w:tc>
        <w:tc>
          <w:tcPr>
            <w:tcW w:w="1391" w:type="dxa"/>
            <w:vAlign w:val="center"/>
          </w:tcPr>
          <w:p w14:paraId="7262422D">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明挖施工</w:t>
            </w:r>
          </w:p>
        </w:tc>
        <w:tc>
          <w:tcPr>
            <w:tcW w:w="2035" w:type="dxa"/>
            <w:vAlign w:val="center"/>
          </w:tcPr>
          <w:p w14:paraId="3E91AA5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顶管、盾构施工</w:t>
            </w:r>
          </w:p>
        </w:tc>
      </w:tr>
      <w:tr w14:paraId="555C8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1" w:type="dxa"/>
            <w:vAlign w:val="center"/>
          </w:tcPr>
          <w:p w14:paraId="2571D53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综合管廊与地下构筑物水平净距</w:t>
            </w:r>
          </w:p>
        </w:tc>
        <w:tc>
          <w:tcPr>
            <w:tcW w:w="1391" w:type="dxa"/>
            <w:vAlign w:val="center"/>
          </w:tcPr>
          <w:p w14:paraId="1B0DE1B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1.0m</w:t>
            </w:r>
          </w:p>
        </w:tc>
        <w:tc>
          <w:tcPr>
            <w:tcW w:w="2035" w:type="dxa"/>
            <w:vAlign w:val="center"/>
          </w:tcPr>
          <w:p w14:paraId="7E992CE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综合管廊外径</w:t>
            </w:r>
          </w:p>
        </w:tc>
      </w:tr>
      <w:tr w14:paraId="7C2F9D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1" w:type="dxa"/>
            <w:vAlign w:val="center"/>
          </w:tcPr>
          <w:p w14:paraId="5A4143A6">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综合管廊与地下管线水平净距</w:t>
            </w:r>
          </w:p>
        </w:tc>
        <w:tc>
          <w:tcPr>
            <w:tcW w:w="1391" w:type="dxa"/>
            <w:vAlign w:val="center"/>
          </w:tcPr>
          <w:p w14:paraId="14CD1C9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1.0m</w:t>
            </w:r>
          </w:p>
        </w:tc>
        <w:tc>
          <w:tcPr>
            <w:tcW w:w="2035" w:type="dxa"/>
            <w:vAlign w:val="center"/>
          </w:tcPr>
          <w:p w14:paraId="1BCF565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综合管廊外径</w:t>
            </w:r>
          </w:p>
        </w:tc>
      </w:tr>
      <w:tr w14:paraId="33AE0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21" w:type="dxa"/>
            <w:vAlign w:val="center"/>
          </w:tcPr>
          <w:p w14:paraId="49AE685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综合管廊与地下管线交叉垂直净距</w:t>
            </w:r>
          </w:p>
        </w:tc>
        <w:tc>
          <w:tcPr>
            <w:tcW w:w="1391" w:type="dxa"/>
            <w:vAlign w:val="center"/>
          </w:tcPr>
          <w:p w14:paraId="42E5E87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0.5m</w:t>
            </w:r>
          </w:p>
        </w:tc>
        <w:tc>
          <w:tcPr>
            <w:tcW w:w="2035" w:type="dxa"/>
            <w:vAlign w:val="center"/>
          </w:tcPr>
          <w:p w14:paraId="0912DCD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1.0m</w:t>
            </w:r>
          </w:p>
        </w:tc>
      </w:tr>
    </w:tbl>
    <w:p w14:paraId="3FEB9311">
      <w:pPr>
        <w:pStyle w:val="5"/>
        <w:rPr>
          <w:highlight w:val="none"/>
        </w:rPr>
      </w:pPr>
      <w:r>
        <w:rPr>
          <w:b/>
          <w:highlight w:val="none"/>
        </w:rPr>
        <w:t xml:space="preserve">6.2.2 </w:t>
      </w:r>
      <w:r>
        <w:rPr>
          <w:highlight w:val="none"/>
        </w:rPr>
        <w:t xml:space="preserve"> 综合管廊最小转弯半径，应满足综合管廊内各种管线的转弯半径要求。</w:t>
      </w:r>
    </w:p>
    <w:p w14:paraId="02609775">
      <w:pPr>
        <w:pStyle w:val="5"/>
        <w:rPr>
          <w:highlight w:val="none"/>
        </w:rPr>
      </w:pPr>
      <w:r>
        <w:rPr>
          <w:b/>
          <w:highlight w:val="none"/>
        </w:rPr>
        <w:t>6.2.3</w:t>
      </w:r>
      <w:r>
        <w:rPr>
          <w:highlight w:val="none"/>
        </w:rPr>
        <w:t xml:space="preserve">  综合管廊内电力电缆弯曲半径和分层布置，应符合现行国家标准《电力工程电缆设计标准》GB 50217的有关规定。</w:t>
      </w:r>
    </w:p>
    <w:p w14:paraId="4528108D">
      <w:pPr>
        <w:pStyle w:val="5"/>
        <w:rPr>
          <w:highlight w:val="none"/>
        </w:rPr>
      </w:pPr>
      <w:r>
        <w:rPr>
          <w:b/>
          <w:highlight w:val="none"/>
        </w:rPr>
        <w:t>6.2.4</w:t>
      </w:r>
      <w:r>
        <w:rPr>
          <w:highlight w:val="none"/>
        </w:rPr>
        <w:t xml:space="preserve">  综合管廊内通信线缆弯曲半径应</w:t>
      </w:r>
      <w:r>
        <w:rPr>
          <w:rFonts w:hint="eastAsia"/>
          <w:highlight w:val="none"/>
          <w:u w:val="none"/>
        </w:rPr>
        <w:t>不小于</w:t>
      </w:r>
      <w:r>
        <w:rPr>
          <w:highlight w:val="none"/>
        </w:rPr>
        <w:t>线缆直径的15倍，且应符合现行行业标准《通信线路工程设计规范》</w:t>
      </w:r>
      <w:bookmarkStart w:id="40" w:name="_Hlk18344594"/>
      <w:r>
        <w:rPr>
          <w:highlight w:val="none"/>
        </w:rPr>
        <w:t>YD 5102</w:t>
      </w:r>
      <w:bookmarkEnd w:id="40"/>
      <w:r>
        <w:rPr>
          <w:highlight w:val="none"/>
        </w:rPr>
        <w:t>的有关规定。</w:t>
      </w:r>
    </w:p>
    <w:p w14:paraId="5349C6D6">
      <w:pPr>
        <w:pStyle w:val="5"/>
        <w:rPr>
          <w:highlight w:val="none"/>
        </w:rPr>
      </w:pPr>
      <w:r>
        <w:rPr>
          <w:b/>
          <w:highlight w:val="none"/>
        </w:rPr>
        <w:t>6.2.5</w:t>
      </w:r>
      <w:r>
        <w:rPr>
          <w:highlight w:val="none"/>
        </w:rPr>
        <w:t xml:space="preserve">  综合管廊与其他方式敷设的管线连接处，应采取密封和防止差异沉降的措施。</w:t>
      </w:r>
    </w:p>
    <w:p w14:paraId="3B629B73">
      <w:pPr>
        <w:pStyle w:val="5"/>
        <w:rPr>
          <w:highlight w:val="none"/>
        </w:rPr>
      </w:pPr>
      <w:bookmarkStart w:id="41" w:name="_Toc37689740"/>
      <w:r>
        <w:rPr>
          <w:b/>
          <w:highlight w:val="none"/>
        </w:rPr>
        <w:t>6.2.6</w:t>
      </w:r>
      <w:r>
        <w:rPr>
          <w:highlight w:val="none"/>
        </w:rPr>
        <w:t xml:space="preserve">  </w:t>
      </w:r>
      <w:bookmarkStart w:id="42" w:name="_Hlk530902450"/>
      <w:r>
        <w:rPr>
          <w:highlight w:val="none"/>
        </w:rPr>
        <w:t>综合管廊的监控中心与综合管廊之间宜设置专用连接通道，通道的净尺寸应满足日常检修通行的要求</w:t>
      </w:r>
      <w:bookmarkEnd w:id="42"/>
      <w:r>
        <w:rPr>
          <w:highlight w:val="none"/>
        </w:rPr>
        <w:t>。</w:t>
      </w:r>
    </w:p>
    <w:p w14:paraId="2928768E">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t xml:space="preserve">  横断面设计</w:t>
      </w:r>
      <w:bookmarkEnd w:id="41"/>
    </w:p>
    <w:p w14:paraId="12DD8581">
      <w:pPr>
        <w:pStyle w:val="5"/>
        <w:rPr>
          <w:highlight w:val="none"/>
        </w:rPr>
      </w:pPr>
      <w:r>
        <w:rPr>
          <w:b/>
          <w:highlight w:val="none"/>
        </w:rPr>
        <w:t>6.3.1</w:t>
      </w:r>
      <w:r>
        <w:rPr>
          <w:highlight w:val="none"/>
        </w:rPr>
        <w:t xml:space="preserve">  综合管廊标准断面内部尺寸应根据容纳管线的种类、规格、数量、安装要求等综合确定，并应符合下列规定：</w:t>
      </w:r>
    </w:p>
    <w:p w14:paraId="5757676D">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干线综合管廊净高不应小于2.4m；</w:t>
      </w:r>
    </w:p>
    <w:p w14:paraId="4F2797F7">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支线综合管廊净高不应小于2.1m；</w:t>
      </w:r>
    </w:p>
    <w:p w14:paraId="3CFDB0A1">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小型综合管廊净高不应小于1.5m且不应大于2.1m。净宽不应大于2.4m。</w:t>
      </w:r>
    </w:p>
    <w:p w14:paraId="7E4E818F">
      <w:pPr>
        <w:pStyle w:val="5"/>
        <w:rPr>
          <w:highlight w:val="none"/>
        </w:rPr>
      </w:pPr>
      <w:r>
        <w:rPr>
          <w:b/>
          <w:highlight w:val="none"/>
        </w:rPr>
        <w:t>6.3.2</w:t>
      </w:r>
      <w:r>
        <w:rPr>
          <w:highlight w:val="none"/>
        </w:rPr>
        <w:t xml:space="preserve">  综合管廊通道净宽，应满足管道、配件及设备运输的要求，并应符合下列规定：</w:t>
      </w:r>
    </w:p>
    <w:p w14:paraId="4577011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综合管廊内两侧设置支架或管道时，检修通道净宽不宜小于1.0m；单侧设置支架或管道时，检修通道净宽不宜小于0.9m</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1716CC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配备检修车的综合管廊检修通道宽度不宜小于2.2m。</w:t>
      </w:r>
    </w:p>
    <w:p w14:paraId="748674F1">
      <w:pPr>
        <w:pStyle w:val="5"/>
        <w:rPr>
          <w:highlight w:val="none"/>
        </w:rPr>
      </w:pPr>
      <w:r>
        <w:rPr>
          <w:b/>
          <w:highlight w:val="none"/>
        </w:rPr>
        <w:t>6.3.3</w:t>
      </w:r>
      <w:r>
        <w:rPr>
          <w:highlight w:val="none"/>
        </w:rPr>
        <w:t xml:space="preserve">  电力电缆支架的层间间距应符合现行国家标准《电力工程电缆设计标准》GB 50217的有关规定。</w:t>
      </w:r>
    </w:p>
    <w:p w14:paraId="11CC8EBA">
      <w:pPr>
        <w:pStyle w:val="5"/>
        <w:rPr>
          <w:highlight w:val="none"/>
        </w:rPr>
      </w:pPr>
      <w:r>
        <w:rPr>
          <w:b/>
          <w:highlight w:val="none"/>
        </w:rPr>
        <w:t>6.3.4</w:t>
      </w:r>
      <w:r>
        <w:rPr>
          <w:highlight w:val="none"/>
        </w:rPr>
        <w:t xml:space="preserve">  通信线缆的桥架层间间距应符合现行行业标准</w:t>
      </w:r>
      <w:bookmarkStart w:id="43" w:name="_Hlk18344572"/>
      <w:r>
        <w:rPr>
          <w:highlight w:val="none"/>
        </w:rPr>
        <w:t>《光缆进线室设计规定》YD/T 5151</w:t>
      </w:r>
      <w:bookmarkEnd w:id="43"/>
      <w:r>
        <w:rPr>
          <w:highlight w:val="none"/>
        </w:rPr>
        <w:t>的有关规定。</w:t>
      </w:r>
    </w:p>
    <w:p w14:paraId="6DD63120">
      <w:pPr>
        <w:pStyle w:val="5"/>
        <w:rPr>
          <w:highlight w:val="none"/>
        </w:rPr>
      </w:pPr>
      <w:r>
        <w:rPr>
          <w:b/>
          <w:highlight w:val="none"/>
        </w:rPr>
        <w:t>6.3.5</w:t>
      </w:r>
      <w:r>
        <w:rPr>
          <w:highlight w:val="none"/>
        </w:rPr>
        <w:t xml:space="preserve">  </w:t>
      </w:r>
      <w:r>
        <w:rPr>
          <w:highlight w:val="none"/>
          <w:u w:val="none"/>
        </w:rPr>
        <w:t>采用支墩支撑的</w:t>
      </w:r>
      <w:r>
        <w:rPr>
          <w:highlight w:val="none"/>
        </w:rPr>
        <w:t>综合管廊的管道安装净距（图6.3.5）不宜小于表6.3.5</w:t>
      </w:r>
      <w:r>
        <w:rPr>
          <w:rFonts w:hint="eastAsia"/>
          <w:highlight w:val="none"/>
          <w:lang w:val="en-US" w:eastAsia="zh-CN"/>
        </w:rPr>
        <w:t>-1、</w:t>
      </w:r>
      <w:r>
        <w:rPr>
          <w:highlight w:val="none"/>
        </w:rPr>
        <w:t>6.3.5</w:t>
      </w:r>
      <w:r>
        <w:rPr>
          <w:rFonts w:hint="eastAsia"/>
          <w:highlight w:val="none"/>
          <w:lang w:val="en-US" w:eastAsia="zh-CN"/>
        </w:rPr>
        <w:t>-2</w:t>
      </w:r>
      <w:r>
        <w:rPr>
          <w:highlight w:val="none"/>
        </w:rPr>
        <w:t>的规定。</w:t>
      </w:r>
    </w:p>
    <w:p w14:paraId="1BCA0711">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bdr w:val="single" w:color="auto" w:sz="4" w:space="0"/>
          <w14:textFill>
            <w14:solidFill>
              <w14:schemeClr w14:val="tx1"/>
            </w14:solidFill>
          </w14:textFill>
        </w:rPr>
        <w:drawing>
          <wp:inline distT="0" distB="0" distL="0" distR="0">
            <wp:extent cx="1864995" cy="2159635"/>
            <wp:effectExtent l="19050" t="19050" r="20955" b="12065"/>
            <wp:docPr id="8" name="图片 8" descr="H:/2025.5.7     安装公司雍琦的/图6.3.5.tif图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2025.5.7     安装公司雍琦的/图6.3.5.tif图6.3.5"/>
                    <pic:cNvPicPr>
                      <a:picLocks noChangeAspect="1" noChangeArrowheads="1"/>
                    </pic:cNvPicPr>
                  </pic:nvPicPr>
                  <pic:blipFill>
                    <a:blip r:embed="rId18"/>
                    <a:srcRect t="71" b="71"/>
                    <a:stretch>
                      <a:fillRect/>
                    </a:stretch>
                  </pic:blipFill>
                  <pic:spPr>
                    <a:xfrm>
                      <a:off x="0" y="0"/>
                      <a:ext cx="1865315" cy="2160000"/>
                    </a:xfrm>
                    <a:prstGeom prst="rect">
                      <a:avLst/>
                    </a:prstGeom>
                    <a:noFill/>
                    <a:ln w="0" cmpd="sng">
                      <a:solidFill>
                        <a:sysClr val="windowText" lastClr="000000"/>
                      </a:solidFill>
                      <a:prstDash val="solid"/>
                    </a:ln>
                  </pic:spPr>
                </pic:pic>
              </a:graphicData>
            </a:graphic>
          </wp:inline>
        </w:drawing>
      </w:r>
      <w:r>
        <w:rPr>
          <w:highlight w:val="none"/>
        </w:rPr>
        <w:t xml:space="preserve"> </w:t>
      </w:r>
      <w:r>
        <w:rPr>
          <w:highlight w:val="none"/>
        </w:rPr>
        <w:drawing>
          <wp:inline distT="0" distB="0" distL="0" distR="0">
            <wp:extent cx="1799590" cy="1971675"/>
            <wp:effectExtent l="0" t="0" r="0" b="9525"/>
            <wp:docPr id="1004390711" name="Picture 1" descr="A drawing of a circle and a circle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0711" name="Picture 1" descr="A drawing of a circle and a circle with a line&#10;&#10;AI-generated content may be incorrect."/>
                    <pic:cNvPicPr>
                      <a:picLocks noChangeAspect="1"/>
                    </pic:cNvPicPr>
                  </pic:nvPicPr>
                  <pic:blipFill>
                    <a:blip r:embed="rId19"/>
                    <a:stretch>
                      <a:fillRect/>
                    </a:stretch>
                  </pic:blipFill>
                  <pic:spPr>
                    <a:xfrm>
                      <a:off x="0" y="0"/>
                      <a:ext cx="1800000" cy="1972269"/>
                    </a:xfrm>
                    <a:prstGeom prst="rect">
                      <a:avLst/>
                    </a:prstGeom>
                  </pic:spPr>
                </pic:pic>
              </a:graphicData>
            </a:graphic>
          </wp:inline>
        </w:drawing>
      </w:r>
    </w:p>
    <w:p w14:paraId="307DC6C2">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 xml:space="preserve">6.3.5 </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支墩支撑管道安装净距</w:t>
      </w:r>
    </w:p>
    <w:p w14:paraId="643EC110">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6.3.5</w:t>
      </w:r>
      <w:r>
        <w:rPr>
          <w:rFonts w:hint="eastAsia" w:ascii="Times New Roman" w:hAnsi="Times New Roman" w:eastAsia="方正黑体简体" w:cs="Times New Roman"/>
          <w:b/>
          <w:color w:val="000000" w:themeColor="text1"/>
          <w:sz w:val="18"/>
          <w:szCs w:val="18"/>
          <w:highlight w:val="none"/>
          <w:u w:val="none"/>
          <w14:textFill>
            <w14:solidFill>
              <w14:schemeClr w14:val="tx1"/>
            </w14:solidFill>
          </w14:textFill>
        </w:rPr>
        <w:t>-1</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w:t>
      </w:r>
      <w:r>
        <w:rPr>
          <w:rFonts w:hint="eastAsia" w:ascii="Times New Roman" w:hAnsi="Times New Roman" w:eastAsia="方正黑体简体" w:cs="Times New Roman"/>
          <w:bCs/>
          <w:sz w:val="18"/>
          <w:szCs w:val="18"/>
          <w:highlight w:val="none"/>
          <w:u w:val="none"/>
        </w:rPr>
        <w:t>干线、支线</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综合管廊的支墩支撑管道安装净距</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618"/>
        <w:gridCol w:w="1000"/>
        <w:gridCol w:w="878"/>
        <w:gridCol w:w="940"/>
        <w:gridCol w:w="594"/>
        <w:gridCol w:w="591"/>
        <w:gridCol w:w="502"/>
      </w:tblGrid>
      <w:tr w14:paraId="4A547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Merge w:val="restart"/>
            <w:vAlign w:val="center"/>
          </w:tcPr>
          <w:p w14:paraId="125F9E7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DN</w:t>
            </w:r>
          </w:p>
        </w:tc>
        <w:tc>
          <w:tcPr>
            <w:tcW w:w="2302" w:type="pct"/>
            <w:gridSpan w:val="3"/>
            <w:vAlign w:val="center"/>
          </w:tcPr>
          <w:p w14:paraId="794F7A85">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法兰连接、承插连接和卡箍连接</w:t>
            </w:r>
          </w:p>
        </w:tc>
        <w:tc>
          <w:tcPr>
            <w:tcW w:w="1378" w:type="pct"/>
            <w:gridSpan w:val="3"/>
            <w:vAlign w:val="center"/>
          </w:tcPr>
          <w:p w14:paraId="791C361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焊接</w:t>
            </w:r>
          </w:p>
        </w:tc>
      </w:tr>
      <w:tr w14:paraId="30677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Merge w:val="continue"/>
            <w:vAlign w:val="center"/>
          </w:tcPr>
          <w:p w14:paraId="24A4E793">
            <w:pPr>
              <w:pStyle w:val="63"/>
              <w:rPr>
                <w:color w:val="000000" w:themeColor="text1"/>
                <w:highlight w:val="none"/>
                <w14:textFill>
                  <w14:solidFill>
                    <w14:schemeClr w14:val="tx1"/>
                  </w14:solidFill>
                </w14:textFill>
              </w:rPr>
            </w:pPr>
          </w:p>
        </w:tc>
        <w:tc>
          <w:tcPr>
            <w:tcW w:w="817" w:type="pct"/>
            <w:vAlign w:val="center"/>
          </w:tcPr>
          <w:p w14:paraId="6554B9E2">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p>
        </w:tc>
        <w:tc>
          <w:tcPr>
            <w:tcW w:w="717" w:type="pct"/>
            <w:vAlign w:val="center"/>
          </w:tcPr>
          <w:p w14:paraId="7E6BF7E0">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b</w:t>
            </w:r>
            <w:r>
              <w:rPr>
                <w:color w:val="000000" w:themeColor="text1"/>
                <w:highlight w:val="none"/>
                <w:vertAlign w:val="subscript"/>
                <w14:textFill>
                  <w14:solidFill>
                    <w14:schemeClr w14:val="tx1"/>
                  </w14:solidFill>
                </w14:textFill>
              </w:rPr>
              <w:t>1</w:t>
            </w:r>
          </w:p>
        </w:tc>
        <w:tc>
          <w:tcPr>
            <w:tcW w:w="767" w:type="pct"/>
            <w:vAlign w:val="center"/>
          </w:tcPr>
          <w:p w14:paraId="0F115858">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b</w:t>
            </w:r>
            <w:r>
              <w:rPr>
                <w:color w:val="000000" w:themeColor="text1"/>
                <w:highlight w:val="none"/>
                <w:vertAlign w:val="subscript"/>
                <w14:textFill>
                  <w14:solidFill>
                    <w14:schemeClr w14:val="tx1"/>
                  </w14:solidFill>
                </w14:textFill>
              </w:rPr>
              <w:t>2</w:t>
            </w:r>
          </w:p>
        </w:tc>
        <w:tc>
          <w:tcPr>
            <w:tcW w:w="485" w:type="pct"/>
            <w:vAlign w:val="center"/>
          </w:tcPr>
          <w:p w14:paraId="2776E723">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p>
        </w:tc>
        <w:tc>
          <w:tcPr>
            <w:tcW w:w="483" w:type="pct"/>
            <w:vAlign w:val="center"/>
          </w:tcPr>
          <w:p w14:paraId="178DE1EA">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b</w:t>
            </w:r>
            <w:r>
              <w:rPr>
                <w:color w:val="000000" w:themeColor="text1"/>
                <w:highlight w:val="none"/>
                <w:vertAlign w:val="subscript"/>
                <w14:textFill>
                  <w14:solidFill>
                    <w14:schemeClr w14:val="tx1"/>
                  </w14:solidFill>
                </w14:textFill>
              </w:rPr>
              <w:t>1</w:t>
            </w:r>
          </w:p>
        </w:tc>
        <w:tc>
          <w:tcPr>
            <w:tcW w:w="407" w:type="pct"/>
            <w:vAlign w:val="center"/>
          </w:tcPr>
          <w:p w14:paraId="39208A53">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b</w:t>
            </w:r>
            <w:r>
              <w:rPr>
                <w:color w:val="000000" w:themeColor="text1"/>
                <w:highlight w:val="none"/>
                <w:vertAlign w:val="subscript"/>
                <w14:textFill>
                  <w14:solidFill>
                    <w14:schemeClr w14:val="tx1"/>
                  </w14:solidFill>
                </w14:textFill>
              </w:rPr>
              <w:t>2</w:t>
            </w:r>
          </w:p>
        </w:tc>
      </w:tr>
      <w:tr w14:paraId="1ECCB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Align w:val="center"/>
          </w:tcPr>
          <w:p w14:paraId="0BEB9256">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DN</w:t>
            </w:r>
            <w:r>
              <w:rPr>
                <w:color w:val="000000" w:themeColor="text1"/>
                <w:highlight w:val="none"/>
                <w14:textFill>
                  <w14:solidFill>
                    <w14:schemeClr w14:val="tx1"/>
                  </w14:solidFill>
                </w14:textFill>
              </w:rPr>
              <w:t>＜400</w:t>
            </w:r>
          </w:p>
        </w:tc>
        <w:tc>
          <w:tcPr>
            <w:tcW w:w="817" w:type="pct"/>
            <w:vAlign w:val="center"/>
          </w:tcPr>
          <w:p w14:paraId="67599AF2">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w:t>
            </w:r>
          </w:p>
        </w:tc>
        <w:tc>
          <w:tcPr>
            <w:tcW w:w="717" w:type="pct"/>
            <w:vAlign w:val="center"/>
          </w:tcPr>
          <w:p w14:paraId="739A2E7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w:t>
            </w:r>
          </w:p>
        </w:tc>
        <w:tc>
          <w:tcPr>
            <w:tcW w:w="767" w:type="pct"/>
            <w:vMerge w:val="restart"/>
            <w:vAlign w:val="center"/>
          </w:tcPr>
          <w:p w14:paraId="7CF5BBC2">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800</w:t>
            </w:r>
          </w:p>
        </w:tc>
        <w:tc>
          <w:tcPr>
            <w:tcW w:w="485" w:type="pct"/>
            <w:vMerge w:val="restart"/>
            <w:vAlign w:val="center"/>
          </w:tcPr>
          <w:p w14:paraId="7A30FF9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483" w:type="pct"/>
            <w:vMerge w:val="restart"/>
            <w:vAlign w:val="center"/>
          </w:tcPr>
          <w:p w14:paraId="44C9C59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407" w:type="pct"/>
            <w:vMerge w:val="restart"/>
            <w:vAlign w:val="center"/>
          </w:tcPr>
          <w:p w14:paraId="0BAD9F8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800</w:t>
            </w:r>
          </w:p>
        </w:tc>
      </w:tr>
      <w:tr w14:paraId="6405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Align w:val="center"/>
          </w:tcPr>
          <w:p w14:paraId="2EBEDB8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w:t>
            </w:r>
            <w:r>
              <w:rPr>
                <w:i/>
                <w:color w:val="000000" w:themeColor="text1"/>
                <w:highlight w:val="none"/>
                <w14:textFill>
                  <w14:solidFill>
                    <w14:schemeClr w14:val="tx1"/>
                  </w14:solidFill>
                </w14:textFill>
              </w:rPr>
              <w:t>DN</w:t>
            </w:r>
            <w:r>
              <w:rPr>
                <w:color w:val="000000" w:themeColor="text1"/>
                <w:highlight w:val="none"/>
                <w14:textFill>
                  <w14:solidFill>
                    <w14:schemeClr w14:val="tx1"/>
                  </w14:solidFill>
                </w14:textFill>
              </w:rPr>
              <w:t>＜1000</w:t>
            </w:r>
          </w:p>
        </w:tc>
        <w:tc>
          <w:tcPr>
            <w:tcW w:w="817" w:type="pct"/>
            <w:vAlign w:val="center"/>
          </w:tcPr>
          <w:p w14:paraId="6AF8214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717" w:type="pct"/>
            <w:vAlign w:val="center"/>
          </w:tcPr>
          <w:p w14:paraId="4C21A83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767" w:type="pct"/>
            <w:vMerge w:val="continue"/>
            <w:vAlign w:val="center"/>
          </w:tcPr>
          <w:p w14:paraId="423E1BF8">
            <w:pPr>
              <w:pStyle w:val="63"/>
              <w:rPr>
                <w:color w:val="000000" w:themeColor="text1"/>
                <w:highlight w:val="none"/>
                <w14:textFill>
                  <w14:solidFill>
                    <w14:schemeClr w14:val="tx1"/>
                  </w14:solidFill>
                </w14:textFill>
              </w:rPr>
            </w:pPr>
          </w:p>
        </w:tc>
        <w:tc>
          <w:tcPr>
            <w:tcW w:w="485" w:type="pct"/>
            <w:vMerge w:val="continue"/>
            <w:vAlign w:val="center"/>
          </w:tcPr>
          <w:p w14:paraId="63C3CD76">
            <w:pPr>
              <w:pStyle w:val="63"/>
              <w:rPr>
                <w:color w:val="000000" w:themeColor="text1"/>
                <w:highlight w:val="none"/>
                <w14:textFill>
                  <w14:solidFill>
                    <w14:schemeClr w14:val="tx1"/>
                  </w14:solidFill>
                </w14:textFill>
              </w:rPr>
            </w:pPr>
          </w:p>
        </w:tc>
        <w:tc>
          <w:tcPr>
            <w:tcW w:w="483" w:type="pct"/>
            <w:vMerge w:val="continue"/>
            <w:vAlign w:val="center"/>
          </w:tcPr>
          <w:p w14:paraId="69AE15EF">
            <w:pPr>
              <w:pStyle w:val="63"/>
              <w:rPr>
                <w:color w:val="000000" w:themeColor="text1"/>
                <w:highlight w:val="none"/>
                <w14:textFill>
                  <w14:solidFill>
                    <w14:schemeClr w14:val="tx1"/>
                  </w14:solidFill>
                </w14:textFill>
              </w:rPr>
            </w:pPr>
          </w:p>
        </w:tc>
        <w:tc>
          <w:tcPr>
            <w:tcW w:w="407" w:type="pct"/>
            <w:vMerge w:val="continue"/>
            <w:vAlign w:val="center"/>
          </w:tcPr>
          <w:p w14:paraId="568C6B82">
            <w:pPr>
              <w:pStyle w:val="63"/>
              <w:rPr>
                <w:color w:val="000000" w:themeColor="text1"/>
                <w:highlight w:val="none"/>
                <w14:textFill>
                  <w14:solidFill>
                    <w14:schemeClr w14:val="tx1"/>
                  </w14:solidFill>
                </w14:textFill>
              </w:rPr>
            </w:pPr>
          </w:p>
        </w:tc>
      </w:tr>
      <w:tr w14:paraId="228CF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Align w:val="center"/>
          </w:tcPr>
          <w:p w14:paraId="369442E2">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w:t>
            </w:r>
            <w:r>
              <w:rPr>
                <w:i/>
                <w:color w:val="000000" w:themeColor="text1"/>
                <w:highlight w:val="none"/>
                <w14:textFill>
                  <w14:solidFill>
                    <w14:schemeClr w14:val="tx1"/>
                  </w14:solidFill>
                </w14:textFill>
              </w:rPr>
              <w:t>DN</w:t>
            </w:r>
            <w:r>
              <w:rPr>
                <w:color w:val="000000" w:themeColor="text1"/>
                <w:highlight w:val="none"/>
                <w14:textFill>
                  <w14:solidFill>
                    <w14:schemeClr w14:val="tx1"/>
                  </w14:solidFill>
                </w14:textFill>
              </w:rPr>
              <w:t>＜1500</w:t>
            </w:r>
          </w:p>
        </w:tc>
        <w:tc>
          <w:tcPr>
            <w:tcW w:w="817" w:type="pct"/>
            <w:vAlign w:val="center"/>
          </w:tcPr>
          <w:p w14:paraId="70D6AC1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600</w:t>
            </w:r>
          </w:p>
        </w:tc>
        <w:tc>
          <w:tcPr>
            <w:tcW w:w="717" w:type="pct"/>
            <w:vAlign w:val="center"/>
          </w:tcPr>
          <w:p w14:paraId="7695064F">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600</w:t>
            </w:r>
          </w:p>
        </w:tc>
        <w:tc>
          <w:tcPr>
            <w:tcW w:w="767" w:type="pct"/>
            <w:vMerge w:val="continue"/>
            <w:vAlign w:val="center"/>
          </w:tcPr>
          <w:p w14:paraId="4E1FECA0">
            <w:pPr>
              <w:pStyle w:val="63"/>
              <w:rPr>
                <w:color w:val="000000" w:themeColor="text1"/>
                <w:highlight w:val="none"/>
                <w14:textFill>
                  <w14:solidFill>
                    <w14:schemeClr w14:val="tx1"/>
                  </w14:solidFill>
                </w14:textFill>
              </w:rPr>
            </w:pPr>
          </w:p>
        </w:tc>
        <w:tc>
          <w:tcPr>
            <w:tcW w:w="485" w:type="pct"/>
            <w:vAlign w:val="center"/>
          </w:tcPr>
          <w:p w14:paraId="39C58D9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600</w:t>
            </w:r>
          </w:p>
        </w:tc>
        <w:tc>
          <w:tcPr>
            <w:tcW w:w="483" w:type="pct"/>
            <w:vAlign w:val="center"/>
          </w:tcPr>
          <w:p w14:paraId="6AD4CC8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600</w:t>
            </w:r>
          </w:p>
        </w:tc>
        <w:tc>
          <w:tcPr>
            <w:tcW w:w="407" w:type="pct"/>
            <w:vMerge w:val="continue"/>
            <w:vAlign w:val="center"/>
          </w:tcPr>
          <w:p w14:paraId="00B7B44F">
            <w:pPr>
              <w:pStyle w:val="63"/>
              <w:rPr>
                <w:color w:val="000000" w:themeColor="text1"/>
                <w:highlight w:val="none"/>
                <w14:textFill>
                  <w14:solidFill>
                    <w14:schemeClr w14:val="tx1"/>
                  </w14:solidFill>
                </w14:textFill>
              </w:rPr>
            </w:pPr>
          </w:p>
        </w:tc>
      </w:tr>
      <w:tr w14:paraId="73C20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21" w:type="pct"/>
            <w:vAlign w:val="center"/>
          </w:tcPr>
          <w:p w14:paraId="15D32C6B">
            <w:pPr>
              <w:pStyle w:val="63"/>
              <w:rPr>
                <w:color w:val="000000" w:themeColor="text1"/>
                <w:highlight w:val="none"/>
                <w14:textFill>
                  <w14:solidFill>
                    <w14:schemeClr w14:val="tx1"/>
                  </w14:solidFill>
                </w14:textFill>
              </w:rPr>
            </w:pPr>
            <w:r>
              <w:rPr>
                <w:i/>
                <w:color w:val="000000" w:themeColor="text1"/>
                <w:highlight w:val="none"/>
                <w14:textFill>
                  <w14:solidFill>
                    <w14:schemeClr w14:val="tx1"/>
                  </w14:solidFill>
                </w14:textFill>
              </w:rPr>
              <w:t>DN</w:t>
            </w:r>
            <w:r>
              <w:rPr>
                <w:color w:val="000000" w:themeColor="text1"/>
                <w:highlight w:val="none"/>
                <w14:textFill>
                  <w14:solidFill>
                    <w14:schemeClr w14:val="tx1"/>
                  </w14:solidFill>
                </w14:textFill>
              </w:rPr>
              <w:t>≥1500</w:t>
            </w:r>
          </w:p>
        </w:tc>
        <w:tc>
          <w:tcPr>
            <w:tcW w:w="817" w:type="pct"/>
            <w:vAlign w:val="center"/>
          </w:tcPr>
          <w:p w14:paraId="615BB90F">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700</w:t>
            </w:r>
          </w:p>
        </w:tc>
        <w:tc>
          <w:tcPr>
            <w:tcW w:w="717" w:type="pct"/>
            <w:vAlign w:val="center"/>
          </w:tcPr>
          <w:p w14:paraId="16D74EC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700</w:t>
            </w:r>
          </w:p>
        </w:tc>
        <w:tc>
          <w:tcPr>
            <w:tcW w:w="767" w:type="pct"/>
            <w:vMerge w:val="continue"/>
            <w:vAlign w:val="center"/>
          </w:tcPr>
          <w:p w14:paraId="5CF5EDAD">
            <w:pPr>
              <w:pStyle w:val="63"/>
              <w:rPr>
                <w:color w:val="000000" w:themeColor="text1"/>
                <w:highlight w:val="none"/>
                <w14:textFill>
                  <w14:solidFill>
                    <w14:schemeClr w14:val="tx1"/>
                  </w14:solidFill>
                </w14:textFill>
              </w:rPr>
            </w:pPr>
          </w:p>
        </w:tc>
        <w:tc>
          <w:tcPr>
            <w:tcW w:w="485" w:type="pct"/>
            <w:vAlign w:val="center"/>
          </w:tcPr>
          <w:p w14:paraId="61ABE75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700</w:t>
            </w:r>
          </w:p>
        </w:tc>
        <w:tc>
          <w:tcPr>
            <w:tcW w:w="483" w:type="pct"/>
            <w:vAlign w:val="center"/>
          </w:tcPr>
          <w:p w14:paraId="1AD6676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700</w:t>
            </w:r>
          </w:p>
        </w:tc>
        <w:tc>
          <w:tcPr>
            <w:tcW w:w="407" w:type="pct"/>
            <w:vMerge w:val="continue"/>
            <w:vAlign w:val="center"/>
          </w:tcPr>
          <w:p w14:paraId="2E4A4EE9">
            <w:pPr>
              <w:pStyle w:val="63"/>
              <w:rPr>
                <w:color w:val="000000" w:themeColor="text1"/>
                <w:highlight w:val="none"/>
                <w14:textFill>
                  <w14:solidFill>
                    <w14:schemeClr w14:val="tx1"/>
                  </w14:solidFill>
                </w14:textFill>
              </w:rPr>
            </w:pPr>
          </w:p>
        </w:tc>
      </w:tr>
    </w:tbl>
    <w:p w14:paraId="677A1FA8">
      <w:pPr>
        <w:spacing w:line="312" w:lineRule="exact"/>
        <w:jc w:val="center"/>
        <w:rPr>
          <w:rFonts w:ascii="Times New Roman" w:hAnsi="Times New Roman" w:eastAsia="方正黑体简体" w:cs="Times New Roman"/>
          <w:bCs/>
          <w:sz w:val="18"/>
          <w:szCs w:val="18"/>
          <w:highlight w:val="none"/>
          <w:u w:val="none"/>
        </w:rPr>
      </w:pPr>
      <w:bookmarkStart w:id="44" w:name="_Toc37689741"/>
      <w:r>
        <w:rPr>
          <w:rFonts w:hint="eastAsia" w:ascii="Times New Roman" w:hAnsi="Times New Roman" w:eastAsia="方正黑体简体" w:cs="Times New Roman"/>
          <w:bCs/>
          <w:sz w:val="18"/>
          <w:szCs w:val="18"/>
          <w:highlight w:val="none"/>
          <w:u w:val="none"/>
        </w:rPr>
        <w:t>表</w:t>
      </w:r>
      <w:r>
        <w:rPr>
          <w:rFonts w:ascii="Times New Roman" w:hAnsi="Times New Roman" w:eastAsia="方正黑体简体" w:cs="Times New Roman"/>
          <w:bCs/>
          <w:sz w:val="18"/>
          <w:szCs w:val="18"/>
          <w:highlight w:val="none"/>
          <w:u w:val="none"/>
        </w:rPr>
        <w:t xml:space="preserve"> 6.5.3-</w:t>
      </w:r>
      <w:r>
        <w:rPr>
          <w:rFonts w:ascii="Times New Roman" w:hAnsi="Times New Roman" w:eastAsia="方正黑体简体" w:cs="Times New Roman"/>
          <w:bCs/>
          <w:sz w:val="18"/>
          <w:szCs w:val="18"/>
          <w:highlight w:val="none"/>
          <w:u w:val="none"/>
        </w:rPr>
        <w:fldChar w:fldCharType="begin"/>
      </w:r>
      <w:r>
        <w:rPr>
          <w:rFonts w:ascii="Times New Roman" w:hAnsi="Times New Roman" w:eastAsia="方正黑体简体" w:cs="Times New Roman"/>
          <w:bCs/>
          <w:sz w:val="18"/>
          <w:szCs w:val="18"/>
          <w:highlight w:val="none"/>
          <w:u w:val="none"/>
        </w:rPr>
        <w:instrText xml:space="preserve"> SEQ </w:instrText>
      </w:r>
      <w:r>
        <w:rPr>
          <w:rFonts w:hint="eastAsia" w:ascii="Times New Roman" w:hAnsi="Times New Roman" w:eastAsia="方正黑体简体" w:cs="Times New Roman"/>
          <w:bCs/>
          <w:sz w:val="18"/>
          <w:szCs w:val="18"/>
          <w:highlight w:val="none"/>
          <w:u w:val="none"/>
        </w:rPr>
        <w:instrText xml:space="preserve">表</w:instrText>
      </w:r>
      <w:r>
        <w:rPr>
          <w:rFonts w:ascii="Times New Roman" w:hAnsi="Times New Roman" w:eastAsia="方正黑体简体" w:cs="Times New Roman"/>
          <w:bCs/>
          <w:sz w:val="18"/>
          <w:szCs w:val="18"/>
          <w:highlight w:val="none"/>
          <w:u w:val="none"/>
        </w:rPr>
        <w:instrText xml:space="preserve"> \* ARABIC \s 3 </w:instrText>
      </w:r>
      <w:r>
        <w:rPr>
          <w:rFonts w:ascii="Times New Roman" w:hAnsi="Times New Roman" w:eastAsia="方正黑体简体" w:cs="Times New Roman"/>
          <w:bCs/>
          <w:sz w:val="18"/>
          <w:szCs w:val="18"/>
          <w:highlight w:val="none"/>
          <w:u w:val="none"/>
        </w:rPr>
        <w:fldChar w:fldCharType="separate"/>
      </w:r>
      <w:r>
        <w:rPr>
          <w:rFonts w:ascii="Times New Roman" w:hAnsi="Times New Roman" w:eastAsia="方正黑体简体" w:cs="Times New Roman"/>
          <w:bCs/>
          <w:sz w:val="18"/>
          <w:szCs w:val="18"/>
          <w:highlight w:val="none"/>
          <w:u w:val="none"/>
        </w:rPr>
        <w:t>2</w:t>
      </w:r>
      <w:r>
        <w:rPr>
          <w:rFonts w:ascii="Times New Roman" w:hAnsi="Times New Roman" w:eastAsia="方正黑体简体" w:cs="Times New Roman"/>
          <w:bCs/>
          <w:sz w:val="18"/>
          <w:szCs w:val="18"/>
          <w:highlight w:val="none"/>
          <w:u w:val="none"/>
        </w:rPr>
        <w:fldChar w:fldCharType="end"/>
      </w:r>
      <w:r>
        <w:rPr>
          <w:rFonts w:ascii="Times New Roman" w:hAnsi="Times New Roman" w:eastAsia="方正黑体简体" w:cs="Times New Roman"/>
          <w:bCs/>
          <w:sz w:val="18"/>
          <w:szCs w:val="18"/>
          <w:highlight w:val="none"/>
          <w:u w:val="none"/>
        </w:rPr>
        <w:t xml:space="preserve"> </w:t>
      </w:r>
      <w:r>
        <w:rPr>
          <w:rFonts w:hint="eastAsia" w:ascii="Times New Roman" w:hAnsi="Times New Roman" w:eastAsia="方正黑体简体" w:cs="Times New Roman"/>
          <w:bCs/>
          <w:sz w:val="18"/>
          <w:szCs w:val="18"/>
          <w:highlight w:val="none"/>
          <w:u w:val="none"/>
        </w:rPr>
        <w:t>小型综合管廊的</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支墩支撑</w:t>
      </w:r>
      <w:r>
        <w:rPr>
          <w:rFonts w:hint="eastAsia" w:ascii="Times New Roman" w:hAnsi="Times New Roman" w:eastAsia="方正黑体简体" w:cs="Times New Roman"/>
          <w:bCs/>
          <w:sz w:val="18"/>
          <w:szCs w:val="18"/>
          <w:highlight w:val="none"/>
          <w:u w:val="none"/>
        </w:rPr>
        <w:t>管道安装净距</w:t>
      </w:r>
    </w:p>
    <w:tbl>
      <w:tblPr>
        <w:tblStyle w:val="27"/>
        <w:tblW w:w="50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 w:type="dxa"/>
          <w:bottom w:w="0" w:type="dxa"/>
          <w:right w:w="10" w:type="dxa"/>
        </w:tblCellMar>
      </w:tblPr>
      <w:tblGrid>
        <w:gridCol w:w="1273"/>
        <w:gridCol w:w="521"/>
        <w:gridCol w:w="524"/>
        <w:gridCol w:w="523"/>
        <w:gridCol w:w="627"/>
        <w:gridCol w:w="627"/>
        <w:gridCol w:w="627"/>
        <w:gridCol w:w="523"/>
        <w:gridCol w:w="524"/>
        <w:gridCol w:w="489"/>
      </w:tblGrid>
      <w:tr w14:paraId="23D26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blHeader/>
        </w:trPr>
        <w:tc>
          <w:tcPr>
            <w:tcW w:w="1017" w:type="pct"/>
            <w:vMerge w:val="restart"/>
            <w:tcBorders>
              <w:left w:val="single" w:color="auto" w:sz="12" w:space="0"/>
              <w:right w:val="single" w:color="auto" w:sz="6" w:space="0"/>
            </w:tcBorders>
            <w:shd w:val="clear" w:color="auto" w:fill="FFFFFF"/>
            <w:vAlign w:val="center"/>
          </w:tcPr>
          <w:p w14:paraId="2820D4D8">
            <w:pPr>
              <w:pStyle w:val="5"/>
              <w:jc w:val="center"/>
              <w:rPr>
                <w:bCs/>
                <w:sz w:val="18"/>
                <w:szCs w:val="18"/>
                <w:highlight w:val="none"/>
                <w:lang w:bidi="zh-TW"/>
              </w:rPr>
            </w:pPr>
            <w:r>
              <w:rPr>
                <w:bCs/>
                <w:sz w:val="18"/>
                <w:szCs w:val="18"/>
                <w:highlight w:val="none"/>
                <w:lang w:bidi="en-US"/>
              </w:rPr>
              <w:t>DN</w:t>
            </w:r>
          </w:p>
        </w:tc>
        <w:tc>
          <w:tcPr>
            <w:tcW w:w="1253" w:type="pct"/>
            <w:gridSpan w:val="3"/>
            <w:tcBorders>
              <w:top w:val="single" w:color="auto" w:sz="6" w:space="0"/>
              <w:left w:val="single" w:color="auto" w:sz="6" w:space="0"/>
              <w:bottom w:val="single" w:color="auto" w:sz="6" w:space="0"/>
              <w:right w:val="single" w:color="auto" w:sz="6" w:space="0"/>
            </w:tcBorders>
            <w:shd w:val="clear" w:color="auto" w:fill="FFFFFF"/>
            <w:vAlign w:val="center"/>
          </w:tcPr>
          <w:p w14:paraId="67533B0D">
            <w:pPr>
              <w:pStyle w:val="5"/>
              <w:jc w:val="center"/>
              <w:rPr>
                <w:rFonts w:hint="eastAsia"/>
                <w:bCs/>
                <w:sz w:val="18"/>
                <w:szCs w:val="18"/>
                <w:highlight w:val="none"/>
                <w:lang w:bidi="zh-TW"/>
              </w:rPr>
            </w:pPr>
            <w:r>
              <w:rPr>
                <w:rFonts w:hint="eastAsia"/>
                <w:bCs/>
                <w:sz w:val="18"/>
                <w:szCs w:val="18"/>
                <w:highlight w:val="none"/>
                <w:lang w:bidi="zh-TW"/>
              </w:rPr>
              <w:t>沟槽连接钢管</w:t>
            </w:r>
          </w:p>
        </w:tc>
        <w:tc>
          <w:tcPr>
            <w:tcW w:w="1503" w:type="pct"/>
            <w:gridSpan w:val="3"/>
            <w:tcBorders>
              <w:top w:val="single" w:color="auto" w:sz="6" w:space="0"/>
              <w:left w:val="single" w:color="auto" w:sz="6" w:space="0"/>
              <w:bottom w:val="single" w:color="auto" w:sz="6" w:space="0"/>
              <w:right w:val="single" w:color="auto" w:sz="6" w:space="0"/>
            </w:tcBorders>
            <w:shd w:val="clear" w:color="auto" w:fill="FFFFFF"/>
            <w:vAlign w:val="center"/>
          </w:tcPr>
          <w:p w14:paraId="275D970B">
            <w:pPr>
              <w:pStyle w:val="5"/>
              <w:jc w:val="center"/>
              <w:rPr>
                <w:rFonts w:hint="eastAsia"/>
                <w:bCs/>
                <w:sz w:val="18"/>
                <w:szCs w:val="18"/>
                <w:highlight w:val="none"/>
                <w:lang w:bidi="zh-TW"/>
              </w:rPr>
            </w:pPr>
            <w:r>
              <w:rPr>
                <w:rFonts w:hint="eastAsia"/>
                <w:bCs/>
                <w:sz w:val="18"/>
                <w:szCs w:val="18"/>
                <w:highlight w:val="none"/>
                <w:lang w:bidi="zh-TW"/>
              </w:rPr>
              <w:t>铸铁管、螺栓连接钢管</w:t>
            </w:r>
          </w:p>
        </w:tc>
        <w:tc>
          <w:tcPr>
            <w:tcW w:w="1226" w:type="pct"/>
            <w:gridSpan w:val="3"/>
            <w:tcBorders>
              <w:top w:val="single" w:color="auto" w:sz="6" w:space="0"/>
              <w:left w:val="single" w:color="auto" w:sz="6" w:space="0"/>
              <w:bottom w:val="single" w:color="auto" w:sz="6" w:space="0"/>
              <w:right w:val="single" w:color="auto" w:sz="12" w:space="0"/>
            </w:tcBorders>
            <w:shd w:val="clear" w:color="auto" w:fill="FFFFFF"/>
            <w:vAlign w:val="center"/>
          </w:tcPr>
          <w:p w14:paraId="7FF6865A">
            <w:pPr>
              <w:pStyle w:val="5"/>
              <w:jc w:val="center"/>
              <w:rPr>
                <w:rFonts w:hint="eastAsia"/>
                <w:bCs/>
                <w:sz w:val="18"/>
                <w:szCs w:val="18"/>
                <w:highlight w:val="none"/>
                <w:lang w:bidi="zh-TW"/>
              </w:rPr>
            </w:pPr>
            <w:r>
              <w:rPr>
                <w:rFonts w:hint="eastAsia"/>
                <w:bCs/>
                <w:sz w:val="18"/>
                <w:szCs w:val="18"/>
                <w:highlight w:val="none"/>
                <w:lang w:bidi="zh-TW"/>
              </w:rPr>
              <w:t>焊接钢管、塑料管</w:t>
            </w:r>
          </w:p>
        </w:tc>
      </w:tr>
      <w:tr w14:paraId="6BBBE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tblHeader/>
        </w:trPr>
        <w:tc>
          <w:tcPr>
            <w:tcW w:w="1017" w:type="pct"/>
            <w:vMerge w:val="continue"/>
            <w:tcBorders>
              <w:left w:val="single" w:color="auto" w:sz="12" w:space="0"/>
              <w:bottom w:val="single" w:color="auto" w:sz="6" w:space="0"/>
              <w:right w:val="single" w:color="auto" w:sz="6" w:space="0"/>
            </w:tcBorders>
            <w:shd w:val="clear" w:color="auto" w:fill="FFFFFF"/>
            <w:vAlign w:val="center"/>
          </w:tcPr>
          <w:p w14:paraId="3653BDA9">
            <w:pPr>
              <w:pStyle w:val="5"/>
              <w:jc w:val="center"/>
              <w:rPr>
                <w:bCs/>
                <w:sz w:val="18"/>
                <w:szCs w:val="18"/>
                <w:highlight w:val="none"/>
                <w:lang w:bidi="zh-TW"/>
              </w:rPr>
            </w:pPr>
          </w:p>
        </w:tc>
        <w:tc>
          <w:tcPr>
            <w:tcW w:w="416" w:type="pct"/>
            <w:tcBorders>
              <w:top w:val="single" w:color="auto" w:sz="6" w:space="0"/>
              <w:left w:val="single" w:color="auto" w:sz="6" w:space="0"/>
              <w:bottom w:val="single" w:color="auto" w:sz="6" w:space="0"/>
              <w:right w:val="single" w:color="auto" w:sz="6" w:space="0"/>
            </w:tcBorders>
            <w:shd w:val="clear" w:color="auto" w:fill="FFFFFF"/>
            <w:vAlign w:val="center"/>
          </w:tcPr>
          <w:p w14:paraId="0B9C7F17">
            <w:pPr>
              <w:pStyle w:val="5"/>
              <w:jc w:val="center"/>
              <w:rPr>
                <w:rFonts w:hint="eastAsia"/>
                <w:bCs/>
                <w:sz w:val="18"/>
                <w:szCs w:val="18"/>
                <w:highlight w:val="none"/>
                <w:lang w:bidi="zh-TW"/>
              </w:rPr>
            </w:pPr>
            <w:r>
              <w:rPr>
                <w:bCs/>
                <w:sz w:val="18"/>
                <w:szCs w:val="18"/>
                <w:highlight w:val="none"/>
                <w:lang w:bidi="en-US"/>
              </w:rPr>
              <w:t>a</w:t>
            </w:r>
          </w:p>
        </w:tc>
        <w:tc>
          <w:tcPr>
            <w:tcW w:w="419" w:type="pct"/>
            <w:tcBorders>
              <w:top w:val="single" w:color="auto" w:sz="6" w:space="0"/>
              <w:left w:val="single" w:color="auto" w:sz="6" w:space="0"/>
              <w:bottom w:val="single" w:color="auto" w:sz="6" w:space="0"/>
              <w:right w:val="single" w:color="auto" w:sz="6" w:space="0"/>
            </w:tcBorders>
            <w:shd w:val="clear" w:color="auto" w:fill="FFFFFF"/>
            <w:vAlign w:val="center"/>
          </w:tcPr>
          <w:p w14:paraId="18890E05">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1</w:t>
            </w:r>
          </w:p>
        </w:tc>
        <w:tc>
          <w:tcPr>
            <w:tcW w:w="418" w:type="pct"/>
            <w:tcBorders>
              <w:top w:val="single" w:color="auto" w:sz="6" w:space="0"/>
              <w:left w:val="single" w:color="auto" w:sz="6" w:space="0"/>
              <w:bottom w:val="single" w:color="auto" w:sz="6" w:space="0"/>
              <w:right w:val="single" w:color="auto" w:sz="6" w:space="0"/>
            </w:tcBorders>
            <w:shd w:val="clear" w:color="auto" w:fill="FFFFFF"/>
            <w:vAlign w:val="center"/>
          </w:tcPr>
          <w:p w14:paraId="3B437956">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2</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73E11158">
            <w:pPr>
              <w:pStyle w:val="5"/>
              <w:jc w:val="center"/>
              <w:rPr>
                <w:rFonts w:hint="eastAsia"/>
                <w:bCs/>
                <w:sz w:val="18"/>
                <w:szCs w:val="18"/>
                <w:highlight w:val="none"/>
                <w:lang w:bidi="zh-TW"/>
              </w:rPr>
            </w:pPr>
            <w:r>
              <w:rPr>
                <w:bCs/>
                <w:sz w:val="18"/>
                <w:szCs w:val="18"/>
                <w:highlight w:val="none"/>
                <w:lang w:bidi="en-US"/>
              </w:rPr>
              <w:t>a</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62838B38">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1</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47C0B6E8">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2</w:t>
            </w:r>
          </w:p>
        </w:tc>
        <w:tc>
          <w:tcPr>
            <w:tcW w:w="418" w:type="pct"/>
            <w:tcBorders>
              <w:top w:val="single" w:color="auto" w:sz="6" w:space="0"/>
              <w:left w:val="single" w:color="auto" w:sz="6" w:space="0"/>
              <w:bottom w:val="single" w:color="auto" w:sz="6" w:space="0"/>
              <w:right w:val="single" w:color="auto" w:sz="6" w:space="0"/>
            </w:tcBorders>
            <w:shd w:val="clear" w:color="auto" w:fill="FFFFFF"/>
            <w:vAlign w:val="center"/>
          </w:tcPr>
          <w:p w14:paraId="54EC83E1">
            <w:pPr>
              <w:pStyle w:val="5"/>
              <w:jc w:val="center"/>
              <w:rPr>
                <w:rFonts w:hint="eastAsia"/>
                <w:bCs/>
                <w:sz w:val="18"/>
                <w:szCs w:val="18"/>
                <w:highlight w:val="none"/>
                <w:lang w:bidi="zh-TW"/>
              </w:rPr>
            </w:pPr>
            <w:r>
              <w:rPr>
                <w:bCs/>
                <w:sz w:val="18"/>
                <w:szCs w:val="18"/>
                <w:highlight w:val="none"/>
                <w:lang w:bidi="en-US"/>
              </w:rPr>
              <w:t>a</w:t>
            </w:r>
          </w:p>
        </w:tc>
        <w:tc>
          <w:tcPr>
            <w:tcW w:w="419" w:type="pct"/>
            <w:tcBorders>
              <w:top w:val="single" w:color="auto" w:sz="6" w:space="0"/>
              <w:left w:val="single" w:color="auto" w:sz="6" w:space="0"/>
              <w:bottom w:val="single" w:color="auto" w:sz="6" w:space="0"/>
              <w:right w:val="single" w:color="auto" w:sz="6" w:space="0"/>
            </w:tcBorders>
            <w:shd w:val="clear" w:color="auto" w:fill="FFFFFF"/>
            <w:vAlign w:val="center"/>
          </w:tcPr>
          <w:p w14:paraId="6E17ADFF">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1</w:t>
            </w:r>
          </w:p>
        </w:tc>
        <w:tc>
          <w:tcPr>
            <w:tcW w:w="390" w:type="pct"/>
            <w:tcBorders>
              <w:top w:val="single" w:color="auto" w:sz="6" w:space="0"/>
              <w:left w:val="single" w:color="auto" w:sz="6" w:space="0"/>
              <w:bottom w:val="single" w:color="auto" w:sz="6" w:space="0"/>
              <w:right w:val="single" w:color="auto" w:sz="12" w:space="0"/>
            </w:tcBorders>
            <w:shd w:val="clear" w:color="auto" w:fill="FFFFFF"/>
            <w:vAlign w:val="center"/>
          </w:tcPr>
          <w:p w14:paraId="054A395E">
            <w:pPr>
              <w:pStyle w:val="5"/>
              <w:jc w:val="center"/>
              <w:rPr>
                <w:rFonts w:hint="eastAsia"/>
                <w:bCs/>
                <w:sz w:val="18"/>
                <w:szCs w:val="18"/>
                <w:highlight w:val="none"/>
                <w:lang w:bidi="zh-TW"/>
              </w:rPr>
            </w:pPr>
            <w:r>
              <w:rPr>
                <w:bCs/>
                <w:sz w:val="18"/>
                <w:szCs w:val="18"/>
                <w:highlight w:val="none"/>
                <w:lang w:bidi="en-US"/>
              </w:rPr>
              <w:t>b</w:t>
            </w:r>
            <w:r>
              <w:rPr>
                <w:bCs/>
                <w:sz w:val="18"/>
                <w:szCs w:val="18"/>
                <w:highlight w:val="none"/>
                <w:vertAlign w:val="subscript"/>
                <w:lang w:bidi="en-US"/>
              </w:rPr>
              <w:t>2</w:t>
            </w:r>
          </w:p>
        </w:tc>
      </w:tr>
      <w:tr w14:paraId="0FB42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c>
          <w:tcPr>
            <w:tcW w:w="1017" w:type="pct"/>
            <w:tcBorders>
              <w:top w:val="single" w:color="auto" w:sz="6" w:space="0"/>
              <w:left w:val="single" w:color="auto" w:sz="12" w:space="0"/>
              <w:bottom w:val="single" w:color="auto" w:sz="6" w:space="0"/>
              <w:right w:val="single" w:color="auto" w:sz="6" w:space="0"/>
            </w:tcBorders>
            <w:shd w:val="clear" w:color="auto" w:fill="FFFFFF"/>
            <w:vAlign w:val="center"/>
          </w:tcPr>
          <w:p w14:paraId="593D1F6C">
            <w:pPr>
              <w:pStyle w:val="5"/>
              <w:jc w:val="center"/>
              <w:rPr>
                <w:rFonts w:hint="eastAsia"/>
                <w:bCs/>
                <w:sz w:val="18"/>
                <w:szCs w:val="18"/>
                <w:highlight w:val="none"/>
                <w:lang w:bidi="zh-TW"/>
              </w:rPr>
            </w:pPr>
            <w:r>
              <w:rPr>
                <w:bCs/>
                <w:sz w:val="18"/>
                <w:szCs w:val="18"/>
                <w:highlight w:val="none"/>
                <w:lang w:bidi="en-US"/>
              </w:rPr>
              <w:t>DN</w:t>
            </w:r>
            <w:r>
              <w:rPr>
                <w:rFonts w:hint="eastAsia"/>
                <w:bCs/>
                <w:sz w:val="18"/>
                <w:szCs w:val="18"/>
                <w:highlight w:val="none"/>
                <w:lang w:bidi="en-US"/>
              </w:rPr>
              <w:t>≤</w:t>
            </w:r>
            <w:r>
              <w:rPr>
                <w:bCs/>
                <w:sz w:val="18"/>
                <w:szCs w:val="18"/>
                <w:highlight w:val="none"/>
                <w:lang w:bidi="en-US"/>
              </w:rPr>
              <w:t>400</w:t>
            </w:r>
          </w:p>
        </w:tc>
        <w:tc>
          <w:tcPr>
            <w:tcW w:w="416" w:type="pct"/>
            <w:tcBorders>
              <w:top w:val="single" w:color="auto" w:sz="6" w:space="0"/>
              <w:left w:val="single" w:color="auto" w:sz="6" w:space="0"/>
              <w:bottom w:val="single" w:color="auto" w:sz="6" w:space="0"/>
              <w:right w:val="single" w:color="auto" w:sz="6" w:space="0"/>
            </w:tcBorders>
            <w:shd w:val="clear" w:color="auto" w:fill="FFFFFF"/>
            <w:vAlign w:val="center"/>
          </w:tcPr>
          <w:p w14:paraId="5105494F">
            <w:pPr>
              <w:pStyle w:val="5"/>
              <w:jc w:val="center"/>
              <w:rPr>
                <w:rFonts w:hint="eastAsia"/>
                <w:bCs/>
                <w:sz w:val="18"/>
                <w:szCs w:val="18"/>
                <w:highlight w:val="none"/>
                <w:lang w:bidi="zh-TW"/>
              </w:rPr>
            </w:pPr>
            <w:r>
              <w:rPr>
                <w:rFonts w:hint="eastAsia"/>
                <w:bCs/>
                <w:sz w:val="18"/>
                <w:szCs w:val="18"/>
                <w:highlight w:val="none"/>
                <w:lang w:bidi="zh-TW"/>
              </w:rPr>
              <w:t>200</w:t>
            </w:r>
          </w:p>
        </w:tc>
        <w:tc>
          <w:tcPr>
            <w:tcW w:w="419" w:type="pct"/>
            <w:tcBorders>
              <w:top w:val="single" w:color="auto" w:sz="6" w:space="0"/>
              <w:left w:val="single" w:color="auto" w:sz="6" w:space="0"/>
              <w:bottom w:val="single" w:color="auto" w:sz="6" w:space="0"/>
              <w:right w:val="single" w:color="auto" w:sz="6" w:space="0"/>
            </w:tcBorders>
            <w:shd w:val="clear" w:color="auto" w:fill="FFFFFF"/>
            <w:vAlign w:val="center"/>
          </w:tcPr>
          <w:p w14:paraId="11FEC359">
            <w:pPr>
              <w:pStyle w:val="5"/>
              <w:jc w:val="center"/>
              <w:rPr>
                <w:rFonts w:hint="eastAsia"/>
                <w:bCs/>
                <w:sz w:val="18"/>
                <w:szCs w:val="18"/>
                <w:highlight w:val="none"/>
                <w:lang w:bidi="zh-TW"/>
              </w:rPr>
            </w:pPr>
            <w:r>
              <w:rPr>
                <w:rFonts w:hint="eastAsia"/>
                <w:bCs/>
                <w:sz w:val="18"/>
                <w:szCs w:val="18"/>
                <w:highlight w:val="none"/>
                <w:lang w:bidi="zh-TW"/>
              </w:rPr>
              <w:t>200</w:t>
            </w:r>
          </w:p>
        </w:tc>
        <w:tc>
          <w:tcPr>
            <w:tcW w:w="418" w:type="pct"/>
            <w:tcBorders>
              <w:top w:val="single" w:color="auto" w:sz="6" w:space="0"/>
              <w:left w:val="single" w:color="auto" w:sz="6" w:space="0"/>
              <w:bottom w:val="single" w:color="auto" w:sz="6" w:space="0"/>
              <w:right w:val="single" w:color="auto" w:sz="6" w:space="0"/>
            </w:tcBorders>
            <w:shd w:val="clear" w:color="auto" w:fill="FFFFFF"/>
            <w:vAlign w:val="center"/>
          </w:tcPr>
          <w:p w14:paraId="503FAB18">
            <w:pPr>
              <w:pStyle w:val="5"/>
              <w:jc w:val="center"/>
              <w:rPr>
                <w:rFonts w:hint="eastAsia"/>
                <w:bCs/>
                <w:sz w:val="18"/>
                <w:szCs w:val="18"/>
                <w:highlight w:val="none"/>
                <w:lang w:bidi="zh-TW"/>
              </w:rPr>
            </w:pPr>
            <w:r>
              <w:rPr>
                <w:rFonts w:hint="eastAsia"/>
                <w:bCs/>
                <w:sz w:val="18"/>
                <w:szCs w:val="18"/>
                <w:highlight w:val="none"/>
                <w:lang w:bidi="zh-TW"/>
              </w:rPr>
              <w:t>500</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35B5F15C">
            <w:pPr>
              <w:pStyle w:val="5"/>
              <w:jc w:val="center"/>
              <w:rPr>
                <w:rFonts w:hint="eastAsia"/>
                <w:bCs/>
                <w:sz w:val="18"/>
                <w:szCs w:val="18"/>
                <w:highlight w:val="none"/>
                <w:lang w:bidi="zh-TW"/>
              </w:rPr>
            </w:pPr>
            <w:r>
              <w:rPr>
                <w:rFonts w:hint="eastAsia"/>
                <w:bCs/>
                <w:sz w:val="18"/>
                <w:szCs w:val="18"/>
                <w:highlight w:val="none"/>
                <w:lang w:bidi="zh-TW"/>
              </w:rPr>
              <w:t>300</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1E989091">
            <w:pPr>
              <w:pStyle w:val="5"/>
              <w:jc w:val="center"/>
              <w:rPr>
                <w:rFonts w:hint="eastAsia"/>
                <w:bCs/>
                <w:sz w:val="18"/>
                <w:szCs w:val="18"/>
                <w:highlight w:val="none"/>
                <w:lang w:bidi="zh-TW"/>
              </w:rPr>
            </w:pPr>
            <w:r>
              <w:rPr>
                <w:rFonts w:hint="eastAsia"/>
                <w:bCs/>
                <w:sz w:val="18"/>
                <w:szCs w:val="18"/>
                <w:highlight w:val="none"/>
                <w:lang w:bidi="zh-TW"/>
              </w:rPr>
              <w:t>300</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5D8A94CC">
            <w:pPr>
              <w:pStyle w:val="5"/>
              <w:jc w:val="center"/>
              <w:rPr>
                <w:rFonts w:hint="eastAsia"/>
                <w:bCs/>
                <w:sz w:val="18"/>
                <w:szCs w:val="18"/>
                <w:highlight w:val="none"/>
                <w:lang w:bidi="zh-TW"/>
              </w:rPr>
            </w:pPr>
            <w:r>
              <w:rPr>
                <w:rFonts w:hint="eastAsia"/>
                <w:bCs/>
                <w:sz w:val="18"/>
                <w:szCs w:val="18"/>
                <w:highlight w:val="none"/>
                <w:lang w:bidi="zh-TW"/>
              </w:rPr>
              <w:t>500</w:t>
            </w:r>
          </w:p>
        </w:tc>
        <w:tc>
          <w:tcPr>
            <w:tcW w:w="418" w:type="pct"/>
            <w:vMerge w:val="restart"/>
            <w:tcBorders>
              <w:top w:val="single" w:color="auto" w:sz="6" w:space="0"/>
              <w:left w:val="single" w:color="auto" w:sz="6" w:space="0"/>
              <w:bottom w:val="single" w:color="auto" w:sz="12" w:space="0"/>
              <w:right w:val="single" w:color="auto" w:sz="6" w:space="0"/>
            </w:tcBorders>
            <w:shd w:val="clear" w:color="auto" w:fill="FFFFFF"/>
            <w:vAlign w:val="center"/>
          </w:tcPr>
          <w:p w14:paraId="38192AEF">
            <w:pPr>
              <w:pStyle w:val="5"/>
              <w:jc w:val="center"/>
              <w:rPr>
                <w:rFonts w:hint="eastAsia"/>
                <w:bCs/>
                <w:sz w:val="18"/>
                <w:szCs w:val="18"/>
                <w:highlight w:val="none"/>
                <w:lang w:bidi="zh-TW"/>
              </w:rPr>
            </w:pPr>
            <w:r>
              <w:rPr>
                <w:rFonts w:hint="eastAsia"/>
                <w:bCs/>
                <w:sz w:val="18"/>
                <w:szCs w:val="18"/>
                <w:highlight w:val="none"/>
                <w:lang w:bidi="zh-TW"/>
              </w:rPr>
              <w:t>500</w:t>
            </w:r>
          </w:p>
        </w:tc>
        <w:tc>
          <w:tcPr>
            <w:tcW w:w="419" w:type="pct"/>
            <w:vMerge w:val="restart"/>
            <w:tcBorders>
              <w:top w:val="single" w:color="auto" w:sz="6" w:space="0"/>
              <w:left w:val="single" w:color="auto" w:sz="6" w:space="0"/>
              <w:bottom w:val="single" w:color="auto" w:sz="12" w:space="0"/>
              <w:right w:val="single" w:color="auto" w:sz="6" w:space="0"/>
            </w:tcBorders>
            <w:shd w:val="clear" w:color="auto" w:fill="FFFFFF"/>
            <w:vAlign w:val="center"/>
          </w:tcPr>
          <w:p w14:paraId="5560EA3D">
            <w:pPr>
              <w:pStyle w:val="5"/>
              <w:jc w:val="center"/>
              <w:rPr>
                <w:rFonts w:hint="eastAsia"/>
                <w:bCs/>
                <w:sz w:val="18"/>
                <w:szCs w:val="18"/>
                <w:highlight w:val="none"/>
                <w:lang w:bidi="zh-TW"/>
              </w:rPr>
            </w:pPr>
            <w:r>
              <w:rPr>
                <w:rFonts w:hint="eastAsia"/>
                <w:bCs/>
                <w:sz w:val="18"/>
                <w:szCs w:val="18"/>
                <w:highlight w:val="none"/>
                <w:lang w:bidi="zh-TW"/>
              </w:rPr>
              <w:t>500</w:t>
            </w:r>
          </w:p>
        </w:tc>
        <w:tc>
          <w:tcPr>
            <w:tcW w:w="390" w:type="pct"/>
            <w:tcBorders>
              <w:top w:val="single" w:color="auto" w:sz="6" w:space="0"/>
              <w:left w:val="single" w:color="auto" w:sz="6" w:space="0"/>
              <w:bottom w:val="single" w:color="auto" w:sz="6" w:space="0"/>
              <w:right w:val="single" w:color="auto" w:sz="12" w:space="0"/>
            </w:tcBorders>
            <w:shd w:val="clear" w:color="auto" w:fill="FFFFFF"/>
            <w:vAlign w:val="center"/>
          </w:tcPr>
          <w:p w14:paraId="6CFF11C0">
            <w:pPr>
              <w:pStyle w:val="5"/>
              <w:jc w:val="center"/>
              <w:rPr>
                <w:rFonts w:hint="eastAsia"/>
                <w:bCs/>
                <w:sz w:val="18"/>
                <w:szCs w:val="18"/>
                <w:highlight w:val="none"/>
                <w:lang w:bidi="zh-TW"/>
              </w:rPr>
            </w:pPr>
            <w:r>
              <w:rPr>
                <w:rFonts w:hint="eastAsia"/>
                <w:bCs/>
                <w:sz w:val="18"/>
                <w:szCs w:val="18"/>
                <w:highlight w:val="none"/>
                <w:lang w:bidi="zh-TW"/>
              </w:rPr>
              <w:t>500</w:t>
            </w:r>
          </w:p>
        </w:tc>
      </w:tr>
      <w:tr w14:paraId="48819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c>
          <w:tcPr>
            <w:tcW w:w="1017" w:type="pct"/>
            <w:tcBorders>
              <w:top w:val="single" w:color="auto" w:sz="6" w:space="0"/>
              <w:left w:val="single" w:color="auto" w:sz="12" w:space="0"/>
              <w:bottom w:val="single" w:color="auto" w:sz="6" w:space="0"/>
              <w:right w:val="single" w:color="auto" w:sz="6" w:space="0"/>
            </w:tcBorders>
            <w:shd w:val="clear" w:color="auto" w:fill="FFFFFF"/>
            <w:vAlign w:val="center"/>
          </w:tcPr>
          <w:p w14:paraId="2046288F">
            <w:pPr>
              <w:pStyle w:val="5"/>
              <w:jc w:val="center"/>
              <w:rPr>
                <w:rFonts w:hint="eastAsia"/>
                <w:bCs/>
                <w:sz w:val="18"/>
                <w:szCs w:val="18"/>
                <w:highlight w:val="none"/>
                <w:lang w:bidi="zh-TW"/>
              </w:rPr>
            </w:pPr>
            <w:r>
              <w:rPr>
                <w:bCs/>
                <w:sz w:val="18"/>
                <w:szCs w:val="18"/>
                <w:highlight w:val="none"/>
                <w:lang w:bidi="en-US"/>
              </w:rPr>
              <w:t>400&lt;DN</w:t>
            </w:r>
            <w:r>
              <w:rPr>
                <w:rFonts w:hint="eastAsia"/>
                <w:bCs/>
                <w:sz w:val="18"/>
                <w:szCs w:val="18"/>
                <w:highlight w:val="none"/>
                <w:lang w:bidi="en-US"/>
              </w:rPr>
              <w:t>≤</w:t>
            </w:r>
            <w:r>
              <w:rPr>
                <w:bCs/>
                <w:sz w:val="18"/>
                <w:szCs w:val="18"/>
                <w:highlight w:val="none"/>
                <w:lang w:bidi="en-US"/>
              </w:rPr>
              <w:t>800</w:t>
            </w:r>
          </w:p>
        </w:tc>
        <w:tc>
          <w:tcPr>
            <w:tcW w:w="416" w:type="pct"/>
            <w:tcBorders>
              <w:top w:val="single" w:color="auto" w:sz="6" w:space="0"/>
              <w:left w:val="single" w:color="auto" w:sz="6" w:space="0"/>
              <w:bottom w:val="single" w:color="auto" w:sz="6" w:space="0"/>
              <w:right w:val="single" w:color="auto" w:sz="6" w:space="0"/>
            </w:tcBorders>
            <w:shd w:val="clear" w:color="auto" w:fill="FFFFFF"/>
            <w:vAlign w:val="center"/>
          </w:tcPr>
          <w:p w14:paraId="7CB4F472">
            <w:pPr>
              <w:pStyle w:val="5"/>
              <w:jc w:val="center"/>
              <w:rPr>
                <w:rFonts w:hint="eastAsia"/>
                <w:bCs/>
                <w:sz w:val="18"/>
                <w:szCs w:val="18"/>
                <w:highlight w:val="none"/>
                <w:lang w:bidi="zh-TW"/>
              </w:rPr>
            </w:pPr>
            <w:r>
              <w:rPr>
                <w:rFonts w:hint="eastAsia"/>
                <w:bCs/>
                <w:sz w:val="18"/>
                <w:szCs w:val="18"/>
                <w:highlight w:val="none"/>
                <w:lang w:bidi="zh-TW"/>
              </w:rPr>
              <w:t>250</w:t>
            </w:r>
          </w:p>
        </w:tc>
        <w:tc>
          <w:tcPr>
            <w:tcW w:w="419" w:type="pct"/>
            <w:tcBorders>
              <w:top w:val="single" w:color="auto" w:sz="6" w:space="0"/>
              <w:left w:val="single" w:color="auto" w:sz="6" w:space="0"/>
              <w:bottom w:val="single" w:color="auto" w:sz="6" w:space="0"/>
              <w:right w:val="single" w:color="auto" w:sz="6" w:space="0"/>
            </w:tcBorders>
            <w:shd w:val="clear" w:color="auto" w:fill="FFFFFF"/>
            <w:vAlign w:val="center"/>
          </w:tcPr>
          <w:p w14:paraId="67E19242">
            <w:pPr>
              <w:pStyle w:val="5"/>
              <w:jc w:val="center"/>
              <w:rPr>
                <w:rFonts w:hint="eastAsia"/>
                <w:bCs/>
                <w:sz w:val="18"/>
                <w:szCs w:val="18"/>
                <w:highlight w:val="none"/>
                <w:lang w:bidi="zh-TW"/>
              </w:rPr>
            </w:pPr>
            <w:r>
              <w:rPr>
                <w:rFonts w:hint="eastAsia"/>
                <w:bCs/>
                <w:sz w:val="18"/>
                <w:szCs w:val="18"/>
                <w:highlight w:val="none"/>
                <w:lang w:bidi="zh-TW"/>
              </w:rPr>
              <w:t>250</w:t>
            </w:r>
          </w:p>
        </w:tc>
        <w:tc>
          <w:tcPr>
            <w:tcW w:w="418" w:type="pct"/>
            <w:tcBorders>
              <w:top w:val="single" w:color="auto" w:sz="6" w:space="0"/>
              <w:left w:val="single" w:color="auto" w:sz="6" w:space="0"/>
              <w:bottom w:val="single" w:color="auto" w:sz="12" w:space="0"/>
              <w:right w:val="single" w:color="auto" w:sz="6" w:space="0"/>
            </w:tcBorders>
            <w:shd w:val="clear" w:color="auto" w:fill="FFFFFF"/>
            <w:vAlign w:val="center"/>
          </w:tcPr>
          <w:p w14:paraId="3619F2C8">
            <w:pPr>
              <w:pStyle w:val="5"/>
              <w:jc w:val="center"/>
              <w:rPr>
                <w:rFonts w:hint="eastAsia"/>
                <w:bCs/>
                <w:sz w:val="18"/>
                <w:szCs w:val="18"/>
                <w:highlight w:val="none"/>
                <w:lang w:bidi="zh-TW"/>
              </w:rPr>
            </w:pPr>
            <w:r>
              <w:rPr>
                <w:rFonts w:hint="eastAsia"/>
                <w:bCs/>
                <w:sz w:val="18"/>
                <w:szCs w:val="18"/>
                <w:highlight w:val="none"/>
                <w:lang w:bidi="zh-TW"/>
              </w:rPr>
              <w:t>800</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0EFF7848">
            <w:pPr>
              <w:pStyle w:val="5"/>
              <w:jc w:val="center"/>
              <w:rPr>
                <w:rFonts w:hint="eastAsia"/>
                <w:bCs/>
                <w:sz w:val="18"/>
                <w:szCs w:val="18"/>
                <w:highlight w:val="none"/>
                <w:lang w:bidi="zh-TW"/>
              </w:rPr>
            </w:pPr>
            <w:r>
              <w:rPr>
                <w:rFonts w:hint="eastAsia"/>
                <w:bCs/>
                <w:sz w:val="18"/>
                <w:szCs w:val="18"/>
                <w:highlight w:val="none"/>
                <w:lang w:bidi="zh-TW"/>
              </w:rPr>
              <w:t>400</w:t>
            </w:r>
          </w:p>
        </w:tc>
        <w:tc>
          <w:tcPr>
            <w:tcW w:w="501" w:type="pct"/>
            <w:tcBorders>
              <w:top w:val="single" w:color="auto" w:sz="6" w:space="0"/>
              <w:left w:val="single" w:color="auto" w:sz="6" w:space="0"/>
              <w:bottom w:val="single" w:color="auto" w:sz="6" w:space="0"/>
              <w:right w:val="single" w:color="auto" w:sz="6" w:space="0"/>
            </w:tcBorders>
            <w:shd w:val="clear" w:color="auto" w:fill="FFFFFF"/>
            <w:vAlign w:val="center"/>
          </w:tcPr>
          <w:p w14:paraId="637F5C77">
            <w:pPr>
              <w:pStyle w:val="5"/>
              <w:jc w:val="center"/>
              <w:rPr>
                <w:rFonts w:hint="eastAsia"/>
                <w:bCs/>
                <w:sz w:val="18"/>
                <w:szCs w:val="18"/>
                <w:highlight w:val="none"/>
                <w:lang w:bidi="zh-TW"/>
              </w:rPr>
            </w:pPr>
            <w:r>
              <w:rPr>
                <w:rFonts w:hint="eastAsia"/>
                <w:bCs/>
                <w:sz w:val="18"/>
                <w:szCs w:val="18"/>
                <w:highlight w:val="none"/>
                <w:lang w:bidi="zh-TW"/>
              </w:rPr>
              <w:t>400</w:t>
            </w:r>
          </w:p>
        </w:tc>
        <w:tc>
          <w:tcPr>
            <w:tcW w:w="501" w:type="pct"/>
            <w:tcBorders>
              <w:top w:val="single" w:color="auto" w:sz="6" w:space="0"/>
              <w:left w:val="single" w:color="auto" w:sz="6" w:space="0"/>
              <w:bottom w:val="single" w:color="auto" w:sz="12" w:space="0"/>
              <w:right w:val="single" w:color="auto" w:sz="6" w:space="0"/>
            </w:tcBorders>
            <w:shd w:val="clear" w:color="auto" w:fill="FFFFFF"/>
            <w:vAlign w:val="center"/>
          </w:tcPr>
          <w:p w14:paraId="5A9461AE">
            <w:pPr>
              <w:pStyle w:val="5"/>
              <w:jc w:val="center"/>
              <w:rPr>
                <w:rFonts w:hint="eastAsia"/>
                <w:bCs/>
                <w:sz w:val="18"/>
                <w:szCs w:val="18"/>
                <w:highlight w:val="none"/>
              </w:rPr>
            </w:pPr>
            <w:r>
              <w:rPr>
                <w:bCs/>
                <w:sz w:val="18"/>
                <w:szCs w:val="18"/>
                <w:highlight w:val="none"/>
              </w:rPr>
              <w:t>800</w:t>
            </w: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21995895">
            <w:pPr>
              <w:pStyle w:val="5"/>
              <w:jc w:val="center"/>
              <w:rPr>
                <w:bCs/>
                <w:sz w:val="18"/>
                <w:szCs w:val="18"/>
                <w:highlight w:val="none"/>
                <w:lang w:bidi="zh-TW"/>
              </w:rPr>
            </w:pPr>
          </w:p>
        </w:tc>
        <w:tc>
          <w:tcPr>
            <w:tcW w:w="0" w:type="auto"/>
            <w:vMerge w:val="continue"/>
            <w:tcBorders>
              <w:top w:val="single" w:color="auto" w:sz="6" w:space="0"/>
              <w:left w:val="single" w:color="auto" w:sz="6" w:space="0"/>
              <w:bottom w:val="single" w:color="auto" w:sz="12" w:space="0"/>
              <w:right w:val="single" w:color="auto" w:sz="6" w:space="0"/>
            </w:tcBorders>
            <w:vAlign w:val="center"/>
          </w:tcPr>
          <w:p w14:paraId="63FB7515">
            <w:pPr>
              <w:pStyle w:val="5"/>
              <w:jc w:val="center"/>
              <w:rPr>
                <w:bCs/>
                <w:sz w:val="18"/>
                <w:szCs w:val="18"/>
                <w:highlight w:val="none"/>
                <w:lang w:bidi="zh-TW"/>
              </w:rPr>
            </w:pPr>
          </w:p>
        </w:tc>
        <w:tc>
          <w:tcPr>
            <w:tcW w:w="390" w:type="pct"/>
            <w:tcBorders>
              <w:top w:val="single" w:color="auto" w:sz="6" w:space="0"/>
              <w:left w:val="single" w:color="auto" w:sz="6" w:space="0"/>
              <w:bottom w:val="single" w:color="auto" w:sz="12" w:space="0"/>
              <w:right w:val="single" w:color="auto" w:sz="12" w:space="0"/>
            </w:tcBorders>
            <w:shd w:val="clear" w:color="auto" w:fill="FFFFFF"/>
            <w:vAlign w:val="center"/>
          </w:tcPr>
          <w:p w14:paraId="025AFB2C">
            <w:pPr>
              <w:pStyle w:val="5"/>
              <w:jc w:val="center"/>
              <w:rPr>
                <w:bCs/>
                <w:sz w:val="18"/>
                <w:szCs w:val="18"/>
                <w:highlight w:val="none"/>
              </w:rPr>
            </w:pPr>
            <w:r>
              <w:rPr>
                <w:bCs/>
                <w:sz w:val="18"/>
                <w:szCs w:val="18"/>
                <w:highlight w:val="none"/>
              </w:rPr>
              <w:t>800</w:t>
            </w:r>
          </w:p>
        </w:tc>
      </w:tr>
    </w:tbl>
    <w:p w14:paraId="354CFD1B">
      <w:pPr>
        <w:pStyle w:val="5"/>
        <w:rPr>
          <w:highlight w:val="none"/>
        </w:rPr>
      </w:pPr>
      <w:r>
        <w:rPr>
          <w:b/>
          <w:highlight w:val="none"/>
        </w:rPr>
        <w:t>6.3.6</w:t>
      </w:r>
      <w:r>
        <w:rPr>
          <w:highlight w:val="none"/>
        </w:rPr>
        <w:t xml:space="preserve">  采用支、吊架支撑的综合管廊的管廊安装净距（图6.3.6）不应小于表6.3.6的规定。</w:t>
      </w:r>
    </w:p>
    <w:p w14:paraId="4FB8332C">
      <w:pPr>
        <w:overflowPunct w:val="0"/>
        <w:spacing w:line="240" w:lineRule="auto"/>
        <w:jc w:val="center"/>
        <w:rPr>
          <w:rFonts w:ascii="Times New Roman" w:hAnsi="Times New Roman" w:eastAsia="方正书宋简体" w:cs="Times New Roman"/>
          <w:color w:val="000000" w:themeColor="text1"/>
          <w:highlight w:val="none"/>
          <w:u w:val="single"/>
          <w14:textFill>
            <w14:solidFill>
              <w14:schemeClr w14:val="tx1"/>
            </w14:solidFill>
          </w14:textFill>
        </w:rPr>
      </w:pPr>
      <w:r>
        <w:rPr>
          <w:highlight w:val="none"/>
        </w:rPr>
        <w:drawing>
          <wp:inline distT="0" distB="0" distL="0" distR="0">
            <wp:extent cx="1799590" cy="1978660"/>
            <wp:effectExtent l="0" t="0" r="0" b="2540"/>
            <wp:docPr id="766590785" name="Picture 1" descr="A drawing of a rectangular object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90785" name="Picture 1" descr="A drawing of a rectangular object with a circle&#10;&#10;AI-generated content may be incorrect."/>
                    <pic:cNvPicPr>
                      <a:picLocks noChangeAspect="1"/>
                    </pic:cNvPicPr>
                  </pic:nvPicPr>
                  <pic:blipFill>
                    <a:blip r:embed="rId20"/>
                    <a:stretch>
                      <a:fillRect/>
                    </a:stretch>
                  </pic:blipFill>
                  <pic:spPr>
                    <a:xfrm>
                      <a:off x="0" y="0"/>
                      <a:ext cx="1800000" cy="1978736"/>
                    </a:xfrm>
                    <a:prstGeom prst="rect">
                      <a:avLst/>
                    </a:prstGeom>
                  </pic:spPr>
                </pic:pic>
              </a:graphicData>
            </a:graphic>
          </wp:inline>
        </w:drawing>
      </w:r>
    </w:p>
    <w:p w14:paraId="688FF66C">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 xml:space="preserve">6.3.6 </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支吊架支撑管道安装净距</w:t>
      </w:r>
    </w:p>
    <w:p w14:paraId="75ED8C76">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6.3.6</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综合管廊的支吊架支撑管道安装净距</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222"/>
        <w:gridCol w:w="1223"/>
        <w:gridCol w:w="1223"/>
        <w:gridCol w:w="1223"/>
      </w:tblGrid>
      <w:tr w14:paraId="0ACE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vAlign w:val="center"/>
          </w:tcPr>
          <w:p w14:paraId="63B8CDCE">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DN</w:t>
            </w:r>
          </w:p>
        </w:tc>
        <w:tc>
          <w:tcPr>
            <w:tcW w:w="4891" w:type="dxa"/>
            <w:gridSpan w:val="4"/>
            <w:vAlign w:val="center"/>
          </w:tcPr>
          <w:p w14:paraId="0824E76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管道安装距离（mm）</w:t>
            </w:r>
          </w:p>
        </w:tc>
      </w:tr>
      <w:tr w14:paraId="6850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14:paraId="2C40375D">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p>
        </w:tc>
        <w:tc>
          <w:tcPr>
            <w:tcW w:w="2445" w:type="dxa"/>
            <w:gridSpan w:val="2"/>
            <w:vAlign w:val="center"/>
          </w:tcPr>
          <w:p w14:paraId="19FBEAFF">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非保温管</w:t>
            </w:r>
          </w:p>
        </w:tc>
        <w:tc>
          <w:tcPr>
            <w:tcW w:w="2446" w:type="dxa"/>
            <w:gridSpan w:val="2"/>
            <w:vAlign w:val="center"/>
          </w:tcPr>
          <w:p w14:paraId="03156F01">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非保温管</w:t>
            </w:r>
          </w:p>
        </w:tc>
      </w:tr>
      <w:tr w14:paraId="26FD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vAlign w:val="center"/>
          </w:tcPr>
          <w:p w14:paraId="6889F21F">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p>
        </w:tc>
        <w:tc>
          <w:tcPr>
            <w:tcW w:w="1222" w:type="dxa"/>
            <w:vAlign w:val="center"/>
          </w:tcPr>
          <w:p w14:paraId="0F1A7312">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i/>
                <w:color w:val="000000" w:themeColor="text1"/>
                <w:highlight w:val="none"/>
                <w:u w:val="none"/>
                <w14:textFill>
                  <w14:solidFill>
                    <w14:schemeClr w14:val="tx1"/>
                  </w14:solidFill>
                </w14:textFill>
              </w:rPr>
              <w:t>a</w:t>
            </w:r>
            <w:r>
              <w:rPr>
                <w:rFonts w:ascii="Times New Roman" w:hAnsi="Times New Roman" w:cs="Times New Roman"/>
                <w:color w:val="000000" w:themeColor="text1"/>
                <w:highlight w:val="none"/>
                <w:u w:val="none"/>
                <w:vertAlign w:val="subscript"/>
                <w14:textFill>
                  <w14:solidFill>
                    <w14:schemeClr w14:val="tx1"/>
                  </w14:solidFill>
                </w14:textFill>
              </w:rPr>
              <w:t>1</w:t>
            </w:r>
          </w:p>
        </w:tc>
        <w:tc>
          <w:tcPr>
            <w:tcW w:w="1223" w:type="dxa"/>
            <w:vAlign w:val="center"/>
          </w:tcPr>
          <w:p w14:paraId="04BD2AEC">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i/>
                <w:color w:val="000000" w:themeColor="text1"/>
                <w:highlight w:val="none"/>
                <w:u w:val="none"/>
                <w14:textFill>
                  <w14:solidFill>
                    <w14:schemeClr w14:val="tx1"/>
                  </w14:solidFill>
                </w14:textFill>
              </w:rPr>
              <w:t>a</w:t>
            </w:r>
            <w:r>
              <w:rPr>
                <w:rFonts w:ascii="Times New Roman" w:hAnsi="Times New Roman" w:cs="Times New Roman"/>
                <w:i/>
                <w:color w:val="000000" w:themeColor="text1"/>
                <w:highlight w:val="none"/>
                <w:u w:val="none"/>
                <w:vertAlign w:val="subscript"/>
                <w14:textFill>
                  <w14:solidFill>
                    <w14:schemeClr w14:val="tx1"/>
                  </w14:solidFill>
                </w14:textFill>
              </w:rPr>
              <w:t>2</w:t>
            </w:r>
          </w:p>
        </w:tc>
        <w:tc>
          <w:tcPr>
            <w:tcW w:w="1223" w:type="dxa"/>
            <w:vAlign w:val="center"/>
          </w:tcPr>
          <w:p w14:paraId="682447BE">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i/>
                <w:color w:val="000000" w:themeColor="text1"/>
                <w:highlight w:val="none"/>
                <w:u w:val="none"/>
                <w14:textFill>
                  <w14:solidFill>
                    <w14:schemeClr w14:val="tx1"/>
                  </w14:solidFill>
                </w14:textFill>
              </w:rPr>
              <w:t>a</w:t>
            </w:r>
            <w:r>
              <w:rPr>
                <w:rFonts w:ascii="Times New Roman" w:hAnsi="Times New Roman" w:cs="Times New Roman"/>
                <w:color w:val="000000" w:themeColor="text1"/>
                <w:highlight w:val="none"/>
                <w:u w:val="none"/>
                <w:vertAlign w:val="subscript"/>
                <w14:textFill>
                  <w14:solidFill>
                    <w14:schemeClr w14:val="tx1"/>
                  </w14:solidFill>
                </w14:textFill>
              </w:rPr>
              <w:t>1</w:t>
            </w:r>
          </w:p>
        </w:tc>
        <w:tc>
          <w:tcPr>
            <w:tcW w:w="1223" w:type="dxa"/>
            <w:vAlign w:val="center"/>
          </w:tcPr>
          <w:p w14:paraId="52E1441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i/>
                <w:color w:val="000000" w:themeColor="text1"/>
                <w:highlight w:val="none"/>
                <w:u w:val="none"/>
                <w14:textFill>
                  <w14:solidFill>
                    <w14:schemeClr w14:val="tx1"/>
                  </w14:solidFill>
                </w14:textFill>
              </w:rPr>
              <w:t>a</w:t>
            </w:r>
            <w:r>
              <w:rPr>
                <w:rFonts w:ascii="Times New Roman" w:hAnsi="Times New Roman" w:cs="Times New Roman"/>
                <w:i/>
                <w:color w:val="000000" w:themeColor="text1"/>
                <w:highlight w:val="none"/>
                <w:u w:val="none"/>
                <w:vertAlign w:val="subscript"/>
                <w14:textFill>
                  <w14:solidFill>
                    <w14:schemeClr w14:val="tx1"/>
                  </w14:solidFill>
                </w14:textFill>
              </w:rPr>
              <w:t>2</w:t>
            </w:r>
          </w:p>
        </w:tc>
      </w:tr>
      <w:tr w14:paraId="7B59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64CB1CA1">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100</w:t>
            </w:r>
          </w:p>
        </w:tc>
        <w:tc>
          <w:tcPr>
            <w:tcW w:w="1222" w:type="dxa"/>
            <w:vAlign w:val="center"/>
          </w:tcPr>
          <w:p w14:paraId="5F16405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170</w:t>
            </w:r>
          </w:p>
        </w:tc>
        <w:tc>
          <w:tcPr>
            <w:tcW w:w="1223" w:type="dxa"/>
            <w:vAlign w:val="center"/>
          </w:tcPr>
          <w:p w14:paraId="73AEA94F">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80</w:t>
            </w:r>
          </w:p>
        </w:tc>
        <w:tc>
          <w:tcPr>
            <w:tcW w:w="1223" w:type="dxa"/>
            <w:vAlign w:val="center"/>
          </w:tcPr>
          <w:p w14:paraId="0EA230E4">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200</w:t>
            </w:r>
          </w:p>
        </w:tc>
        <w:tc>
          <w:tcPr>
            <w:tcW w:w="1223" w:type="dxa"/>
            <w:vAlign w:val="center"/>
          </w:tcPr>
          <w:p w14:paraId="7F3A519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100</w:t>
            </w:r>
          </w:p>
        </w:tc>
      </w:tr>
      <w:tr w14:paraId="6B01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2CB7D175">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125</w:t>
            </w:r>
          </w:p>
        </w:tc>
        <w:tc>
          <w:tcPr>
            <w:tcW w:w="1222" w:type="dxa"/>
            <w:vAlign w:val="center"/>
          </w:tcPr>
          <w:p w14:paraId="22EB3BDD">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180</w:t>
            </w:r>
          </w:p>
        </w:tc>
        <w:tc>
          <w:tcPr>
            <w:tcW w:w="1223" w:type="dxa"/>
            <w:vAlign w:val="center"/>
          </w:tcPr>
          <w:p w14:paraId="35645644">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100</w:t>
            </w:r>
          </w:p>
        </w:tc>
        <w:tc>
          <w:tcPr>
            <w:tcW w:w="1223" w:type="dxa"/>
            <w:vAlign w:val="center"/>
          </w:tcPr>
          <w:p w14:paraId="654E4565">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220</w:t>
            </w:r>
          </w:p>
        </w:tc>
        <w:tc>
          <w:tcPr>
            <w:tcW w:w="1223" w:type="dxa"/>
            <w:vAlign w:val="center"/>
          </w:tcPr>
          <w:p w14:paraId="06C9139A">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120</w:t>
            </w:r>
          </w:p>
        </w:tc>
      </w:tr>
      <w:tr w14:paraId="4CD2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3D6D15CD">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150</w:t>
            </w:r>
          </w:p>
        </w:tc>
        <w:tc>
          <w:tcPr>
            <w:tcW w:w="1222" w:type="dxa"/>
            <w:vAlign w:val="center"/>
          </w:tcPr>
          <w:p w14:paraId="1CEA1FD5">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180</w:t>
            </w:r>
          </w:p>
        </w:tc>
        <w:tc>
          <w:tcPr>
            <w:tcW w:w="1223" w:type="dxa"/>
            <w:vAlign w:val="center"/>
          </w:tcPr>
          <w:p w14:paraId="5CD3F75C">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110</w:t>
            </w:r>
          </w:p>
        </w:tc>
        <w:tc>
          <w:tcPr>
            <w:tcW w:w="1223" w:type="dxa"/>
            <w:vAlign w:val="center"/>
          </w:tcPr>
          <w:p w14:paraId="4AC55B1D">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240</w:t>
            </w:r>
          </w:p>
        </w:tc>
        <w:tc>
          <w:tcPr>
            <w:tcW w:w="1223" w:type="dxa"/>
            <w:vAlign w:val="center"/>
          </w:tcPr>
          <w:p w14:paraId="10454772">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140</w:t>
            </w:r>
          </w:p>
        </w:tc>
      </w:tr>
      <w:tr w14:paraId="0D29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3F50F05B">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200</w:t>
            </w:r>
          </w:p>
        </w:tc>
        <w:tc>
          <w:tcPr>
            <w:tcW w:w="1222" w:type="dxa"/>
            <w:vAlign w:val="center"/>
          </w:tcPr>
          <w:p w14:paraId="1F2196B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210</w:t>
            </w:r>
          </w:p>
        </w:tc>
        <w:tc>
          <w:tcPr>
            <w:tcW w:w="1223" w:type="dxa"/>
            <w:vAlign w:val="center"/>
          </w:tcPr>
          <w:p w14:paraId="669FEB81">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200</w:t>
            </w:r>
          </w:p>
        </w:tc>
        <w:tc>
          <w:tcPr>
            <w:tcW w:w="1223" w:type="dxa"/>
            <w:vAlign w:val="center"/>
          </w:tcPr>
          <w:p w14:paraId="201AABD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280</w:t>
            </w:r>
          </w:p>
        </w:tc>
        <w:tc>
          <w:tcPr>
            <w:tcW w:w="1223" w:type="dxa"/>
            <w:vAlign w:val="center"/>
          </w:tcPr>
          <w:p w14:paraId="3A3E901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170</w:t>
            </w:r>
          </w:p>
        </w:tc>
      </w:tr>
      <w:tr w14:paraId="3A24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57C29D5A">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250</w:t>
            </w:r>
          </w:p>
        </w:tc>
        <w:tc>
          <w:tcPr>
            <w:tcW w:w="1222" w:type="dxa"/>
            <w:vAlign w:val="center"/>
          </w:tcPr>
          <w:p w14:paraId="601B7CAE">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240</w:t>
            </w:r>
          </w:p>
        </w:tc>
        <w:tc>
          <w:tcPr>
            <w:tcW w:w="1223" w:type="dxa"/>
            <w:vAlign w:val="center"/>
          </w:tcPr>
          <w:p w14:paraId="198B0A2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240</w:t>
            </w:r>
          </w:p>
        </w:tc>
        <w:tc>
          <w:tcPr>
            <w:tcW w:w="1223" w:type="dxa"/>
            <w:vAlign w:val="center"/>
          </w:tcPr>
          <w:p w14:paraId="06109BE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320</w:t>
            </w:r>
          </w:p>
        </w:tc>
        <w:tc>
          <w:tcPr>
            <w:tcW w:w="1223" w:type="dxa"/>
            <w:vAlign w:val="center"/>
          </w:tcPr>
          <w:p w14:paraId="463A0027">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200</w:t>
            </w:r>
          </w:p>
        </w:tc>
      </w:tr>
      <w:tr w14:paraId="05E0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461A269E">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300</w:t>
            </w:r>
          </w:p>
        </w:tc>
        <w:tc>
          <w:tcPr>
            <w:tcW w:w="1222" w:type="dxa"/>
            <w:vAlign w:val="center"/>
          </w:tcPr>
          <w:p w14:paraId="74484DD1">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270</w:t>
            </w:r>
          </w:p>
        </w:tc>
        <w:tc>
          <w:tcPr>
            <w:tcW w:w="1223" w:type="dxa"/>
            <w:vAlign w:val="center"/>
          </w:tcPr>
          <w:p w14:paraId="14DE43A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270</w:t>
            </w:r>
          </w:p>
        </w:tc>
        <w:tc>
          <w:tcPr>
            <w:tcW w:w="1223" w:type="dxa"/>
            <w:vAlign w:val="center"/>
          </w:tcPr>
          <w:p w14:paraId="2DD58FAB">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360</w:t>
            </w:r>
          </w:p>
        </w:tc>
        <w:tc>
          <w:tcPr>
            <w:tcW w:w="1223" w:type="dxa"/>
            <w:vAlign w:val="center"/>
          </w:tcPr>
          <w:p w14:paraId="74F56996">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230</w:t>
            </w:r>
          </w:p>
        </w:tc>
      </w:tr>
      <w:tr w14:paraId="20F6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2656E4F4">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350</w:t>
            </w:r>
          </w:p>
        </w:tc>
        <w:tc>
          <w:tcPr>
            <w:tcW w:w="1222" w:type="dxa"/>
            <w:vAlign w:val="center"/>
          </w:tcPr>
          <w:p w14:paraId="6E9A366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300</w:t>
            </w:r>
          </w:p>
        </w:tc>
        <w:tc>
          <w:tcPr>
            <w:tcW w:w="1223" w:type="dxa"/>
            <w:vAlign w:val="center"/>
          </w:tcPr>
          <w:p w14:paraId="2D255453">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240</w:t>
            </w:r>
          </w:p>
        </w:tc>
        <w:tc>
          <w:tcPr>
            <w:tcW w:w="1223" w:type="dxa"/>
            <w:vAlign w:val="center"/>
          </w:tcPr>
          <w:p w14:paraId="0C20BE6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400</w:t>
            </w:r>
          </w:p>
        </w:tc>
        <w:tc>
          <w:tcPr>
            <w:tcW w:w="1223" w:type="dxa"/>
            <w:vAlign w:val="center"/>
          </w:tcPr>
          <w:p w14:paraId="5F3575D8">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240</w:t>
            </w:r>
          </w:p>
        </w:tc>
      </w:tr>
      <w:tr w14:paraId="2560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Align w:val="center"/>
          </w:tcPr>
          <w:p w14:paraId="504DEB38">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400</w:t>
            </w:r>
          </w:p>
        </w:tc>
        <w:tc>
          <w:tcPr>
            <w:tcW w:w="1222" w:type="dxa"/>
            <w:vAlign w:val="center"/>
          </w:tcPr>
          <w:p w14:paraId="584596D0">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330</w:t>
            </w:r>
          </w:p>
        </w:tc>
        <w:tc>
          <w:tcPr>
            <w:tcW w:w="1223" w:type="dxa"/>
            <w:vAlign w:val="center"/>
          </w:tcPr>
          <w:p w14:paraId="00B790BE">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270</w:t>
            </w:r>
          </w:p>
        </w:tc>
        <w:tc>
          <w:tcPr>
            <w:tcW w:w="1223" w:type="dxa"/>
            <w:vAlign w:val="center"/>
          </w:tcPr>
          <w:p w14:paraId="1D388112">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440</w:t>
            </w:r>
          </w:p>
        </w:tc>
        <w:tc>
          <w:tcPr>
            <w:tcW w:w="1223" w:type="dxa"/>
            <w:vAlign w:val="center"/>
          </w:tcPr>
          <w:p w14:paraId="1BBC6449">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cs="Times New Roman"/>
                <w:color w:val="000000" w:themeColor="text1"/>
                <w:highlight w:val="none"/>
                <w:u w:val="none"/>
                <w14:textFill>
                  <w14:solidFill>
                    <w14:schemeClr w14:val="tx1"/>
                  </w14:solidFill>
                </w14:textFill>
              </w:rPr>
              <w:t>300</w:t>
            </w:r>
          </w:p>
        </w:tc>
      </w:tr>
    </w:tbl>
    <w:p w14:paraId="21B2C9E8">
      <w:pPr>
        <w:spacing w:line="312" w:lineRule="exact"/>
        <w:jc w:val="center"/>
        <w:rPr>
          <w:rFonts w:ascii="Times New Roman" w:hAnsi="Times New Roman" w:eastAsia="方正黑体简体" w:cs="Times New Roman"/>
          <w:bCs/>
          <w:color w:val="000000" w:themeColor="text1"/>
          <w:sz w:val="18"/>
          <w:szCs w:val="18"/>
          <w:highlight w:val="none"/>
          <w:u w:val="single"/>
          <w14:textFill>
            <w14:solidFill>
              <w14:schemeClr w14:val="tx1"/>
            </w14:solidFill>
          </w14:textFill>
        </w:rPr>
      </w:pPr>
    </w:p>
    <w:p w14:paraId="76BB8D0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t xml:space="preserve">  纵断面设计</w:t>
      </w:r>
      <w:bookmarkEnd w:id="44"/>
    </w:p>
    <w:p w14:paraId="17346C3A">
      <w:pPr>
        <w:pStyle w:val="5"/>
        <w:rPr>
          <w:highlight w:val="none"/>
        </w:rPr>
      </w:pPr>
      <w:r>
        <w:rPr>
          <w:b/>
          <w:highlight w:val="none"/>
        </w:rPr>
        <w:t>6.4.1</w:t>
      </w:r>
      <w:r>
        <w:rPr>
          <w:highlight w:val="none"/>
        </w:rPr>
        <w:t xml:space="preserve">  综合管廊内纵向坡度超过10%时，应在人员通道部位设置防滑地坪或台阶。综合管廊内纵向坡度不宜小于0.2%。</w:t>
      </w:r>
    </w:p>
    <w:p w14:paraId="1D5C3B47">
      <w:pPr>
        <w:pStyle w:val="5"/>
        <w:rPr>
          <w:highlight w:val="none"/>
        </w:rPr>
      </w:pPr>
      <w:bookmarkStart w:id="45" w:name="_Toc37689742"/>
      <w:r>
        <w:rPr>
          <w:b/>
          <w:highlight w:val="none"/>
        </w:rPr>
        <w:t>6.4.2</w:t>
      </w:r>
      <w:r>
        <w:rPr>
          <w:highlight w:val="none"/>
        </w:rPr>
        <w:t xml:space="preserve">  综合管廊需要下穿通过其他地下设施时，下穿部分坡度不宜大于30°。</w:t>
      </w:r>
    </w:p>
    <w:p w14:paraId="459906C3">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t xml:space="preserve">  分 支 预 留</w:t>
      </w:r>
      <w:bookmarkEnd w:id="45"/>
    </w:p>
    <w:p w14:paraId="14CE0739">
      <w:pPr>
        <w:pStyle w:val="5"/>
        <w:rPr>
          <w:highlight w:val="none"/>
        </w:rPr>
      </w:pPr>
      <w:r>
        <w:rPr>
          <w:b/>
          <w:highlight w:val="none"/>
        </w:rPr>
        <w:t>6.5.1</w:t>
      </w:r>
      <w:r>
        <w:rPr>
          <w:highlight w:val="none"/>
        </w:rPr>
        <w:t xml:space="preserve">  综合管廊应根据各专项管线规划、综合管廊</w:t>
      </w:r>
      <w:r>
        <w:rPr>
          <w:rFonts w:hint="eastAsia"/>
          <w:color w:val="auto"/>
          <w:highlight w:val="none"/>
          <w:u w:val="none"/>
        </w:rPr>
        <w:t>工程专项</w:t>
      </w:r>
      <w:r>
        <w:rPr>
          <w:highlight w:val="none"/>
        </w:rPr>
        <w:t>规划及现状需求设置管廊分支预留，并预留管线接口。</w:t>
      </w:r>
    </w:p>
    <w:p w14:paraId="43835B05">
      <w:pPr>
        <w:pStyle w:val="5"/>
        <w:rPr>
          <w:highlight w:val="none"/>
        </w:rPr>
      </w:pPr>
      <w:r>
        <w:rPr>
          <w:b/>
          <w:highlight w:val="none"/>
        </w:rPr>
        <w:t>6.5.2</w:t>
      </w:r>
      <w:r>
        <w:rPr>
          <w:highlight w:val="none"/>
        </w:rPr>
        <w:t xml:space="preserve">  综合管廊各专业管线分支预留口宜集中设置，并满足预留数量、管线进出和安装敷设作业的要求，相应的分支配套设施应同步设计。</w:t>
      </w:r>
    </w:p>
    <w:p w14:paraId="576E2C10">
      <w:pPr>
        <w:pStyle w:val="5"/>
        <w:rPr>
          <w:highlight w:val="none"/>
        </w:rPr>
      </w:pPr>
      <w:r>
        <w:rPr>
          <w:b/>
          <w:highlight w:val="none"/>
        </w:rPr>
        <w:t>6.5.3</w:t>
      </w:r>
      <w:r>
        <w:rPr>
          <w:highlight w:val="none"/>
        </w:rPr>
        <w:t xml:space="preserve">  综合管廊分支预留过路宜采用过街支沟或套管敷设，当确有困难时可采用直埋敷设。</w:t>
      </w:r>
    </w:p>
    <w:p w14:paraId="023750A8">
      <w:pPr>
        <w:pStyle w:val="5"/>
        <w:rPr>
          <w:highlight w:val="none"/>
        </w:rPr>
      </w:pPr>
      <w:r>
        <w:rPr>
          <w:b/>
          <w:highlight w:val="none"/>
        </w:rPr>
        <w:t>6.5.4</w:t>
      </w:r>
      <w:r>
        <w:rPr>
          <w:highlight w:val="none"/>
        </w:rPr>
        <w:t xml:space="preserve">  预留管线出线口在满足覆土的情况下应尽量减小敷设深度，并采用柔性防水套管以及防止差异沉降等措施。</w:t>
      </w:r>
    </w:p>
    <w:p w14:paraId="59084F44">
      <w:pPr>
        <w:pStyle w:val="5"/>
        <w:rPr>
          <w:highlight w:val="none"/>
        </w:rPr>
      </w:pPr>
      <w:r>
        <w:rPr>
          <w:b/>
          <w:highlight w:val="none"/>
        </w:rPr>
        <w:t>6.5.5</w:t>
      </w:r>
      <w:r>
        <w:rPr>
          <w:highlight w:val="none"/>
        </w:rPr>
        <w:t xml:space="preserve">  重力流分支管线宜将检查井等附属设施设置于管廊外部，当设置在管廊内部时，不应影响管廊内其他管线的安装和维护。</w:t>
      </w:r>
    </w:p>
    <w:p w14:paraId="57EC79A4">
      <w:pPr>
        <w:pStyle w:val="5"/>
        <w:rPr>
          <w:highlight w:val="none"/>
        </w:rPr>
      </w:pPr>
      <w:r>
        <w:rPr>
          <w:b/>
          <w:highlight w:val="none"/>
        </w:rPr>
        <w:t xml:space="preserve">6.5.6 </w:t>
      </w:r>
      <w:r>
        <w:rPr>
          <w:highlight w:val="none"/>
        </w:rPr>
        <w:t xml:space="preserve"> 分支预留管线出管廊后，管线净距应满足《城市工程管线综合规划规范》GB 50289的要求。</w:t>
      </w:r>
    </w:p>
    <w:p w14:paraId="6EDA26E3">
      <w:pPr>
        <w:pStyle w:val="5"/>
        <w:rPr>
          <w:highlight w:val="none"/>
        </w:rPr>
      </w:pPr>
      <w:bookmarkStart w:id="46" w:name="_Toc37689743"/>
      <w:r>
        <w:rPr>
          <w:b/>
          <w:highlight w:val="none"/>
        </w:rPr>
        <w:t>6.5.7</w:t>
      </w:r>
      <w:r>
        <w:rPr>
          <w:highlight w:val="none"/>
        </w:rPr>
        <w:t xml:space="preserve">  压力流分支预留管线需在主管廊内设置阀门时，宜采用远程控制阀门，并将控制信号传至中控室。</w:t>
      </w:r>
    </w:p>
    <w:p w14:paraId="4D4A3EE8">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t xml:space="preserve">  节 点 设 计</w:t>
      </w:r>
      <w:bookmarkEnd w:id="46"/>
    </w:p>
    <w:p w14:paraId="0992F4F7">
      <w:pPr>
        <w:pStyle w:val="5"/>
        <w:rPr>
          <w:highlight w:val="none"/>
        </w:rPr>
      </w:pPr>
      <w:r>
        <w:rPr>
          <w:b/>
          <w:highlight w:val="none"/>
        </w:rPr>
        <w:t>6.6.1</w:t>
      </w:r>
      <w:r>
        <w:rPr>
          <w:highlight w:val="none"/>
        </w:rPr>
        <w:t xml:space="preserve">  综合管廊的每个舱室应设置人员出入口、逃生口、吊装口、进风口、排风口、管线分支口等，并应符合下列规定：</w:t>
      </w:r>
    </w:p>
    <w:p w14:paraId="65CC6A0A">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采用明挖方式建造的综合管廊，直接通向地面的人员出入口的水平间距不宜大于2000m；</w:t>
      </w:r>
    </w:p>
    <w:p w14:paraId="6133F82F">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采用非开挖方式建造的综合管廊，应根据工作井的布置统筹设置。</w:t>
      </w:r>
    </w:p>
    <w:p w14:paraId="58180AC4">
      <w:pPr>
        <w:pStyle w:val="5"/>
        <w:rPr>
          <w:highlight w:val="none"/>
        </w:rPr>
      </w:pPr>
      <w:r>
        <w:rPr>
          <w:b/>
          <w:highlight w:val="none"/>
        </w:rPr>
        <w:t>6.6.2</w:t>
      </w:r>
      <w:r>
        <w:rPr>
          <w:highlight w:val="none"/>
        </w:rPr>
        <w:t xml:space="preserve">  综合管廊的人员出入口、逃生口、吊装口、进风口、排风口等露出地面的构筑物应满足城市防洪要求，并应符合下列规定：</w:t>
      </w:r>
    </w:p>
    <w:p w14:paraId="2D61ECBA">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满足城市防洪要求，其开口标高不应低于防洪水位以上0.5m或采取防止地面水倒灌的措施；</w:t>
      </w:r>
    </w:p>
    <w:p w14:paraId="20C36826">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防止小动物进入；</w:t>
      </w:r>
    </w:p>
    <w:p w14:paraId="20A8DA3D">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防止人员非法入侵。</w:t>
      </w:r>
    </w:p>
    <w:p w14:paraId="69F565C6">
      <w:pPr>
        <w:pStyle w:val="5"/>
        <w:rPr>
          <w:highlight w:val="none"/>
        </w:rPr>
      </w:pPr>
      <w:r>
        <w:rPr>
          <w:b/>
          <w:highlight w:val="none"/>
        </w:rPr>
        <w:t>6.6.3</w:t>
      </w:r>
      <w:r>
        <w:rPr>
          <w:highlight w:val="none"/>
        </w:rPr>
        <w:t xml:space="preserve">  综合管廊人员出入口宜与逃生口、吊装口、进风口结合设置，且不应少于2个。</w:t>
      </w:r>
    </w:p>
    <w:p w14:paraId="064C5F0E">
      <w:pPr>
        <w:pStyle w:val="5"/>
        <w:rPr>
          <w:highlight w:val="none"/>
        </w:rPr>
      </w:pPr>
      <w:r>
        <w:rPr>
          <w:b/>
          <w:highlight w:val="none"/>
        </w:rPr>
        <w:t>6.6.4</w:t>
      </w:r>
      <w:r>
        <w:rPr>
          <w:highlight w:val="none"/>
        </w:rPr>
        <w:t xml:space="preserve">  综合管廊逃生口的设置应符合下列规定：</w:t>
      </w:r>
    </w:p>
    <w:p w14:paraId="28D100F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敷设电力电缆的舱室，逃生口间距不宜大于</w:t>
      </w:r>
      <w:r>
        <w:rPr>
          <w:rFonts w:ascii="Times New Roman" w:hAnsi="Times New Roman" w:eastAsia="方正书宋简体" w:cs="Times New Roman"/>
          <w:color w:val="000000" w:themeColor="text1"/>
          <w:highlight w:val="none"/>
          <w:u w:val="none"/>
          <w14:textFill>
            <w14:solidFill>
              <w14:schemeClr w14:val="tx1"/>
            </w14:solidFill>
          </w14:textFill>
        </w:rPr>
        <w:t>400m</w:t>
      </w:r>
      <w:r>
        <w:rPr>
          <w:rFonts w:ascii="Times New Roman" w:hAnsi="Times New Roman" w:eastAsia="方正书宋简体" w:cs="Times New Roman"/>
          <w:color w:val="000000" w:themeColor="text1"/>
          <w:highlight w:val="none"/>
          <w14:textFill>
            <w14:solidFill>
              <w14:schemeClr w14:val="tx1"/>
            </w14:solidFill>
          </w14:textFill>
        </w:rPr>
        <w:t>；</w:t>
      </w:r>
    </w:p>
    <w:p w14:paraId="751E1D7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敷设天然气管道的舱室，逃生口间距不宜大于200m；</w:t>
      </w:r>
    </w:p>
    <w:p w14:paraId="1F5CC74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敷设热力管道的舱室，逃生口间距不应大于400m；当热力管道采用蒸汽介质时，逃生口间距不应大于100m；</w:t>
      </w:r>
    </w:p>
    <w:p w14:paraId="4556BEF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敷设其他管道的舱室，逃生口间距不宜大于400m；</w:t>
      </w:r>
    </w:p>
    <w:p w14:paraId="2BEA174D">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逃生口尺寸不应小于1m×1m，当为圆形时，内径不应小于1m。</w:t>
      </w:r>
    </w:p>
    <w:p w14:paraId="56C47A68">
      <w:pPr>
        <w:pStyle w:val="5"/>
        <w:rPr>
          <w:highlight w:val="none"/>
        </w:rPr>
      </w:pPr>
      <w:r>
        <w:rPr>
          <w:b/>
          <w:highlight w:val="none"/>
        </w:rPr>
        <w:t>6.6.5</w:t>
      </w:r>
      <w:r>
        <w:rPr>
          <w:highlight w:val="none"/>
        </w:rPr>
        <w:t xml:space="preserve">  综合管廊吊装口的最大间距不</w:t>
      </w:r>
      <w:r>
        <w:rPr>
          <w:highlight w:val="none"/>
          <w:u w:val="none"/>
        </w:rPr>
        <w:t>宜超过400m。吊装口</w:t>
      </w:r>
      <w:r>
        <w:rPr>
          <w:rFonts w:hint="eastAsia"/>
          <w:highlight w:val="none"/>
          <w:u w:val="none"/>
        </w:rPr>
        <w:t>净</w:t>
      </w:r>
      <w:r>
        <w:rPr>
          <w:highlight w:val="none"/>
          <w:u w:val="none"/>
        </w:rPr>
        <w:t>尺寸应满足管线、设备、人员进出的最小允许限界要求。</w:t>
      </w:r>
    </w:p>
    <w:p w14:paraId="6242D72E">
      <w:pPr>
        <w:pStyle w:val="5"/>
        <w:rPr>
          <w:highlight w:val="none"/>
        </w:rPr>
      </w:pPr>
      <w:r>
        <w:rPr>
          <w:b/>
          <w:highlight w:val="none"/>
        </w:rPr>
        <w:t>6.6.6</w:t>
      </w:r>
      <w:r>
        <w:rPr>
          <w:highlight w:val="none"/>
        </w:rPr>
        <w:t xml:space="preserve">  综合管廊进、排风口的净尺寸应满足通风设备进出的最小尺寸要求。</w:t>
      </w:r>
    </w:p>
    <w:p w14:paraId="2CF6E8FE">
      <w:pPr>
        <w:pStyle w:val="5"/>
        <w:rPr>
          <w:highlight w:val="none"/>
        </w:rPr>
      </w:pPr>
      <w:r>
        <w:rPr>
          <w:b/>
          <w:highlight w:val="none"/>
        </w:rPr>
        <w:t>6.6.7</w:t>
      </w:r>
      <w:r>
        <w:rPr>
          <w:highlight w:val="none"/>
        </w:rPr>
        <w:t xml:space="preserve">  天然气管道舱的排风口、各类孔口应符合下列规定：</w:t>
      </w:r>
    </w:p>
    <w:p w14:paraId="17552AEC">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天然气管道舱排风口与其他舱室的排风口、进风口、人员出入口、逃生口以及周边建构筑物口部距离应不小于10m；</w:t>
      </w:r>
    </w:p>
    <w:p w14:paraId="57CB9A6F">
      <w:pPr>
        <w:pStyle w:val="59"/>
        <w:ind w:firstLine="316" w:firstLineChars="150"/>
        <w:rPr>
          <w:color w:val="000000" w:themeColor="text1"/>
          <w:highlight w:val="none"/>
          <w:u w:val="singl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天然气管道舱各类孔口不得与其他舱室连通，并应设置安全警示标识。</w:t>
      </w:r>
    </w:p>
    <w:p w14:paraId="2ECAB611">
      <w:pPr>
        <w:pStyle w:val="5"/>
        <w:rPr>
          <w:highlight w:val="none"/>
        </w:rPr>
      </w:pPr>
      <w:r>
        <w:rPr>
          <w:b/>
          <w:highlight w:val="none"/>
        </w:rPr>
        <w:t>6.6.8</w:t>
      </w:r>
      <w:r>
        <w:rPr>
          <w:highlight w:val="none"/>
        </w:rPr>
        <w:t xml:space="preserve">  露出地面的各类孔口盖板应设置在内部使用时易于人力开启，且在外部使用时非专业人员难以开启的安全装置。</w:t>
      </w:r>
    </w:p>
    <w:p w14:paraId="7F9D4836">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bookmarkStart w:id="47" w:name="_Toc502346588"/>
    </w:p>
    <w:p w14:paraId="3174821B">
      <w:pPr>
        <w:pStyle w:val="2"/>
        <w:rPr>
          <w:color w:val="000000" w:themeColor="text1"/>
          <w:highlight w:val="none"/>
          <w:lang w:val="en-US"/>
          <w14:textFill>
            <w14:solidFill>
              <w14:schemeClr w14:val="tx1"/>
            </w14:solidFill>
          </w14:textFill>
        </w:rPr>
        <w:sectPr>
          <w:headerReference r:id="rId8" w:type="default"/>
          <w:footerReference r:id="rId9" w:type="default"/>
          <w:pgSz w:w="7937" w:h="11509"/>
          <w:pgMar w:top="1020" w:right="907" w:bottom="1020" w:left="907" w:header="737" w:footer="737" w:gutter="0"/>
          <w:pgNumType w:fmt="decimal" w:start="1"/>
          <w:cols w:space="0" w:num="1"/>
          <w:docGrid w:type="linesAndChars" w:linePitch="312" w:charSpace="233"/>
        </w:sectPr>
      </w:pPr>
      <w:bookmarkStart w:id="48" w:name="_Toc37689744"/>
    </w:p>
    <w:p w14:paraId="0D541561">
      <w:pPr>
        <w:adjustRightInd w:val="0"/>
        <w:snapToGrid w:val="0"/>
        <w:spacing w:before="156" w:beforeLines="50" w:after="312" w:afterLines="100" w:line="600" w:lineRule="exact"/>
        <w:jc w:val="center"/>
        <w:outlineLvl w:val="0"/>
        <w:rPr>
          <w:rFonts w:ascii="Times New Roman" w:hAnsi="Times New Roman" w:eastAsia="方正黑体简体" w:cs="Times New Roman"/>
          <w:b/>
          <w:bCs/>
          <w:caps/>
          <w:color w:val="000000" w:themeColor="text1"/>
          <w:kern w:val="0"/>
          <w:sz w:val="28"/>
          <w:szCs w:val="28"/>
          <w:highlight w:val="none"/>
          <w:lang w:val="zh-CN"/>
          <w14:textFill>
            <w14:solidFill>
              <w14:schemeClr w14:val="tx1"/>
            </w14:solidFill>
          </w14:textFill>
        </w:rPr>
      </w:pPr>
      <w:r>
        <w:rPr>
          <w:rFonts w:ascii="Times New Roman" w:hAnsi="Times New Roman" w:eastAsia="方正黑体简体" w:cs="Times New Roman"/>
          <w:b/>
          <w:bCs/>
          <w:caps/>
          <w:color w:val="000000" w:themeColor="text1"/>
          <w:kern w:val="0"/>
          <w:sz w:val="28"/>
          <w:szCs w:val="28"/>
          <w:highlight w:val="none"/>
          <w14:textFill>
            <w14:solidFill>
              <w14:schemeClr w14:val="tx1"/>
            </w14:solidFill>
          </w14:textFill>
        </w:rPr>
        <w:t>7</w:t>
      </w:r>
      <w:r>
        <w:rPr>
          <w:rFonts w:ascii="Times New Roman" w:hAnsi="Times New Roman" w:eastAsia="方正黑体简体" w:cs="Times New Roman"/>
          <w:b/>
          <w:bCs/>
          <w:caps/>
          <w:color w:val="000000" w:themeColor="text1"/>
          <w:kern w:val="0"/>
          <w:sz w:val="28"/>
          <w:szCs w:val="28"/>
          <w:highlight w:val="none"/>
          <w:lang w:val="zh-CN"/>
          <w14:textFill>
            <w14:solidFill>
              <w14:schemeClr w14:val="tx1"/>
            </w14:solidFill>
          </w14:textFill>
        </w:rPr>
        <w:t xml:space="preserve">  </w:t>
      </w:r>
      <w:r>
        <w:rPr>
          <w:rFonts w:ascii="Times New Roman" w:hAnsi="Times New Roman" w:eastAsia="方正黑体简体" w:cs="Times New Roman"/>
          <w:caps/>
          <w:color w:val="000000" w:themeColor="text1"/>
          <w:kern w:val="0"/>
          <w:sz w:val="28"/>
          <w:szCs w:val="28"/>
          <w:highlight w:val="none"/>
          <w:lang w:val="zh-CN"/>
          <w14:textFill>
            <w14:solidFill>
              <w14:schemeClr w14:val="tx1"/>
            </w14:solidFill>
          </w14:textFill>
        </w:rPr>
        <w:t>结</w:t>
      </w:r>
      <w:r>
        <w:rPr>
          <w:rFonts w:ascii="Times New Roman" w:hAnsi="Times New Roman" w:eastAsia="方正黑体简体" w:cs="Times New Roman"/>
          <w:caps/>
          <w:color w:val="000000" w:themeColor="text1"/>
          <w:kern w:val="0"/>
          <w:sz w:val="28"/>
          <w:szCs w:val="28"/>
          <w:highlight w:val="none"/>
          <w14:textFill>
            <w14:solidFill>
              <w14:schemeClr w14:val="tx1"/>
            </w14:solidFill>
          </w14:textFill>
        </w:rPr>
        <w:t xml:space="preserve"> </w:t>
      </w:r>
      <w:r>
        <w:rPr>
          <w:rFonts w:ascii="Times New Roman" w:hAnsi="Times New Roman" w:eastAsia="方正黑体简体" w:cs="Times New Roman"/>
          <w:caps/>
          <w:color w:val="000000" w:themeColor="text1"/>
          <w:kern w:val="0"/>
          <w:sz w:val="28"/>
          <w:szCs w:val="28"/>
          <w:highlight w:val="none"/>
          <w:lang w:val="zh-CN"/>
          <w14:textFill>
            <w14:solidFill>
              <w14:schemeClr w14:val="tx1"/>
            </w14:solidFill>
          </w14:textFill>
        </w:rPr>
        <w:t>构</w:t>
      </w:r>
      <w:r>
        <w:rPr>
          <w:rFonts w:ascii="Times New Roman" w:hAnsi="Times New Roman" w:eastAsia="方正黑体简体" w:cs="Times New Roman"/>
          <w:caps/>
          <w:color w:val="000000" w:themeColor="text1"/>
          <w:kern w:val="0"/>
          <w:sz w:val="28"/>
          <w:szCs w:val="28"/>
          <w:highlight w:val="none"/>
          <w14:textFill>
            <w14:solidFill>
              <w14:schemeClr w14:val="tx1"/>
            </w14:solidFill>
          </w14:textFill>
        </w:rPr>
        <w:t xml:space="preserve"> </w:t>
      </w:r>
      <w:r>
        <w:rPr>
          <w:rFonts w:ascii="Times New Roman" w:hAnsi="Times New Roman" w:eastAsia="方正黑体简体" w:cs="Times New Roman"/>
          <w:caps/>
          <w:color w:val="000000" w:themeColor="text1"/>
          <w:kern w:val="0"/>
          <w:sz w:val="28"/>
          <w:szCs w:val="28"/>
          <w:highlight w:val="none"/>
          <w:lang w:val="zh-CN"/>
          <w14:textFill>
            <w14:solidFill>
              <w14:schemeClr w14:val="tx1"/>
            </w14:solidFill>
          </w14:textFill>
        </w:rPr>
        <w:t>设</w:t>
      </w:r>
      <w:r>
        <w:rPr>
          <w:rFonts w:ascii="Times New Roman" w:hAnsi="Times New Roman" w:eastAsia="方正黑体简体" w:cs="Times New Roman"/>
          <w:caps/>
          <w:color w:val="000000" w:themeColor="text1"/>
          <w:kern w:val="0"/>
          <w:sz w:val="28"/>
          <w:szCs w:val="28"/>
          <w:highlight w:val="none"/>
          <w14:textFill>
            <w14:solidFill>
              <w14:schemeClr w14:val="tx1"/>
            </w14:solidFill>
          </w14:textFill>
        </w:rPr>
        <w:t xml:space="preserve"> </w:t>
      </w:r>
      <w:r>
        <w:rPr>
          <w:rFonts w:ascii="Times New Roman" w:hAnsi="Times New Roman" w:eastAsia="方正黑体简体" w:cs="Times New Roman"/>
          <w:caps/>
          <w:color w:val="000000" w:themeColor="text1"/>
          <w:kern w:val="0"/>
          <w:sz w:val="28"/>
          <w:szCs w:val="28"/>
          <w:highlight w:val="none"/>
          <w:lang w:val="zh-CN"/>
          <w14:textFill>
            <w14:solidFill>
              <w14:schemeClr w14:val="tx1"/>
            </w14:solidFill>
          </w14:textFill>
        </w:rPr>
        <w:t>计</w:t>
      </w:r>
    </w:p>
    <w:p w14:paraId="3F0B4A05">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7.1</w:t>
      </w:r>
      <w:r>
        <w:rPr>
          <w:rFonts w:ascii="Times New Roman" w:hAnsi="Times New Roman" w:eastAsia="方正黑体简体" w:cs="Times New Roman"/>
          <w:bCs/>
          <w:color w:val="000000" w:themeColor="text1"/>
          <w:highlight w:val="none"/>
          <w14:textFill>
            <w14:solidFill>
              <w14:schemeClr w14:val="tx1"/>
            </w14:solidFill>
          </w14:textFill>
        </w:rPr>
        <w:t xml:space="preserve">  一 般 规 定</w:t>
      </w:r>
    </w:p>
    <w:p w14:paraId="4DC4B253">
      <w:pPr>
        <w:pStyle w:val="5"/>
        <w:rPr>
          <w:highlight w:val="none"/>
        </w:rPr>
      </w:pPr>
      <w:r>
        <w:rPr>
          <w:b/>
          <w:spacing w:val="-1"/>
          <w:highlight w:val="none"/>
        </w:rPr>
        <w:t>7.1.1</w:t>
      </w:r>
      <w:r>
        <w:rPr>
          <w:spacing w:val="-1"/>
          <w:highlight w:val="none"/>
        </w:rPr>
        <w:t xml:space="preserve">  </w:t>
      </w:r>
      <w:r>
        <w:rPr>
          <w:highlight w:val="none"/>
        </w:rPr>
        <w:t>综合管廊结构设计应采用以概率理论为基础的极限状态设计方法。综合管廊结构设计应进行承载力极限状态计算和正常使用极限状态验算。</w:t>
      </w:r>
    </w:p>
    <w:p w14:paraId="1B96BB7E">
      <w:pPr>
        <w:pStyle w:val="5"/>
        <w:rPr>
          <w:highlight w:val="none"/>
        </w:rPr>
      </w:pPr>
      <w:r>
        <w:rPr>
          <w:b/>
          <w:highlight w:val="none"/>
        </w:rPr>
        <w:t>7.1.2</w:t>
      </w:r>
      <w:r>
        <w:rPr>
          <w:highlight w:val="none"/>
        </w:rPr>
        <w:t xml:space="preserve">  </w:t>
      </w:r>
      <w:r>
        <w:rPr>
          <w:rFonts w:eastAsia="宋体"/>
          <w:highlight w:val="none"/>
        </w:rPr>
        <w:t>干线</w:t>
      </w:r>
      <w:r>
        <w:rPr>
          <w:highlight w:val="none"/>
        </w:rPr>
        <w:t>综合管廊</w:t>
      </w:r>
      <w:r>
        <w:rPr>
          <w:rFonts w:eastAsia="宋体"/>
          <w:highlight w:val="none"/>
        </w:rPr>
        <w:t>和支线</w:t>
      </w:r>
      <w:r>
        <w:rPr>
          <w:highlight w:val="none"/>
        </w:rPr>
        <w:t>综合管廊的结构设计工作年限应为100年，</w:t>
      </w:r>
      <w:r>
        <w:rPr>
          <w:rFonts w:eastAsia="宋体"/>
          <w:highlight w:val="none"/>
        </w:rPr>
        <w:t>小型综合管廊</w:t>
      </w:r>
      <w:r>
        <w:rPr>
          <w:highlight w:val="none"/>
        </w:rPr>
        <w:t>的结构设计工作年限不应少于50年。</w:t>
      </w:r>
    </w:p>
    <w:p w14:paraId="3E235A9E">
      <w:pPr>
        <w:pStyle w:val="5"/>
        <w:rPr>
          <w:highlight w:val="none"/>
        </w:rPr>
      </w:pPr>
      <w:r>
        <w:rPr>
          <w:b/>
          <w:spacing w:val="-1"/>
          <w:highlight w:val="none"/>
        </w:rPr>
        <w:t>7.1.3</w:t>
      </w:r>
      <w:r>
        <w:rPr>
          <w:spacing w:val="-1"/>
          <w:highlight w:val="none"/>
        </w:rPr>
        <w:t xml:space="preserve">  </w:t>
      </w:r>
      <w:r>
        <w:rPr>
          <w:highlight w:val="none"/>
          <w:u w:val="none"/>
        </w:rPr>
        <w:t>干线综合管廊和支线综合管廊的结构安全等级应为一级，小型综合管廊的结构安全等级不应低于二级</w:t>
      </w:r>
      <w:r>
        <w:rPr>
          <w:rFonts w:eastAsia="宋体"/>
          <w:spacing w:val="9"/>
          <w:sz w:val="20"/>
          <w:szCs w:val="20"/>
          <w:highlight w:val="none"/>
        </w:rPr>
        <w:t>。</w:t>
      </w:r>
      <w:r>
        <w:rPr>
          <w:highlight w:val="none"/>
        </w:rPr>
        <w:t>结构中各类构件的安全等级宜与整个</w:t>
      </w:r>
      <w:r>
        <w:rPr>
          <w:spacing w:val="-1"/>
          <w:highlight w:val="none"/>
        </w:rPr>
        <w:t>结构的安全等级相同。</w:t>
      </w:r>
    </w:p>
    <w:p w14:paraId="42B7E392">
      <w:pPr>
        <w:pStyle w:val="5"/>
        <w:rPr>
          <w:highlight w:val="none"/>
        </w:rPr>
      </w:pPr>
      <w:r>
        <w:rPr>
          <w:b/>
          <w:spacing w:val="-1"/>
          <w:highlight w:val="none"/>
        </w:rPr>
        <w:t>7.1.4</w:t>
      </w:r>
      <w:r>
        <w:rPr>
          <w:spacing w:val="-1"/>
          <w:highlight w:val="none"/>
        </w:rPr>
        <w:t xml:space="preserve">  </w:t>
      </w:r>
      <w:r>
        <w:rPr>
          <w:highlight w:val="none"/>
        </w:rPr>
        <w:t>综合管廊工程应按乙类</w:t>
      </w:r>
      <w:r>
        <w:rPr>
          <w:highlight w:val="none"/>
          <w:u w:val="none"/>
        </w:rPr>
        <w:t>构</w:t>
      </w:r>
      <w:r>
        <w:rPr>
          <w:highlight w:val="none"/>
        </w:rPr>
        <w:t>筑物进行抗震设计，并应满足国家现行标准的有关规定。</w:t>
      </w:r>
    </w:p>
    <w:p w14:paraId="18CDF5FD">
      <w:pPr>
        <w:pStyle w:val="5"/>
        <w:rPr>
          <w:highlight w:val="none"/>
        </w:rPr>
      </w:pPr>
      <w:r>
        <w:rPr>
          <w:b/>
          <w:spacing w:val="-1"/>
          <w:highlight w:val="none"/>
        </w:rPr>
        <w:t>7.1.5</w:t>
      </w:r>
      <w:r>
        <w:rPr>
          <w:spacing w:val="-1"/>
          <w:highlight w:val="none"/>
        </w:rPr>
        <w:t xml:space="preserve">  </w:t>
      </w:r>
      <w:r>
        <w:rPr>
          <w:highlight w:val="none"/>
        </w:rPr>
        <w:t>综合管廊结构应根据设计</w:t>
      </w:r>
      <w:r>
        <w:rPr>
          <w:highlight w:val="none"/>
          <w:u w:val="none"/>
        </w:rPr>
        <w:t>工作</w:t>
      </w:r>
      <w:r>
        <w:rPr>
          <w:highlight w:val="none"/>
        </w:rPr>
        <w:t>年限和环境类别进行耐久性设计，并应符合</w:t>
      </w:r>
      <w:r>
        <w:rPr>
          <w:spacing w:val="-1"/>
          <w:highlight w:val="none"/>
        </w:rPr>
        <w:t xml:space="preserve">现行国家标准《混凝土结构耐久性设计规范》GB/T </w:t>
      </w:r>
      <w:r>
        <w:rPr>
          <w:highlight w:val="none"/>
        </w:rPr>
        <w:t>50476的有关规定。</w:t>
      </w:r>
    </w:p>
    <w:p w14:paraId="0A521B10">
      <w:pPr>
        <w:pStyle w:val="5"/>
        <w:rPr>
          <w:highlight w:val="none"/>
        </w:rPr>
      </w:pPr>
      <w:r>
        <w:rPr>
          <w:b/>
          <w:highlight w:val="none"/>
        </w:rPr>
        <w:t>7.1.6</w:t>
      </w:r>
      <w:r>
        <w:rPr>
          <w:highlight w:val="none"/>
        </w:rPr>
        <w:t xml:space="preserve">  积极采用推广综合管廊标准化、模块化设计。预制综合管廊纵向节段的长度应根据节段吊装、运输等施工过程的限制条件确定。</w:t>
      </w:r>
    </w:p>
    <w:p w14:paraId="2BF0F05D">
      <w:pPr>
        <w:pStyle w:val="5"/>
        <w:rPr>
          <w:highlight w:val="none"/>
        </w:rPr>
      </w:pPr>
      <w:r>
        <w:rPr>
          <w:b/>
          <w:highlight w:val="none"/>
        </w:rPr>
        <w:t>7.1.7</w:t>
      </w:r>
      <w:r>
        <w:rPr>
          <w:highlight w:val="none"/>
        </w:rPr>
        <w:t xml:space="preserve">  为确保地下综合管廊的防水效果、其使用功能、结构耐久性，综合管廊的防水设防等级</w:t>
      </w:r>
      <w:r>
        <w:rPr>
          <w:highlight w:val="none"/>
          <w:u w:val="none"/>
        </w:rPr>
        <w:t>不应低于二级</w:t>
      </w:r>
      <w:r>
        <w:rPr>
          <w:highlight w:val="none"/>
        </w:rPr>
        <w:t>。</w:t>
      </w:r>
    </w:p>
    <w:p w14:paraId="3E890D41">
      <w:pPr>
        <w:pStyle w:val="5"/>
        <w:rPr>
          <w:highlight w:val="none"/>
        </w:rPr>
      </w:pPr>
      <w:r>
        <w:rPr>
          <w:rFonts w:hint="eastAsia"/>
          <w:b/>
          <w:highlight w:val="none"/>
        </w:rPr>
        <w:t>7.1.8</w:t>
      </w:r>
      <w:r>
        <w:rPr>
          <w:rFonts w:hint="eastAsia"/>
          <w:highlight w:val="none"/>
        </w:rPr>
        <w:t xml:space="preserve">  综合管廊地基基础设计应符合现行国家标准《建筑地基基础设计规范》</w:t>
      </w:r>
      <w:r>
        <w:rPr>
          <w:highlight w:val="none"/>
        </w:rPr>
        <w:t>GB 50007以及山西省地方标准《建筑地基基础勘察设计规范》DBJ04/T 258的相关规定。</w:t>
      </w:r>
    </w:p>
    <w:p w14:paraId="6C9AD23E">
      <w:pPr>
        <w:pStyle w:val="5"/>
        <w:rPr>
          <w:b/>
          <w:bCs/>
          <w:highlight w:val="none"/>
        </w:rPr>
      </w:pPr>
      <w:r>
        <w:rPr>
          <w:rFonts w:hint="eastAsia"/>
          <w:b/>
          <w:highlight w:val="none"/>
        </w:rPr>
        <w:t xml:space="preserve">7.1.9  </w:t>
      </w:r>
      <w:r>
        <w:rPr>
          <w:rFonts w:hint="eastAsia"/>
          <w:highlight w:val="none"/>
        </w:rPr>
        <w:t>综合管廊结构构件的裂缝控制等级应为三级，结构构件的最大裂缝宽度限值应小于或等于</w:t>
      </w:r>
      <w:r>
        <w:rPr>
          <w:highlight w:val="none"/>
        </w:rPr>
        <w:t>0.2mm，严重腐蚀环境下最大裂缝宽度应不大于0.15mm，且不得贯通。</w:t>
      </w:r>
    </w:p>
    <w:p w14:paraId="64264872">
      <w:pPr>
        <w:keepNext/>
        <w:spacing w:before="156" w:beforeLines="50" w:after="156" w:afterLines="50" w:line="348" w:lineRule="exact"/>
        <w:jc w:val="center"/>
        <w:outlineLvl w:val="1"/>
        <w:rPr>
          <w:rFonts w:ascii="Times New Roman" w:hAnsi="Times New Roman" w:eastAsia="方正黑体简体" w:cs="Times New Roman"/>
          <w:b/>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 xml:space="preserve">7.2  </w:t>
      </w:r>
      <w:r>
        <w:rPr>
          <w:rFonts w:ascii="Times New Roman" w:hAnsi="Times New Roman" w:eastAsia="方正黑体简体" w:cs="Times New Roman"/>
          <w:bCs/>
          <w:color w:val="000000" w:themeColor="text1"/>
          <w:highlight w:val="none"/>
          <w14:textFill>
            <w14:solidFill>
              <w14:schemeClr w14:val="tx1"/>
            </w14:solidFill>
          </w14:textFill>
        </w:rPr>
        <w:t>材  料</w:t>
      </w:r>
    </w:p>
    <w:p w14:paraId="375897C0">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7.2.1</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综合管廊工程中所使用的材料应根据结构类型、受力条件、使用要求和所处环境等选用</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并应考虑耐久性</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可靠性和经济性</w:t>
      </w:r>
      <w:r>
        <w:rPr>
          <w:rFonts w:ascii="Times New Roman" w:hAnsi="Times New Roman" w:eastAsia="方正书宋简体" w:cs="Times New Roman"/>
          <w:bCs/>
          <w:color w:val="000000" w:themeColor="text1"/>
          <w:spacing w:val="-31"/>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主要材料宜采用高性能混凝土、高强钢筋。</w:t>
      </w:r>
      <w:r>
        <w:rPr>
          <w:rFonts w:ascii="Times New Roman" w:hAnsi="Times New Roman" w:eastAsia="方正书宋简体" w:cs="Times New Roman"/>
          <w:bCs/>
          <w:color w:val="000000" w:themeColor="text1"/>
          <w:highlight w:val="none"/>
          <w:u w:val="none"/>
          <w14:textFill>
            <w14:solidFill>
              <w14:schemeClr w14:val="tx1"/>
            </w14:solidFill>
          </w14:textFill>
        </w:rPr>
        <w:t>地下工程部分临水面应采用自防水混凝土，管廊内部分隔墙可采用砌体材料。防水混凝土的性能等级除满足本节规定外，尚应符合《建筑与市政工程防水通用规范》GB</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55030的规定。</w:t>
      </w:r>
    </w:p>
    <w:p w14:paraId="7DD7F9C1">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7.2.2</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现浇钢筋混凝土结构的混凝土强度等级不应低于C30，预制钢筋混凝土结构的混凝土强度等级不应低于C40，预应力混凝土结构的混凝土强度等级不应低于C40。</w:t>
      </w:r>
    </w:p>
    <w:p w14:paraId="0FF12284">
      <w:pPr>
        <w:overflowPunct w:val="0"/>
        <w:spacing w:line="348" w:lineRule="exact"/>
        <w:rPr>
          <w:rFonts w:hint="eastAsia" w:ascii="Times New Roman" w:hAnsi="Times New Roman" w:eastAsia="方正书宋简体" w:cs="Times New Roman"/>
          <w:bCs/>
          <w:color w:val="000000" w:themeColor="text1"/>
          <w:highlight w:val="none"/>
          <w:u w:val="none"/>
          <w:lang w:eastAsia="zh-CN"/>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7.2.3</w:t>
      </w:r>
      <w:r>
        <w:rPr>
          <w:rFonts w:ascii="Times New Roman" w:hAnsi="Times New Roman" w:eastAsia="方正书宋简体" w:cs="Times New Roman"/>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color w:val="000000" w:themeColor="text1"/>
          <w:spacing w:val="14"/>
          <w:highlight w:val="none"/>
          <w:u w:val="none"/>
          <w14:textFill>
            <w14:solidFill>
              <w14:schemeClr w14:val="tx1"/>
            </w14:solidFill>
          </w14:textFill>
        </w:rPr>
        <w:t>地下工程</w:t>
      </w:r>
      <w:r>
        <w:rPr>
          <w:rFonts w:hint="eastAsia" w:ascii="Times New Roman" w:hAnsi="Times New Roman" w:eastAsia="方正书宋简体" w:cs="Times New Roman"/>
          <w:color w:val="000000" w:themeColor="text1"/>
          <w:spacing w:val="14"/>
          <w:highlight w:val="none"/>
          <w:u w:val="none"/>
          <w14:textFill>
            <w14:solidFill>
              <w14:schemeClr w14:val="tx1"/>
            </w14:solidFill>
          </w14:textFill>
        </w:rPr>
        <w:t>（防水）</w:t>
      </w:r>
      <w:r>
        <w:rPr>
          <w:rFonts w:ascii="Times New Roman" w:hAnsi="Times New Roman" w:eastAsia="方正书宋简体" w:cs="Times New Roman"/>
          <w:color w:val="000000" w:themeColor="text1"/>
          <w:spacing w:val="14"/>
          <w:highlight w:val="none"/>
          <w:u w:val="none"/>
          <w14:textFill>
            <w14:solidFill>
              <w14:schemeClr w14:val="tx1"/>
            </w14:solidFill>
          </w14:textFill>
        </w:rPr>
        <w:t>部分的自防水混凝土，设计抗渗等级应符合表7.2.3的</w:t>
      </w:r>
      <w:bookmarkStart w:id="49" w:name="_T3235683218_1011339419"/>
      <w:r>
        <w:rPr>
          <w:rFonts w:ascii="Times New Roman" w:hAnsi="Times New Roman" w:eastAsia="方正书宋简体" w:cs="Times New Roman"/>
          <w:color w:val="000000" w:themeColor="text1"/>
          <w:spacing w:val="14"/>
          <w:highlight w:val="none"/>
          <w:u w:val="none"/>
          <w14:textFill>
            <w14:solidFill>
              <w14:schemeClr w14:val="tx1"/>
            </w14:solidFill>
          </w14:textFill>
        </w:rPr>
        <w:t>规定</w:t>
      </w:r>
      <w:r>
        <w:rPr>
          <w:rFonts w:hint="eastAsia" w:ascii="Times New Roman" w:hAnsi="Times New Roman" w:eastAsia="方正书宋简体" w:cs="Times New Roman"/>
          <w:color w:val="000000" w:themeColor="text1"/>
          <w:spacing w:val="14"/>
          <w:highlight w:val="none"/>
          <w:u w:val="none"/>
          <w:lang w:eastAsia="zh-CN"/>
          <w14:textFill>
            <w14:solidFill>
              <w14:schemeClr w14:val="tx1"/>
            </w14:solidFill>
          </w14:textFill>
        </w:rPr>
        <w:t>，同时应满足《建筑与市政工程防水通用规范》GB 55030的相关规定。</w:t>
      </w:r>
      <w:bookmarkEnd w:id="49"/>
    </w:p>
    <w:p w14:paraId="7A05C718">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7.2.3</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防水混凝土设计抗渗等级</w:t>
      </w:r>
    </w:p>
    <w:tbl>
      <w:tblPr>
        <w:tblStyle w:val="27"/>
        <w:tblW w:w="6123" w:type="dxa"/>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28" w:type="dxa"/>
          <w:bottom w:w="0" w:type="dxa"/>
          <w:right w:w="28" w:type="dxa"/>
        </w:tblCellMar>
      </w:tblPr>
      <w:tblGrid>
        <w:gridCol w:w="3064"/>
        <w:gridCol w:w="3059"/>
      </w:tblGrid>
      <w:tr w14:paraId="6CABA5FD">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3064" w:type="dxa"/>
            <w:tcBorders>
              <w:bottom w:val="single" w:color="000000" w:sz="4" w:space="0"/>
              <w:right w:val="single" w:color="000000" w:sz="4" w:space="0"/>
            </w:tcBorders>
            <w:vAlign w:val="center"/>
          </w:tcPr>
          <w:p w14:paraId="74452B3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管廊埋置深度</w:t>
            </w:r>
            <w:r>
              <w:rPr>
                <w:rFonts w:ascii="Times New Roman" w:hAnsi="Times New Roman" w:eastAsia="方正书宋简体" w:cs="Times New Roman"/>
                <w:iCs/>
                <w:color w:val="000000" w:themeColor="text1"/>
                <w:spacing w:val="-2"/>
                <w:sz w:val="18"/>
                <w:szCs w:val="18"/>
                <w:highlight w:val="none"/>
                <w14:textFill>
                  <w14:solidFill>
                    <w14:schemeClr w14:val="tx1"/>
                  </w14:solidFill>
                </w14:textFill>
              </w:rPr>
              <w:t>H（m）</w:t>
            </w:r>
          </w:p>
        </w:tc>
        <w:tc>
          <w:tcPr>
            <w:tcW w:w="3059" w:type="dxa"/>
            <w:tcBorders>
              <w:left w:val="single" w:color="000000" w:sz="4" w:space="0"/>
              <w:bottom w:val="single" w:color="000000" w:sz="4" w:space="0"/>
            </w:tcBorders>
            <w:vAlign w:val="center"/>
          </w:tcPr>
          <w:p w14:paraId="5EFA386E">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设计抗渗等级</w:t>
            </w:r>
          </w:p>
        </w:tc>
      </w:tr>
      <w:tr w14:paraId="670CBB5A">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3064" w:type="dxa"/>
            <w:tcBorders>
              <w:top w:val="single" w:color="000000" w:sz="4" w:space="0"/>
              <w:bottom w:val="single" w:color="000000" w:sz="4" w:space="0"/>
              <w:right w:val="single" w:color="000000" w:sz="4" w:space="0"/>
            </w:tcBorders>
            <w:vAlign w:val="center"/>
          </w:tcPr>
          <w:p w14:paraId="500C95B4">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H＜10</w:t>
            </w:r>
          </w:p>
        </w:tc>
        <w:tc>
          <w:tcPr>
            <w:tcW w:w="3059" w:type="dxa"/>
            <w:tcBorders>
              <w:top w:val="single" w:color="000000" w:sz="4" w:space="0"/>
              <w:left w:val="single" w:color="000000" w:sz="4" w:space="0"/>
              <w:bottom w:val="single" w:color="000000" w:sz="4" w:space="0"/>
            </w:tcBorders>
            <w:vAlign w:val="center"/>
          </w:tcPr>
          <w:p w14:paraId="168C86E0">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P</w:t>
            </w:r>
            <w:r>
              <w:rPr>
                <w:rFonts w:hint="eastAsia" w:ascii="Times New Roman" w:hAnsi="Times New Roman" w:eastAsia="方正书宋简体" w:cs="Times New Roman"/>
                <w:iCs/>
                <w:color w:val="000000" w:themeColor="text1"/>
                <w:sz w:val="18"/>
                <w:szCs w:val="18"/>
                <w:highlight w:val="none"/>
                <w14:textFill>
                  <w14:solidFill>
                    <w14:schemeClr w14:val="tx1"/>
                  </w14:solidFill>
                </w14:textFill>
              </w:rPr>
              <w:t>6</w:t>
            </w:r>
          </w:p>
        </w:tc>
      </w:tr>
      <w:tr w14:paraId="7877538B">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3064" w:type="dxa"/>
            <w:tcBorders>
              <w:top w:val="single" w:color="000000" w:sz="4" w:space="0"/>
              <w:bottom w:val="single" w:color="000000" w:sz="4" w:space="0"/>
              <w:right w:val="single" w:color="000000" w:sz="4" w:space="0"/>
            </w:tcBorders>
            <w:vAlign w:val="center"/>
          </w:tcPr>
          <w:p w14:paraId="13C9F47C">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10≤H＜20</w:t>
            </w:r>
          </w:p>
        </w:tc>
        <w:tc>
          <w:tcPr>
            <w:tcW w:w="3059" w:type="dxa"/>
            <w:tcBorders>
              <w:top w:val="single" w:color="000000" w:sz="4" w:space="0"/>
              <w:left w:val="single" w:color="000000" w:sz="4" w:space="0"/>
              <w:bottom w:val="single" w:color="000000" w:sz="4" w:space="0"/>
            </w:tcBorders>
            <w:vAlign w:val="center"/>
          </w:tcPr>
          <w:p w14:paraId="2201796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P8</w:t>
            </w:r>
          </w:p>
        </w:tc>
      </w:tr>
      <w:tr w14:paraId="386BC7B8">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3064" w:type="dxa"/>
            <w:tcBorders>
              <w:top w:val="single" w:color="000000" w:sz="4" w:space="0"/>
              <w:bottom w:val="single" w:color="000000" w:sz="4" w:space="0"/>
              <w:right w:val="single" w:color="000000" w:sz="4" w:space="0"/>
            </w:tcBorders>
            <w:vAlign w:val="center"/>
          </w:tcPr>
          <w:p w14:paraId="331EB70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20≤H＜30</w:t>
            </w:r>
          </w:p>
        </w:tc>
        <w:tc>
          <w:tcPr>
            <w:tcW w:w="3059" w:type="dxa"/>
            <w:tcBorders>
              <w:top w:val="single" w:color="000000" w:sz="4" w:space="0"/>
              <w:left w:val="single" w:color="000000" w:sz="4" w:space="0"/>
              <w:bottom w:val="single" w:color="000000" w:sz="4" w:space="0"/>
            </w:tcBorders>
            <w:vAlign w:val="center"/>
          </w:tcPr>
          <w:p w14:paraId="6B6C56B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P10</w:t>
            </w:r>
          </w:p>
        </w:tc>
      </w:tr>
      <w:tr w14:paraId="4B35F87B">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3064" w:type="dxa"/>
            <w:tcBorders>
              <w:top w:val="single" w:color="000000" w:sz="4" w:space="0"/>
              <w:right w:val="single" w:color="000000" w:sz="4" w:space="0"/>
            </w:tcBorders>
            <w:vAlign w:val="center"/>
          </w:tcPr>
          <w:p w14:paraId="3361ADDB">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H≥30</w:t>
            </w:r>
          </w:p>
        </w:tc>
        <w:tc>
          <w:tcPr>
            <w:tcW w:w="3059" w:type="dxa"/>
            <w:tcBorders>
              <w:top w:val="single" w:color="000000" w:sz="4" w:space="0"/>
              <w:left w:val="single" w:color="000000" w:sz="4" w:space="0"/>
            </w:tcBorders>
            <w:vAlign w:val="center"/>
          </w:tcPr>
          <w:p w14:paraId="4E6EDA3F">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P12</w:t>
            </w:r>
          </w:p>
        </w:tc>
      </w:tr>
    </w:tbl>
    <w:p w14:paraId="3EAC7968">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7.2.4</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用于防水混凝土的水泥应符合下列规定：</w:t>
      </w:r>
    </w:p>
    <w:p w14:paraId="2198EA1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水泥品种宜选用硅酸盐水泥、普通硅酸盐水泥；</w:t>
      </w:r>
    </w:p>
    <w:p w14:paraId="13C875F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在受侵蚀性介质作用下，应按侵蚀性介质的性质选用相应的水泥品种。</w:t>
      </w:r>
    </w:p>
    <w:p w14:paraId="4BC96CD5">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7.2.5</w:t>
      </w:r>
      <w:r>
        <w:rPr>
          <w:rFonts w:ascii="Times New Roman" w:hAnsi="Times New Roman" w:eastAsia="方正书宋简体" w:cs="Times New Roman"/>
          <w:bCs/>
          <w:color w:val="000000" w:themeColor="text1"/>
          <w:highlight w:val="none"/>
          <w14:textFill>
            <w14:solidFill>
              <w14:schemeClr w14:val="tx1"/>
            </w14:solidFill>
          </w14:textFill>
        </w:rPr>
        <w:t xml:space="preserve">  </w:t>
      </w:r>
      <w:r>
        <w:rPr>
          <w:rFonts w:ascii="Times New Roman" w:hAnsi="Times New Roman" w:eastAsia="方正书宋简体" w:cs="Times New Roman"/>
          <w:bCs/>
          <w:color w:val="000000" w:themeColor="text1"/>
          <w:position w:val="2"/>
          <w:highlight w:val="none"/>
          <w14:textFill>
            <w14:solidFill>
              <w14:schemeClr w14:val="tx1"/>
            </w14:solidFill>
          </w14:textFill>
        </w:rPr>
        <w:t>用于防水混凝土的砂、石应符合现行行业标准《普通混凝土用砂、石质量及检验方法标准》JGJ 52的有关规定。</w:t>
      </w:r>
    </w:p>
    <w:p w14:paraId="6D32CDB5">
      <w:pPr>
        <w:pStyle w:val="42"/>
        <w:overflowPunct w:val="0"/>
        <w:spacing w:line="348" w:lineRule="exact"/>
        <w:ind w:firstLine="0" w:firstLineChars="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7.2.6</w:t>
      </w:r>
      <w:r>
        <w:rPr>
          <w:rFonts w:ascii="Times New Roman" w:hAnsi="Times New Roman" w:eastAsia="方正书宋简体" w:cs="Times New Roman"/>
          <w:color w:val="000000" w:themeColor="text1"/>
          <w:highlight w:val="none"/>
          <w:u w:val="none"/>
          <w14:textFill>
            <w14:solidFill>
              <w14:schemeClr w14:val="tx1"/>
            </w14:solidFill>
          </w14:textFill>
        </w:rPr>
        <w:t xml:space="preserve">  防水混凝土中各类材料的氯离子含量和碱</w:t>
      </w:r>
      <w:r>
        <w:rPr>
          <w:rFonts w:ascii="Times New Roman" w:hAnsi="Times New Roman" w:eastAsia="方正书宋简体" w:cs="Times New Roman"/>
          <w:color w:val="000000" w:themeColor="text1"/>
          <w:spacing w:val="7"/>
          <w:highlight w:val="none"/>
          <w:u w:val="none"/>
          <w14:textFill>
            <w14:solidFill>
              <w14:schemeClr w14:val="tx1"/>
            </w14:solidFill>
          </w14:textFill>
        </w:rPr>
        <w:t>含量（</w:t>
      </w:r>
      <w:r>
        <w:rPr>
          <w:rFonts w:ascii="Times New Roman" w:hAnsi="Times New Roman" w:eastAsia="方正书宋简体" w:cs="Times New Roman"/>
          <w:color w:val="000000" w:themeColor="text1"/>
          <w:highlight w:val="none"/>
          <w:u w:val="none"/>
          <w14:textFill>
            <w14:solidFill>
              <w14:schemeClr w14:val="tx1"/>
            </w14:solidFill>
          </w14:textFill>
        </w:rPr>
        <w:t>Na</w:t>
      </w:r>
      <w:r>
        <w:rPr>
          <w:rFonts w:ascii="Times New Roman" w:hAnsi="Times New Roman" w:eastAsia="方正书宋简体" w:cs="Times New Roman"/>
          <w:color w:val="000000" w:themeColor="text1"/>
          <w:spacing w:val="7"/>
          <w:highlight w:val="none"/>
          <w:u w:val="none"/>
          <w14:textFill>
            <w14:solidFill>
              <w14:schemeClr w14:val="tx1"/>
            </w14:solidFill>
          </w14:textFill>
        </w:rPr>
        <w:t>₂O当</w:t>
      </w:r>
      <w:r>
        <w:rPr>
          <w:rFonts w:ascii="Times New Roman" w:hAnsi="Times New Roman" w:eastAsia="方正书宋简体" w:cs="Times New Roman"/>
          <w:color w:val="000000" w:themeColor="text1"/>
          <w:highlight w:val="none"/>
          <w:u w:val="none"/>
          <w14:textFill>
            <w14:solidFill>
              <w14:schemeClr w14:val="tx1"/>
            </w14:solidFill>
          </w14:textFill>
        </w:rPr>
        <w:t>量</w:t>
      </w:r>
      <w:r>
        <w:rPr>
          <w:rFonts w:ascii="Times New Roman" w:hAnsi="Times New Roman" w:eastAsia="方正书宋简体" w:cs="Times New Roman"/>
          <w:color w:val="000000" w:themeColor="text1"/>
          <w:spacing w:val="7"/>
          <w:highlight w:val="none"/>
          <w:u w:val="none"/>
          <w14:textFill>
            <w14:solidFill>
              <w14:schemeClr w14:val="tx1"/>
            </w14:solidFill>
          </w14:textFill>
        </w:rPr>
        <w:t>）</w:t>
      </w:r>
      <w:r>
        <w:rPr>
          <w:rFonts w:ascii="Times New Roman" w:hAnsi="Times New Roman" w:eastAsia="方正书宋简体" w:cs="Times New Roman"/>
          <w:color w:val="000000" w:themeColor="text1"/>
          <w:highlight w:val="none"/>
          <w:u w:val="none"/>
          <w14:textFill>
            <w14:solidFill>
              <w14:schemeClr w14:val="tx1"/>
            </w14:solidFill>
          </w14:textFill>
        </w:rPr>
        <w:t>应符合《混凝土结构设计标准》（GB/T 50010）和《混凝土结构通用规范》（GB 55008）的规定。</w:t>
      </w:r>
    </w:p>
    <w:p w14:paraId="7C5EC1FB">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7.2.7</w:t>
      </w:r>
      <w:r>
        <w:rPr>
          <w:rFonts w:ascii="Times New Roman" w:hAnsi="Times New Roman" w:eastAsia="方正书宋简体" w:cs="Times New Roman"/>
          <w:bCs/>
          <w:color w:val="000000" w:themeColor="text1"/>
          <w:highlight w:val="none"/>
          <w14:textFill>
            <w14:solidFill>
              <w14:schemeClr w14:val="tx1"/>
            </w14:solidFill>
          </w14:textFill>
        </w:rPr>
        <w:t xml:space="preserve">  混凝土可根据工程需要掺入减水剂</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膨胀剂</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防水剂</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密实剂</w:t>
      </w:r>
      <w:r>
        <w:rPr>
          <w:rFonts w:ascii="Times New Roman" w:hAnsi="Times New Roman" w:eastAsia="方正书宋简体" w:cs="Times New Roman"/>
          <w:bCs/>
          <w:color w:val="000000" w:themeColor="text1"/>
          <w:spacing w:val="-30"/>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引气剂</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复合型外加</w:t>
      </w:r>
      <w:r>
        <w:rPr>
          <w:rFonts w:ascii="Times New Roman" w:hAnsi="Times New Roman" w:eastAsia="方正书宋简体" w:cs="Times New Roman"/>
          <w:bCs/>
          <w:color w:val="000000" w:themeColor="text1"/>
          <w:spacing w:val="-1"/>
          <w:highlight w:val="none"/>
          <w14:textFill>
            <w14:solidFill>
              <w14:schemeClr w14:val="tx1"/>
            </w14:solidFill>
          </w14:textFill>
        </w:rPr>
        <w:t>剂</w:t>
      </w:r>
      <w:r>
        <w:rPr>
          <w:rFonts w:ascii="Times New Roman" w:hAnsi="Times New Roman" w:eastAsia="方正书宋简体" w:cs="Times New Roman"/>
          <w:bCs/>
          <w:color w:val="000000" w:themeColor="text1"/>
          <w:highlight w:val="none"/>
          <w14:textFill>
            <w14:solidFill>
              <w14:schemeClr w14:val="tx1"/>
            </w14:solidFill>
          </w14:textFill>
        </w:rPr>
        <w:t>及水泥基渗透结晶型材料等，其品</w:t>
      </w:r>
      <w:r>
        <w:rPr>
          <w:rFonts w:ascii="Times New Roman" w:hAnsi="Times New Roman" w:eastAsia="方正书宋简体" w:cs="Times New Roman"/>
          <w:bCs/>
          <w:color w:val="000000" w:themeColor="text1"/>
          <w:spacing w:val="1"/>
          <w:highlight w:val="none"/>
          <w14:textFill>
            <w14:solidFill>
              <w14:schemeClr w14:val="tx1"/>
            </w14:solidFill>
          </w14:textFill>
        </w:rPr>
        <w:t>种</w:t>
      </w:r>
      <w:r>
        <w:rPr>
          <w:rFonts w:ascii="Times New Roman" w:hAnsi="Times New Roman" w:eastAsia="方正书宋简体" w:cs="Times New Roman"/>
          <w:bCs/>
          <w:color w:val="000000" w:themeColor="text1"/>
          <w:highlight w:val="none"/>
          <w14:textFill>
            <w14:solidFill>
              <w14:schemeClr w14:val="tx1"/>
            </w14:solidFill>
          </w14:textFill>
        </w:rPr>
        <w:t>和用量应经试验确定</w:t>
      </w:r>
      <w:r>
        <w:rPr>
          <w:rFonts w:ascii="Times New Roman" w:hAnsi="Times New Roman" w:eastAsia="方正书宋简体" w:cs="Times New Roman"/>
          <w:bCs/>
          <w:color w:val="000000" w:themeColor="text1"/>
          <w:spacing w:val="-48"/>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所用外加剂的技术性能应符合国家、行业现行标准的有关质量要求。</w:t>
      </w:r>
    </w:p>
    <w:p w14:paraId="1C709208">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7.2.8</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 xml:space="preserve">用于拌制混凝土的水，应符合现行行业标准《混凝土用水标准》JGJ </w:t>
      </w:r>
      <w:r>
        <w:rPr>
          <w:rFonts w:ascii="Times New Roman" w:hAnsi="Times New Roman" w:eastAsia="方正书宋简体" w:cs="Times New Roman"/>
          <w:bCs/>
          <w:color w:val="000000" w:themeColor="text1"/>
          <w:spacing w:val="-2"/>
          <w:highlight w:val="none"/>
          <w14:textFill>
            <w14:solidFill>
              <w14:schemeClr w14:val="tx1"/>
            </w14:solidFill>
          </w14:textFill>
        </w:rPr>
        <w:t>63</w:t>
      </w:r>
      <w:r>
        <w:rPr>
          <w:rFonts w:ascii="Times New Roman" w:hAnsi="Times New Roman" w:eastAsia="方正书宋简体" w:cs="Times New Roman"/>
          <w:bCs/>
          <w:color w:val="000000" w:themeColor="text1"/>
          <w:highlight w:val="none"/>
          <w14:textFill>
            <w14:solidFill>
              <w14:schemeClr w14:val="tx1"/>
            </w14:solidFill>
          </w14:textFill>
        </w:rPr>
        <w:t>的有关规定。</w:t>
      </w:r>
    </w:p>
    <w:p w14:paraId="19C29B8F">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7.2.9</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混凝土可根据工程抗裂需要掺入合成纤维或钢纤维，纤维的品种及掺量应</w:t>
      </w:r>
      <w:r>
        <w:rPr>
          <w:rFonts w:ascii="Times New Roman" w:hAnsi="Times New Roman" w:eastAsia="方正书宋简体" w:cs="Times New Roman"/>
          <w:bCs/>
          <w:color w:val="000000" w:themeColor="text1"/>
          <w:spacing w:val="-1"/>
          <w:highlight w:val="none"/>
          <w14:textFill>
            <w14:solidFill>
              <w14:schemeClr w14:val="tx1"/>
            </w14:solidFill>
          </w14:textFill>
        </w:rPr>
        <w:t>符合国家、行业现行标准的有关规定，无相关规定时应通过试验确定。</w:t>
      </w:r>
    </w:p>
    <w:p w14:paraId="45ED3F46">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7.2.10</w:t>
      </w:r>
      <w:r>
        <w:rPr>
          <w:rFonts w:ascii="Times New Roman" w:hAnsi="Times New Roman" w:eastAsia="方正书宋简体" w:cs="Times New Roman"/>
          <w:bCs/>
          <w:color w:val="000000" w:themeColor="text1"/>
          <w:highlight w:val="none"/>
          <w14:textFill>
            <w14:solidFill>
              <w14:schemeClr w14:val="tx1"/>
            </w14:solidFill>
          </w14:textFill>
        </w:rPr>
        <w:t xml:space="preserve">  现浇钢筋混凝土结构严禁采用现拌混凝土</w:t>
      </w:r>
      <w:r>
        <w:rPr>
          <w:rFonts w:ascii="Times New Roman" w:hAnsi="Times New Roman" w:eastAsia="方正书宋简体" w:cs="Times New Roman"/>
          <w:bCs/>
          <w:color w:val="000000" w:themeColor="text1"/>
          <w:spacing w:val="-34"/>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严禁采用现拌砂浆和袋装水泥；</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预拌混凝土应符合现行国家标准《国家预拌混凝土标准》GB/T </w:t>
      </w:r>
      <w:r>
        <w:rPr>
          <w:rFonts w:ascii="Times New Roman" w:hAnsi="Times New Roman" w:eastAsia="方正书宋简体" w:cs="Times New Roman"/>
          <w:bCs/>
          <w:color w:val="000000" w:themeColor="text1"/>
          <w:highlight w:val="none"/>
          <w14:textFill>
            <w14:solidFill>
              <w14:schemeClr w14:val="tx1"/>
            </w14:solidFill>
          </w14:textFill>
        </w:rPr>
        <w:t>14902的有关规定，预拌砂浆应符合国家、行业及山西省现行标准的有关规定。</w:t>
      </w:r>
    </w:p>
    <w:p w14:paraId="316579D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7.2.11</w:t>
      </w:r>
      <w:r>
        <w:rPr>
          <w:rFonts w:ascii="Times New Roman" w:hAnsi="Times New Roman" w:eastAsia="方正书宋简体" w:cs="Times New Roman"/>
          <w:bCs/>
          <w:color w:val="000000" w:themeColor="text1"/>
          <w:highlight w:val="none"/>
          <w14:textFill>
            <w14:solidFill>
              <w14:schemeClr w14:val="tx1"/>
            </w14:solidFill>
          </w14:textFill>
        </w:rPr>
        <w:t xml:space="preserve">  钢筋应符合现行国家标准《钢筋混凝土用钢  第1部分：热轧光圆钢筋》GB 1499.1、《钢筋混凝土用钢 第2部分：热轧带肋钢筋》GB 1499.2和《钢筋混凝土用余热处理钢筋》GB 13014的有关规定。</w:t>
      </w:r>
    </w:p>
    <w:p w14:paraId="68AD25FF">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7.2.12</w:t>
      </w:r>
      <w:r>
        <w:rPr>
          <w:rFonts w:ascii="Times New Roman" w:hAnsi="Times New Roman" w:eastAsia="方正书宋简体" w:cs="Times New Roman"/>
          <w:bCs/>
          <w:color w:val="000000" w:themeColor="text1"/>
          <w:highlight w:val="none"/>
          <w14:textFill>
            <w14:solidFill>
              <w14:schemeClr w14:val="tx1"/>
            </w14:solidFill>
          </w14:textFill>
        </w:rPr>
        <w:t xml:space="preserve">  预应力筋宜采用预应力钢绞线和预应力螺纹钢筋，并应符合现行国家标准《预应力混凝土用钢绞线》GB/T 5224和《预应力混凝土用螺纹钢筋》GB/T 20065的有关规定。</w:t>
      </w:r>
    </w:p>
    <w:p w14:paraId="35644B83">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7.2.13</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spacing w:val="8"/>
          <w:highlight w:val="none"/>
          <w14:textFill>
            <w14:solidFill>
              <w14:schemeClr w14:val="tx1"/>
            </w14:solidFill>
          </w14:textFill>
        </w:rPr>
        <w:t>用于连接预制节段的螺栓应符合现行国家标准《钢结构设计标准》GB 50017</w:t>
      </w:r>
      <w:r>
        <w:rPr>
          <w:rFonts w:ascii="Times New Roman" w:hAnsi="Times New Roman" w:eastAsia="方正书宋简体" w:cs="Times New Roman"/>
          <w:bCs/>
          <w:color w:val="000000" w:themeColor="text1"/>
          <w:highlight w:val="none"/>
          <w14:textFill>
            <w14:solidFill>
              <w14:schemeClr w14:val="tx1"/>
            </w14:solidFill>
          </w14:textFill>
        </w:rPr>
        <w:t>的有关规定。</w:t>
      </w:r>
    </w:p>
    <w:p w14:paraId="588DD5A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7.2.14</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纤维增强塑料筋应符合现行国家标准《结构工程用纤维增强复合材料筋》</w:t>
      </w:r>
      <w:r>
        <w:rPr>
          <w:rFonts w:ascii="Times New Roman" w:hAnsi="Times New Roman" w:eastAsia="方正书宋简体" w:cs="Times New Roman"/>
          <w:bCs/>
          <w:color w:val="000000" w:themeColor="text1"/>
          <w:spacing w:val="-1"/>
          <w:highlight w:val="none"/>
          <w14:textFill>
            <w14:solidFill>
              <w14:schemeClr w14:val="tx1"/>
            </w14:solidFill>
          </w14:textFill>
        </w:rPr>
        <w:t>GB/T</w:t>
      </w:r>
      <w:r>
        <w:rPr>
          <w:rFonts w:ascii="Times New Roman" w:hAnsi="Times New Roman" w:eastAsia="方正书宋简体" w:cs="Times New Roman"/>
          <w:bCs/>
          <w:color w:val="000000" w:themeColor="text1"/>
          <w:spacing w:val="-5"/>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26743的有关规定。</w:t>
      </w:r>
    </w:p>
    <w:p w14:paraId="3B1BC02D">
      <w:pPr>
        <w:overflowPunct w:val="0"/>
        <w:spacing w:before="31" w:line="348" w:lineRule="exact"/>
        <w:rPr>
          <w:rFonts w:ascii="Times New Roman" w:hAnsi="Times New Roman" w:eastAsia="宋体" w:cs="Times New Roman"/>
          <w:color w:val="000000" w:themeColor="text1"/>
          <w:sz w:val="24"/>
          <w:highlight w:val="none"/>
          <w:u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7.2.15</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预埋钢板宜采用</w:t>
      </w:r>
      <w:r>
        <w:rPr>
          <w:rFonts w:ascii="Times New Roman" w:hAnsi="Times New Roman" w:eastAsia="方正书宋简体" w:cs="Times New Roman"/>
          <w:bCs/>
          <w:color w:val="000000" w:themeColor="text1"/>
          <w:spacing w:val="-1"/>
          <w:highlight w:val="none"/>
          <w:u w:val="none"/>
          <w14:textFill>
            <w14:solidFill>
              <w14:schemeClr w14:val="tx1"/>
            </w14:solidFill>
          </w14:textFill>
        </w:rPr>
        <w:t>Q235B</w:t>
      </w:r>
      <w:r>
        <w:rPr>
          <w:rFonts w:ascii="Times New Roman" w:hAnsi="Times New Roman" w:eastAsia="方正书宋简体" w:cs="Times New Roman"/>
          <w:bCs/>
          <w:color w:val="000000" w:themeColor="text1"/>
          <w:highlight w:val="none"/>
          <w:u w:val="none"/>
          <w14:textFill>
            <w14:solidFill>
              <w14:schemeClr w14:val="tx1"/>
            </w14:solidFill>
          </w14:textFill>
        </w:rPr>
        <w:t>钢、</w:t>
      </w:r>
      <w:r>
        <w:rPr>
          <w:rFonts w:ascii="Times New Roman" w:hAnsi="Times New Roman" w:cs="Times New Roman"/>
          <w:bCs/>
          <w:color w:val="000000" w:themeColor="text1"/>
          <w:highlight w:val="none"/>
          <w:u w:val="none"/>
          <w14:textFill>
            <w14:solidFill>
              <w14:schemeClr w14:val="tx1"/>
            </w14:solidFill>
          </w14:textFill>
        </w:rPr>
        <w:t>Q355B</w:t>
      </w:r>
      <w:r>
        <w:rPr>
          <w:rFonts w:ascii="Times New Roman" w:hAnsi="Times New Roman" w:eastAsia="方正书宋简体" w:cs="Times New Roman"/>
          <w:bCs/>
          <w:color w:val="000000" w:themeColor="text1"/>
          <w:highlight w:val="none"/>
          <w:u w:val="none"/>
          <w14:textFill>
            <w14:solidFill>
              <w14:schemeClr w14:val="tx1"/>
            </w14:solidFill>
          </w14:textFill>
        </w:rPr>
        <w:t>钢，其质量应符</w:t>
      </w:r>
      <w:r>
        <w:rPr>
          <w:rFonts w:ascii="Times New Roman" w:hAnsi="Times New Roman" w:eastAsia="方正书宋简体" w:cs="Times New Roman"/>
          <w:bCs/>
          <w:color w:val="000000" w:themeColor="text1"/>
          <w:highlight w:val="none"/>
          <w14:textFill>
            <w14:solidFill>
              <w14:schemeClr w14:val="tx1"/>
            </w14:solidFill>
          </w14:textFill>
        </w:rPr>
        <w:t>合现行国家标准《碳</w:t>
      </w:r>
      <w:r>
        <w:rPr>
          <w:rFonts w:ascii="Times New Roman" w:hAnsi="Times New Roman" w:eastAsia="方正书宋简体" w:cs="Times New Roman"/>
          <w:bCs/>
          <w:color w:val="000000" w:themeColor="text1"/>
          <w:spacing w:val="-1"/>
          <w:highlight w:val="none"/>
          <w14:textFill>
            <w14:solidFill>
              <w14:schemeClr w14:val="tx1"/>
            </w14:solidFill>
          </w14:textFill>
        </w:rPr>
        <w:t>素结构钢》GB/T</w:t>
      </w:r>
      <w:r>
        <w:rPr>
          <w:rFonts w:ascii="Times New Roman" w:hAnsi="Times New Roman" w:eastAsia="方正书宋简体" w:cs="Times New Roman"/>
          <w:bCs/>
          <w:color w:val="000000" w:themeColor="text1"/>
          <w:spacing w:val="-5"/>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700</w:t>
      </w:r>
      <w:r>
        <w:rPr>
          <w:rFonts w:ascii="Times New Roman" w:hAnsi="Times New Roman" w:eastAsia="方正书宋简体" w:cs="Times New Roman"/>
          <w:bCs/>
          <w:color w:val="000000" w:themeColor="text1"/>
          <w:highlight w:val="none"/>
          <w:u w:val="none"/>
          <w14:textFill>
            <w14:solidFill>
              <w14:schemeClr w14:val="tx1"/>
            </w14:solidFill>
          </w14:textFill>
        </w:rPr>
        <w:t>和《低合金高强度结构钢》GB/T 1591的有关规定。</w:t>
      </w:r>
    </w:p>
    <w:p w14:paraId="2604654C">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7.2.16</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砌体结构所用材料的最低强度等级应符合表7.2.16的规定。</w:t>
      </w:r>
    </w:p>
    <w:p w14:paraId="5A2C0AA8">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7.2.16</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砌体结构所用材料的最低强度等级</w:t>
      </w:r>
    </w:p>
    <w:tbl>
      <w:tblPr>
        <w:tblStyle w:val="27"/>
        <w:tblW w:w="6123" w:type="dxa"/>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28" w:type="dxa"/>
          <w:bottom w:w="0" w:type="dxa"/>
          <w:right w:w="28" w:type="dxa"/>
        </w:tblCellMar>
      </w:tblPr>
      <w:tblGrid>
        <w:gridCol w:w="1530"/>
        <w:gridCol w:w="1063"/>
        <w:gridCol w:w="1999"/>
      </w:tblGrid>
      <w:tr w14:paraId="1D25FDAC">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530" w:type="dxa"/>
            <w:tcBorders>
              <w:left w:val="single" w:color="auto" w:sz="4" w:space="0"/>
              <w:bottom w:val="single" w:color="000000" w:sz="4" w:space="0"/>
              <w:right w:val="single" w:color="000000" w:sz="4" w:space="0"/>
            </w:tcBorders>
            <w:vAlign w:val="center"/>
          </w:tcPr>
          <w:p w14:paraId="105C1C9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混凝土砌块</w:t>
            </w:r>
          </w:p>
        </w:tc>
        <w:tc>
          <w:tcPr>
            <w:tcW w:w="1063" w:type="dxa"/>
            <w:tcBorders>
              <w:left w:val="single" w:color="000000" w:sz="4" w:space="0"/>
              <w:bottom w:val="single" w:color="000000" w:sz="4" w:space="0"/>
              <w:right w:val="single" w:color="auto" w:sz="4" w:space="0"/>
            </w:tcBorders>
            <w:vAlign w:val="center"/>
          </w:tcPr>
          <w:p w14:paraId="3572A9F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石材</w:t>
            </w:r>
          </w:p>
        </w:tc>
        <w:tc>
          <w:tcPr>
            <w:tcW w:w="1999" w:type="dxa"/>
            <w:tcBorders>
              <w:left w:val="single" w:color="auto" w:sz="4" w:space="0"/>
              <w:bottom w:val="single" w:color="000000" w:sz="4" w:space="0"/>
            </w:tcBorders>
            <w:vAlign w:val="center"/>
          </w:tcPr>
          <w:p w14:paraId="2B603F0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水泥砂浆</w:t>
            </w:r>
          </w:p>
        </w:tc>
      </w:tr>
      <w:tr w14:paraId="4837099E">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530" w:type="dxa"/>
            <w:tcBorders>
              <w:top w:val="single" w:color="000000" w:sz="4" w:space="0"/>
              <w:left w:val="single" w:color="auto" w:sz="4" w:space="0"/>
              <w:bottom w:val="single" w:color="000000" w:sz="4" w:space="0"/>
              <w:right w:val="single" w:color="000000" w:sz="4" w:space="0"/>
            </w:tcBorders>
            <w:vAlign w:val="center"/>
          </w:tcPr>
          <w:p w14:paraId="684D7AF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MU10</w:t>
            </w:r>
          </w:p>
        </w:tc>
        <w:tc>
          <w:tcPr>
            <w:tcW w:w="1063" w:type="dxa"/>
            <w:tcBorders>
              <w:top w:val="single" w:color="000000" w:sz="4" w:space="0"/>
              <w:left w:val="single" w:color="000000" w:sz="4" w:space="0"/>
              <w:bottom w:val="single" w:color="000000" w:sz="4" w:space="0"/>
              <w:right w:val="single" w:color="auto" w:sz="4" w:space="0"/>
            </w:tcBorders>
            <w:vAlign w:val="center"/>
          </w:tcPr>
          <w:p w14:paraId="728C602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MU40</w:t>
            </w:r>
          </w:p>
        </w:tc>
        <w:tc>
          <w:tcPr>
            <w:tcW w:w="1999" w:type="dxa"/>
            <w:tcBorders>
              <w:top w:val="single" w:color="000000" w:sz="4" w:space="0"/>
              <w:left w:val="single" w:color="auto" w:sz="4" w:space="0"/>
              <w:bottom w:val="single" w:color="000000" w:sz="4" w:space="0"/>
            </w:tcBorders>
            <w:vAlign w:val="center"/>
          </w:tcPr>
          <w:p w14:paraId="3D629EE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M7.5</w:t>
            </w:r>
          </w:p>
        </w:tc>
      </w:tr>
    </w:tbl>
    <w:p w14:paraId="4E5B956B">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7.2.17</w:t>
      </w:r>
      <w:r>
        <w:rPr>
          <w:rFonts w:ascii="Times New Roman" w:hAnsi="Times New Roman" w:eastAsia="方正书宋简体" w:cs="Times New Roman"/>
          <w:color w:val="000000" w:themeColor="text1"/>
          <w:highlight w:val="none"/>
          <w14:textFill>
            <w14:solidFill>
              <w14:schemeClr w14:val="tx1"/>
            </w14:solidFill>
          </w14:textFill>
        </w:rPr>
        <w:t xml:space="preserve">  其他地下防水材料和性能指标可参照现行国家标准《地下工程防水技术规范》GB 5</w:t>
      </w:r>
      <w:r>
        <w:rPr>
          <w:rFonts w:ascii="Times New Roman" w:hAnsi="Times New Roman" w:eastAsia="方正书宋简体" w:cs="Times New Roman"/>
          <w:color w:val="000000" w:themeColor="text1"/>
          <w:highlight w:val="none"/>
          <w:u w:val="none"/>
          <w14:textFill>
            <w14:solidFill>
              <w14:schemeClr w14:val="tx1"/>
            </w14:solidFill>
          </w14:textFill>
        </w:rPr>
        <w:t>0108、《建筑与市政工程防水通用规范》GB</w:t>
      </w:r>
      <w:r>
        <w:rPr>
          <w:rFonts w:hint="eastAsia"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55030及相关技术规范要求。</w:t>
      </w:r>
    </w:p>
    <w:p w14:paraId="0E4BBF8E">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7.2.18</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受腐蚀性介质作用的地下管廊结构在设计使用年限内应参照现行国家标准《工业建筑防腐蚀设计规范》GB 50046及相关技术规范要求。</w:t>
      </w:r>
    </w:p>
    <w:p w14:paraId="1F4959CF">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u w:val="none"/>
          <w14:textFill>
            <w14:solidFill>
              <w14:schemeClr w14:val="tx1"/>
            </w14:solidFill>
          </w14:textFill>
        </w:rPr>
      </w:pPr>
      <w:r>
        <w:rPr>
          <w:rFonts w:ascii="Times New Roman" w:hAnsi="Times New Roman" w:eastAsia="方正黑体简体" w:cs="Times New Roman"/>
          <w:b/>
          <w:color w:val="000000" w:themeColor="text1"/>
          <w:highlight w:val="none"/>
          <w:u w:val="none"/>
          <w14:textFill>
            <w14:solidFill>
              <w14:schemeClr w14:val="tx1"/>
            </w14:solidFill>
          </w14:textFill>
        </w:rPr>
        <w:t>7.3</w:t>
      </w:r>
      <w:r>
        <w:rPr>
          <w:rFonts w:ascii="Times New Roman" w:hAnsi="Times New Roman" w:eastAsia="方正黑体简体" w:cs="Times New Roman"/>
          <w:bCs/>
          <w:color w:val="000000" w:themeColor="text1"/>
          <w:highlight w:val="none"/>
          <w:u w:val="none"/>
          <w14:textFill>
            <w14:solidFill>
              <w14:schemeClr w14:val="tx1"/>
            </w14:solidFill>
          </w14:textFill>
        </w:rPr>
        <w:t xml:space="preserve">  结构上的作用</w:t>
      </w:r>
    </w:p>
    <w:p w14:paraId="200FCD17">
      <w:pPr>
        <w:overflowPunct w:val="0"/>
        <w:spacing w:line="348" w:lineRule="exac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7.3.1</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综合管廊结构上的作用，应符合现行国家标准《建筑结构荷载规范》GB 50009和《工程结构通用规范》GB</w:t>
      </w:r>
      <w:r>
        <w:rPr>
          <w:rFonts w:hint="eastAsia"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55001的有关规定。</w:t>
      </w:r>
    </w:p>
    <w:p w14:paraId="63442B69">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7.3.2</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综合管廊结构上的作用，按性质可分为永久作用</w:t>
      </w:r>
      <w:r>
        <w:rPr>
          <w:rFonts w:ascii="Times New Roman" w:hAnsi="Times New Roman" w:eastAsia="方正书宋简体" w:cs="Times New Roman"/>
          <w:bCs/>
          <w:color w:val="000000" w:themeColor="text1"/>
          <w:highlight w:val="none"/>
          <w14:textFill>
            <w14:solidFill>
              <w14:schemeClr w14:val="tx1"/>
            </w14:solidFill>
          </w14:textFill>
        </w:rPr>
        <w:t>、可变作用和偶然作用，具体可按表7.3.2进行分类。</w:t>
      </w:r>
    </w:p>
    <w:p w14:paraId="5FDBA586">
      <w:pPr>
        <w:pStyle w:val="60"/>
        <w:rPr>
          <w:highlight w:val="none"/>
        </w:rPr>
      </w:pPr>
      <w:r>
        <w:rPr>
          <w:highlight w:val="none"/>
        </w:rPr>
        <w:t>表</w:t>
      </w:r>
      <w:r>
        <w:rPr>
          <w:b/>
          <w:highlight w:val="none"/>
        </w:rPr>
        <w:t>7.3.2</w:t>
      </w:r>
      <w:r>
        <w:rPr>
          <w:highlight w:val="none"/>
        </w:rPr>
        <w:t xml:space="preserve">  荷载分类表</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314"/>
        <w:gridCol w:w="3809"/>
      </w:tblGrid>
      <w:tr w14:paraId="03EBD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Align w:val="center"/>
          </w:tcPr>
          <w:p w14:paraId="0087021F">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荷载分类</w:t>
            </w:r>
          </w:p>
        </w:tc>
        <w:tc>
          <w:tcPr>
            <w:tcW w:w="3809" w:type="dxa"/>
            <w:vAlign w:val="center"/>
          </w:tcPr>
          <w:p w14:paraId="2000343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荷载名称</w:t>
            </w:r>
          </w:p>
        </w:tc>
      </w:tr>
      <w:tr w14:paraId="2CF87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restart"/>
            <w:vAlign w:val="center"/>
          </w:tcPr>
          <w:p w14:paraId="46E167D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永久作用</w:t>
            </w:r>
          </w:p>
        </w:tc>
        <w:tc>
          <w:tcPr>
            <w:tcW w:w="3809" w:type="dxa"/>
            <w:vAlign w:val="center"/>
          </w:tcPr>
          <w:p w14:paraId="50B088AD">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结构自重</w:t>
            </w:r>
          </w:p>
        </w:tc>
      </w:tr>
      <w:tr w14:paraId="204D9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7600E37E">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7F13E64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土压力</w:t>
            </w:r>
          </w:p>
        </w:tc>
      </w:tr>
      <w:tr w14:paraId="0C151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4E960A0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0EC697F4">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水压力及浮力</w:t>
            </w:r>
          </w:p>
        </w:tc>
      </w:tr>
      <w:tr w14:paraId="04616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0F79650E">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6632234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预加应力</w:t>
            </w:r>
          </w:p>
        </w:tc>
      </w:tr>
      <w:tr w14:paraId="56377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1C1694E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198ACE11">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混凝土收缩和徐变的影响力</w:t>
            </w:r>
          </w:p>
        </w:tc>
      </w:tr>
      <w:tr w14:paraId="226C8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4156F34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3DF0719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地基不均匀沉降</w:t>
            </w:r>
          </w:p>
        </w:tc>
      </w:tr>
      <w:tr w14:paraId="0B2E6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Align w:val="center"/>
          </w:tcPr>
          <w:p w14:paraId="7372E421">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2A769022">
            <w:pPr>
              <w:overflowPunct w:val="0"/>
              <w:spacing w:line="280" w:lineRule="exact"/>
              <w:jc w:val="center"/>
              <w:rPr>
                <w:rFonts w:ascii="Times New Roman" w:hAnsi="Times New Roman" w:eastAsia="方正书宋简体" w:cs="Times New Roman"/>
                <w:iCs/>
                <w:sz w:val="18"/>
                <w:szCs w:val="18"/>
                <w:highlight w:val="none"/>
                <w:u w:val="single"/>
              </w:rPr>
            </w:pPr>
            <w:r>
              <w:rPr>
                <w:rFonts w:ascii="Times New Roman" w:hAnsi="Times New Roman" w:eastAsia="方正书宋简体" w:cs="Times New Roman"/>
                <w:iCs/>
                <w:sz w:val="18"/>
                <w:szCs w:val="18"/>
                <w:highlight w:val="none"/>
                <w:u w:val="none"/>
              </w:rPr>
              <w:t>管线及附件荷载</w:t>
            </w:r>
          </w:p>
        </w:tc>
      </w:tr>
      <w:tr w14:paraId="38C81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restart"/>
            <w:vAlign w:val="center"/>
          </w:tcPr>
          <w:p w14:paraId="57D93810">
            <w:pPr>
              <w:overflowPunct w:val="0"/>
              <w:spacing w:line="280" w:lineRule="exact"/>
              <w:jc w:val="center"/>
              <w:rPr>
                <w:rFonts w:hint="default" w:ascii="Times New Roman" w:hAnsi="Times New Roman" w:eastAsia="方正书宋简体" w:cs="Times New Roman"/>
                <w:iCs/>
                <w:color w:val="000000" w:themeColor="text1"/>
                <w:sz w:val="18"/>
                <w:szCs w:val="18"/>
                <w:highlight w:val="none"/>
                <w:lang w:val="en-US" w:eastAsia="zh-CN"/>
                <w14:textFill>
                  <w14:solidFill>
                    <w14:schemeClr w14:val="tx1"/>
                  </w14:solidFill>
                </w14:textFill>
              </w:rPr>
            </w:pPr>
            <w:r>
              <w:rPr>
                <w:rFonts w:hint="eastAsia" w:ascii="Times New Roman" w:hAnsi="Times New Roman" w:eastAsia="方正书宋简体" w:cs="Times New Roman"/>
                <w:iCs/>
                <w:color w:val="000000" w:themeColor="text1"/>
                <w:sz w:val="18"/>
                <w:szCs w:val="18"/>
                <w:highlight w:val="none"/>
                <w:lang w:val="en-US" w:eastAsia="zh-CN"/>
                <w14:textFill>
                  <w14:solidFill>
                    <w14:schemeClr w14:val="tx1"/>
                  </w14:solidFill>
                </w14:textFill>
              </w:rPr>
              <w:t>可变作用</w:t>
            </w:r>
          </w:p>
        </w:tc>
        <w:tc>
          <w:tcPr>
            <w:tcW w:w="3809" w:type="dxa"/>
            <w:vAlign w:val="center"/>
          </w:tcPr>
          <w:p w14:paraId="1B677121">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施工荷载</w:t>
            </w:r>
          </w:p>
        </w:tc>
      </w:tr>
      <w:tr w14:paraId="49633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09C3BBA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7FF3032B">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车辆荷载</w:t>
            </w:r>
          </w:p>
        </w:tc>
      </w:tr>
      <w:tr w14:paraId="55644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046D8E28">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7FED3B8D">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人群荷载</w:t>
            </w:r>
          </w:p>
        </w:tc>
      </w:tr>
      <w:tr w14:paraId="1CAB9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5C954E5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6FB7798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温度变化影响</w:t>
            </w:r>
          </w:p>
        </w:tc>
      </w:tr>
      <w:tr w14:paraId="4035A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0E41A81C">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0E502414">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灌浆压力</w:t>
            </w:r>
          </w:p>
        </w:tc>
      </w:tr>
      <w:tr w14:paraId="07956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3DD2CBC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03D121E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冻胀力</w:t>
            </w:r>
          </w:p>
        </w:tc>
      </w:tr>
      <w:tr w14:paraId="10125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restart"/>
            <w:vAlign w:val="center"/>
          </w:tcPr>
          <w:p w14:paraId="280384A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偶然作用</w:t>
            </w:r>
          </w:p>
        </w:tc>
        <w:tc>
          <w:tcPr>
            <w:tcW w:w="3809" w:type="dxa"/>
            <w:vAlign w:val="center"/>
          </w:tcPr>
          <w:p w14:paraId="60EFEECD">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地震作用</w:t>
            </w:r>
          </w:p>
        </w:tc>
      </w:tr>
      <w:tr w14:paraId="59B37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6CAB0FDD">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60D5245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落石冲击力</w:t>
            </w:r>
          </w:p>
        </w:tc>
      </w:tr>
      <w:tr w14:paraId="094A6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14" w:type="dxa"/>
            <w:vMerge w:val="continue"/>
            <w:vAlign w:val="center"/>
          </w:tcPr>
          <w:p w14:paraId="0DBB6E33">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p>
        </w:tc>
        <w:tc>
          <w:tcPr>
            <w:tcW w:w="3809" w:type="dxa"/>
            <w:vAlign w:val="center"/>
          </w:tcPr>
          <w:p w14:paraId="49745B53">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爆炸荷载</w:t>
            </w:r>
          </w:p>
        </w:tc>
      </w:tr>
    </w:tbl>
    <w:p w14:paraId="78A905FD">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7.3.3</w:t>
      </w:r>
      <w:r>
        <w:rPr>
          <w:rFonts w:ascii="Times New Roman" w:hAnsi="Times New Roman" w:eastAsia="方正书宋简体" w:cs="Times New Roman"/>
          <w:bCs/>
          <w:color w:val="000000" w:themeColor="text1"/>
          <w:highlight w:val="none"/>
          <w14:textFill>
            <w14:solidFill>
              <w14:schemeClr w14:val="tx1"/>
            </w14:solidFill>
          </w14:textFill>
        </w:rPr>
        <w:t xml:space="preserve">  建设场地地基土有显著变化段的综合管廊结构，应计算地基不均匀沉降的</w:t>
      </w:r>
      <w:r>
        <w:rPr>
          <w:rFonts w:ascii="Times New Roman" w:hAnsi="Times New Roman" w:eastAsia="方正书宋简体" w:cs="Times New Roman"/>
          <w:bCs/>
          <w:color w:val="000000" w:themeColor="text1"/>
          <w:spacing w:val="-1"/>
          <w:highlight w:val="none"/>
          <w14:textFill>
            <w14:solidFill>
              <w14:schemeClr w14:val="tx1"/>
            </w14:solidFill>
          </w14:textFill>
        </w:rPr>
        <w:t>影响，其标准值应按现行国家标准《建筑地基基础设计规范》GB 50</w:t>
      </w:r>
      <w:r>
        <w:rPr>
          <w:rFonts w:ascii="Times New Roman" w:hAnsi="Times New Roman" w:eastAsia="方正书宋简体" w:cs="Times New Roman"/>
          <w:bCs/>
          <w:color w:val="000000" w:themeColor="text1"/>
          <w:highlight w:val="none"/>
          <w14:textFill>
            <w14:solidFill>
              <w14:schemeClr w14:val="tx1"/>
            </w14:solidFill>
          </w14:textFill>
        </w:rPr>
        <w:t>007的有关规定计算确定。</w:t>
      </w:r>
    </w:p>
    <w:p w14:paraId="004241D4">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7.3.4</w:t>
      </w:r>
      <w:r>
        <w:rPr>
          <w:rFonts w:ascii="Times New Roman" w:hAnsi="Times New Roman" w:eastAsia="方正书宋简体" w:cs="Times New Roman"/>
          <w:bCs/>
          <w:color w:val="000000" w:themeColor="text1"/>
          <w:highlight w:val="none"/>
          <w14:textFill>
            <w14:solidFill>
              <w14:schemeClr w14:val="tx1"/>
            </w14:solidFill>
          </w14:textFill>
        </w:rPr>
        <w:t xml:space="preserve">  制作、运输和堆放、安装等短暂设计状况下的预制构件验算，应符合现行国家标准《混凝土结构工程施工规范》GB 50666的有关规定。</w:t>
      </w:r>
    </w:p>
    <w:p w14:paraId="2002C71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 xml:space="preserve">7.3.5 </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对埋设在历史最高水位以下的综合管廊，应根据设计条件计算结构的抗浮稳</w:t>
      </w:r>
      <w:r>
        <w:rPr>
          <w:rFonts w:ascii="Times New Roman" w:hAnsi="Times New Roman" w:eastAsia="方正书宋简体" w:cs="Times New Roman"/>
          <w:bCs/>
          <w:color w:val="000000" w:themeColor="text1"/>
          <w:spacing w:val="-1"/>
          <w:highlight w:val="none"/>
          <w14:textFill>
            <w14:solidFill>
              <w14:schemeClr w14:val="tx1"/>
            </w14:solidFill>
          </w14:textFill>
        </w:rPr>
        <w:t>定。</w:t>
      </w:r>
      <w:r>
        <w:rPr>
          <w:rFonts w:ascii="Times New Roman" w:hAnsi="Times New Roman" w:eastAsia="方正书宋简体" w:cs="Times New Roman"/>
          <w:bCs/>
          <w:color w:val="000000" w:themeColor="text1"/>
          <w:highlight w:val="none"/>
          <w14:textFill>
            <w14:solidFill>
              <w14:schemeClr w14:val="tx1"/>
            </w14:solidFill>
          </w14:textFill>
        </w:rPr>
        <w:t>计算时不应计入综合管廊内管线和设备的自重，其他各项作用应取标准值，</w:t>
      </w:r>
      <w:r>
        <w:rPr>
          <w:rFonts w:ascii="Times New Roman" w:hAnsi="Times New Roman" w:eastAsia="方正书宋简体" w:cs="Times New Roman"/>
          <w:bCs/>
          <w:color w:val="000000" w:themeColor="text1"/>
          <w:spacing w:val="-1"/>
          <w:highlight w:val="none"/>
          <w14:textFill>
            <w14:solidFill>
              <w14:schemeClr w14:val="tx1"/>
            </w14:solidFill>
          </w14:textFill>
        </w:rPr>
        <w:t>并应满足抗浮稳定性抗力系数不低于</w:t>
      </w:r>
      <w:r>
        <w:rPr>
          <w:rFonts w:ascii="Times New Roman" w:hAnsi="Times New Roman" w:eastAsia="方正书宋简体" w:cs="Times New Roman"/>
          <w:bCs/>
          <w:color w:val="000000" w:themeColor="text1"/>
          <w:highlight w:val="none"/>
          <w14:textFill>
            <w14:solidFill>
              <w14:schemeClr w14:val="tx1"/>
            </w14:solidFill>
          </w14:textFill>
        </w:rPr>
        <w:t>1.05。</w:t>
      </w:r>
    </w:p>
    <w:p w14:paraId="0809D10D">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7.4</w:t>
      </w:r>
      <w:r>
        <w:rPr>
          <w:rFonts w:ascii="Times New Roman" w:hAnsi="Times New Roman" w:eastAsia="方正黑体简体" w:cs="Times New Roman"/>
          <w:bCs/>
          <w:color w:val="000000" w:themeColor="text1"/>
          <w:highlight w:val="none"/>
          <w14:textFill>
            <w14:solidFill>
              <w14:schemeClr w14:val="tx1"/>
            </w14:solidFill>
          </w14:textFill>
        </w:rPr>
        <w:t xml:space="preserve">  现浇结构</w:t>
      </w:r>
      <w:r>
        <w:rPr>
          <w:rFonts w:hint="eastAsia" w:ascii="Times New Roman" w:hAnsi="Times New Roman" w:eastAsia="方正黑体简体" w:cs="Times New Roman"/>
          <w:bCs/>
          <w:highlight w:val="none"/>
          <w:u w:val="none"/>
        </w:rPr>
        <w:t>设计</w:t>
      </w:r>
    </w:p>
    <w:p w14:paraId="540450EC">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7.4.1</w:t>
      </w:r>
      <w:r>
        <w:rPr>
          <w:rFonts w:ascii="Times New Roman" w:hAnsi="Times New Roman" w:eastAsia="方正书宋简体" w:cs="Times New Roman"/>
          <w:bCs/>
          <w:color w:val="000000" w:themeColor="text1"/>
          <w:highlight w:val="none"/>
          <w14:textFill>
            <w14:solidFill>
              <w14:schemeClr w14:val="tx1"/>
            </w14:solidFill>
          </w14:textFill>
        </w:rPr>
        <w:t xml:space="preserve">  现浇混凝土综合管廊结构的截面内力计算宜采用闭合框架模型。作用于结</w:t>
      </w:r>
      <w:r>
        <w:rPr>
          <w:rFonts w:ascii="Times New Roman" w:hAnsi="Times New Roman" w:eastAsia="方正书宋简体" w:cs="Times New Roman"/>
          <w:bCs/>
          <w:color w:val="000000" w:themeColor="text1"/>
          <w:spacing w:val="3"/>
          <w:highlight w:val="none"/>
          <w14:textFill>
            <w14:solidFill>
              <w14:schemeClr w14:val="tx1"/>
            </w14:solidFill>
          </w14:textFill>
        </w:rPr>
        <w:t>构底板的基底反力分布应根据地基条件确定，并应符合下列规定：</w:t>
      </w:r>
    </w:p>
    <w:p w14:paraId="130070B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地层较为坚硬或经加固处理的地基，基底反力可视为直线分布</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A82C9D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未经处理的软弱地基，基底反力应按弹性地基上的平面变形协调计算确定。</w:t>
      </w:r>
    </w:p>
    <w:p w14:paraId="20F3553E">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7.4.2 </w:t>
      </w:r>
      <w:r>
        <w:rPr>
          <w:rFonts w:ascii="Times New Roman" w:hAnsi="Times New Roman" w:eastAsia="方正书宋简体" w:cs="Times New Roman"/>
          <w:bCs/>
          <w:color w:val="000000" w:themeColor="text1"/>
          <w:highlight w:val="none"/>
          <w14:textFill>
            <w14:solidFill>
              <w14:schemeClr w14:val="tx1"/>
            </w14:solidFill>
          </w14:textFill>
        </w:rPr>
        <w:t xml:space="preserve"> 遇到下列情况之一的地下管廊结构尚应进行纵向强度和变形计算：</w:t>
      </w:r>
    </w:p>
    <w:p w14:paraId="30A6486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地基或基础差异显著，沿纵向产生不均匀沉降；</w:t>
      </w:r>
    </w:p>
    <w:p w14:paraId="0F2DD37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管廊上部覆土沿纵向有较大变化；</w:t>
      </w:r>
    </w:p>
    <w:p w14:paraId="6690EE8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结构直接承受建构筑物等较大局部荷载。</w:t>
      </w:r>
    </w:p>
    <w:p w14:paraId="2883084E">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7.4.3</w:t>
      </w:r>
      <w:r>
        <w:rPr>
          <w:rFonts w:ascii="Times New Roman" w:hAnsi="Times New Roman" w:eastAsia="方正书宋简体" w:cs="Times New Roman"/>
          <w:bCs/>
          <w:color w:val="000000" w:themeColor="text1"/>
          <w:highlight w:val="none"/>
          <w14:textFill>
            <w14:solidFill>
              <w14:schemeClr w14:val="tx1"/>
            </w14:solidFill>
          </w14:textFill>
        </w:rPr>
        <w:t xml:space="preserve">  空间受力明显的复杂节点或区段，宜按照空间结构进行分析。</w:t>
      </w:r>
    </w:p>
    <w:p w14:paraId="4AE4C525">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7.4.4 </w:t>
      </w:r>
      <w:r>
        <w:rPr>
          <w:rFonts w:ascii="Times New Roman" w:hAnsi="Times New Roman" w:eastAsia="方正书宋简体" w:cs="Times New Roman"/>
          <w:bCs/>
          <w:color w:val="000000" w:themeColor="text1"/>
          <w:highlight w:val="none"/>
          <w14:textFill>
            <w14:solidFill>
              <w14:schemeClr w14:val="tx1"/>
            </w14:solidFill>
          </w14:textFill>
        </w:rPr>
        <w:t xml:space="preserve"> 现浇混凝土综合管廊结构设计应符合现行国家标准</w:t>
      </w:r>
      <w:r>
        <w:rPr>
          <w:rFonts w:ascii="Times New Roman" w:hAnsi="Times New Roman" w:eastAsia="方正书宋简体" w:cs="Times New Roman"/>
          <w:bCs/>
          <w:color w:val="000000" w:themeColor="text1"/>
          <w:highlight w:val="none"/>
          <w:u w:val="none"/>
          <w14:textFill>
            <w14:solidFill>
              <w14:schemeClr w14:val="tx1"/>
            </w14:solidFill>
          </w14:textFill>
        </w:rPr>
        <w:t>《混凝土结构设计标准》GB/T 50010</w:t>
      </w:r>
      <w:r>
        <w:rPr>
          <w:rFonts w:ascii="Times New Roman" w:hAnsi="Times New Roman" w:eastAsia="方正书宋简体" w:cs="Times New Roman"/>
          <w:bCs/>
          <w:color w:val="000000" w:themeColor="text1"/>
          <w:highlight w:val="none"/>
          <w14:textFill>
            <w14:solidFill>
              <w14:schemeClr w14:val="tx1"/>
            </w14:solidFill>
          </w14:textFill>
        </w:rPr>
        <w:t>的有关规定。</w:t>
      </w:r>
    </w:p>
    <w:p w14:paraId="38248254">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7.5</w:t>
      </w:r>
      <w:r>
        <w:rPr>
          <w:rFonts w:ascii="Times New Roman" w:hAnsi="Times New Roman" w:eastAsia="方正黑体简体" w:cs="Times New Roman"/>
          <w:bCs/>
          <w:color w:val="000000" w:themeColor="text1"/>
          <w:highlight w:val="none"/>
          <w14:textFill>
            <w14:solidFill>
              <w14:schemeClr w14:val="tx1"/>
            </w14:solidFill>
          </w14:textFill>
        </w:rPr>
        <w:t xml:space="preserve">  </w:t>
      </w:r>
      <w:r>
        <w:rPr>
          <w:rFonts w:hint="eastAsia" w:ascii="Times New Roman" w:hAnsi="Times New Roman" w:eastAsia="方正黑体简体" w:cs="Times New Roman"/>
          <w:bCs/>
          <w:highlight w:val="none"/>
          <w:u w:val="none"/>
        </w:rPr>
        <w:t>装配式</w:t>
      </w:r>
      <w:r>
        <w:rPr>
          <w:rFonts w:ascii="Times New Roman" w:hAnsi="Times New Roman" w:eastAsia="方正黑体简体" w:cs="Times New Roman"/>
          <w:bCs/>
          <w:color w:val="000000" w:themeColor="text1"/>
          <w:highlight w:val="none"/>
          <w:u w:val="none"/>
          <w14:textFill>
            <w14:solidFill>
              <w14:schemeClr w14:val="tx1"/>
            </w14:solidFill>
          </w14:textFill>
        </w:rPr>
        <w:t>结构</w:t>
      </w:r>
      <w:r>
        <w:rPr>
          <w:rFonts w:hint="eastAsia" w:ascii="Times New Roman" w:hAnsi="Times New Roman" w:eastAsia="方正黑体简体" w:cs="Times New Roman"/>
          <w:bCs/>
          <w:highlight w:val="none"/>
          <w:u w:val="none"/>
        </w:rPr>
        <w:t>设计</w:t>
      </w:r>
    </w:p>
    <w:p w14:paraId="7B5A7FED">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7.5.1</w:t>
      </w:r>
      <w:r>
        <w:rPr>
          <w:rFonts w:ascii="Times New Roman" w:hAnsi="Times New Roman" w:eastAsia="方正书宋简体" w:cs="Times New Roman"/>
          <w:bCs/>
          <w:color w:val="000000" w:themeColor="text1"/>
          <w:highlight w:val="none"/>
          <w14:textFill>
            <w14:solidFill>
              <w14:schemeClr w14:val="tx1"/>
            </w14:solidFill>
          </w14:textFill>
        </w:rPr>
        <w:t xml:space="preserve">  预制拼装综合管廊结构主要分为整节装配式综合管廊结构和拼装式综合管廊结构。</w:t>
      </w:r>
    </w:p>
    <w:p w14:paraId="172F42DC">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7.5.2 </w:t>
      </w:r>
      <w:r>
        <w:rPr>
          <w:rFonts w:ascii="Times New Roman" w:hAnsi="Times New Roman" w:eastAsia="方正书宋简体" w:cs="Times New Roman"/>
          <w:bCs/>
          <w:color w:val="000000" w:themeColor="text1"/>
          <w:highlight w:val="none"/>
          <w14:textFill>
            <w14:solidFill>
              <w14:schemeClr w14:val="tx1"/>
            </w14:solidFill>
          </w14:textFill>
        </w:rPr>
        <w:t xml:space="preserve"> 预制构件的设计使用年限和安全等级应与管廊主体结构相同。</w:t>
      </w:r>
    </w:p>
    <w:p w14:paraId="35802301">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7.5.3 </w:t>
      </w:r>
      <w:r>
        <w:rPr>
          <w:rFonts w:ascii="Times New Roman" w:hAnsi="Times New Roman" w:eastAsia="方正书宋简体" w:cs="Times New Roman"/>
          <w:bCs/>
          <w:color w:val="000000" w:themeColor="text1"/>
          <w:highlight w:val="none"/>
          <w14:textFill>
            <w14:solidFill>
              <w14:schemeClr w14:val="tx1"/>
            </w14:solidFill>
          </w14:textFill>
        </w:rPr>
        <w:t xml:space="preserve"> 预制构件结构受力计算应考虑从构件制作、吊装、运输、码放、安装就位直至完成预制件安装时所有工况的荷载组合。</w:t>
      </w:r>
    </w:p>
    <w:p w14:paraId="6A0DCD5D">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7.5.4</w:t>
      </w:r>
      <w:r>
        <w:rPr>
          <w:rFonts w:ascii="Times New Roman" w:hAnsi="Times New Roman" w:eastAsia="方正书宋简体" w:cs="Times New Roman"/>
          <w:bCs/>
          <w:color w:val="000000" w:themeColor="text1"/>
          <w:highlight w:val="none"/>
          <w14:textFill>
            <w14:solidFill>
              <w14:schemeClr w14:val="tx1"/>
            </w14:solidFill>
          </w14:textFill>
        </w:rPr>
        <w:t xml:space="preserve">  预制拼装综合管廊结构宜采用预应力筋连接接头、螺栓连接接头或承插式接头。当场地条件较差，或易发生不均匀沉降时，宜采用承插式接头。当有可靠依据时，也可采用其他能够保证预制拼装综合管廊结构安全性、适用性和耐久性的接头构造。</w:t>
      </w:r>
    </w:p>
    <w:p w14:paraId="01D63E60">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7.5.5 </w:t>
      </w:r>
      <w:r>
        <w:rPr>
          <w:rFonts w:ascii="Times New Roman" w:hAnsi="Times New Roman" w:eastAsia="方正书宋简体" w:cs="Times New Roman"/>
          <w:bCs/>
          <w:color w:val="000000" w:themeColor="text1"/>
          <w:highlight w:val="none"/>
          <w14:textFill>
            <w14:solidFill>
              <w14:schemeClr w14:val="tx1"/>
            </w14:solidFill>
          </w14:textFill>
        </w:rPr>
        <w:t xml:space="preserve"> 仅带纵向拼缝接头的预制拼装综合管廊结构的截面内力计算模型宜采用与现浇混凝土综合管廊结构相同的闭合框架模型。</w:t>
      </w:r>
    </w:p>
    <w:p w14:paraId="74C4E52F">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7.5.6 </w:t>
      </w:r>
      <w:r>
        <w:rPr>
          <w:rFonts w:ascii="Times New Roman" w:hAnsi="Times New Roman" w:eastAsia="方正书宋简体" w:cs="Times New Roman"/>
          <w:bCs/>
          <w:color w:val="000000" w:themeColor="text1"/>
          <w:highlight w:val="none"/>
          <w14:textFill>
            <w14:solidFill>
              <w14:schemeClr w14:val="tx1"/>
            </w14:solidFill>
          </w14:textFill>
        </w:rPr>
        <w:t xml:space="preserve"> 部分拼装式综合管廊不等同现浇，其节点、接缝降低了结构的刚度或承载力，可通过试验结果来确定节点、接缝对刚度的影响。</w:t>
      </w:r>
    </w:p>
    <w:p w14:paraId="1177831A">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7.5.7</w:t>
      </w:r>
      <w:r>
        <w:rPr>
          <w:rFonts w:ascii="Times New Roman" w:hAnsi="Times New Roman" w:eastAsia="方正书宋简体" w:cs="Times New Roman"/>
          <w:bCs/>
          <w:color w:val="000000" w:themeColor="text1"/>
          <w:highlight w:val="none"/>
          <w14:textFill>
            <w14:solidFill>
              <w14:schemeClr w14:val="tx1"/>
            </w14:solidFill>
          </w14:textFill>
        </w:rPr>
        <w:t xml:space="preserve">  对于构造复杂或者受力情况特殊的装配式综合管廊结构，必要时可采用试验方法对结构整体或者局部构件的正常使用极限状态和承载力极限状态进行复核。</w:t>
      </w:r>
    </w:p>
    <w:p w14:paraId="746BF8A6">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7.5.8 </w:t>
      </w:r>
      <w:r>
        <w:rPr>
          <w:rFonts w:ascii="Times New Roman" w:hAnsi="Times New Roman" w:eastAsia="方正书宋简体" w:cs="Times New Roman"/>
          <w:bCs/>
          <w:color w:val="000000" w:themeColor="text1"/>
          <w:highlight w:val="none"/>
          <w14:textFill>
            <w14:solidFill>
              <w14:schemeClr w14:val="tx1"/>
            </w14:solidFill>
          </w14:textFill>
        </w:rPr>
        <w:t xml:space="preserve"> 预制拼装综合管廊结构中，现浇</w:t>
      </w:r>
      <w:r>
        <w:rPr>
          <w:rFonts w:ascii="Times New Roman" w:hAnsi="Times New Roman" w:eastAsia="方正书宋简体" w:cs="Times New Roman"/>
          <w:bCs/>
          <w:color w:val="000000" w:themeColor="text1"/>
          <w:highlight w:val="none"/>
          <w:u w:val="none"/>
          <w14:textFill>
            <w14:solidFill>
              <w14:schemeClr w14:val="tx1"/>
            </w14:solidFill>
          </w14:textFill>
        </w:rPr>
        <w:t>混凝土截面的受弯承载力、受剪承载力和最大裂缝宽度宜符合现行国家标准《混凝土结构设计标准》GB/T 50010的有关规定。</w:t>
      </w:r>
    </w:p>
    <w:p w14:paraId="65EE2B1A">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7.5.9 </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预制拼装综合管廊拼缝计算应符合《城市综合管廊工程技术标准》GB/T 50838的规定。</w:t>
      </w:r>
    </w:p>
    <w:p w14:paraId="297669FB">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7.5.10</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采用高强钢筋或钢绞线作为预应力筋的预制综合管廊结构的抗弯承载能力应按现行国家标准《混凝土结构设计标准》GB/T 50010有关规定进行计算。</w:t>
      </w:r>
    </w:p>
    <w:p w14:paraId="555556C0">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7.5.11</w:t>
      </w:r>
      <w:r>
        <w:rPr>
          <w:rFonts w:ascii="Times New Roman" w:hAnsi="Times New Roman" w:eastAsia="方正书宋简体" w:cs="Times New Roman"/>
          <w:bCs/>
          <w:color w:val="000000" w:themeColor="text1"/>
          <w:highlight w:val="none"/>
          <w14:textFill>
            <w14:solidFill>
              <w14:schemeClr w14:val="tx1"/>
            </w14:solidFill>
          </w14:textFill>
        </w:rPr>
        <w:t xml:space="preserve">  采用纤维增强塑料筋作为预应力筋的综合管廊结构抗弯承载力能力计算应按现行国家标准《纤维增强复合材料建设工程应用技术规范》GB 50608有关规定进行设计。</w:t>
      </w:r>
    </w:p>
    <w:p w14:paraId="1599AD8D">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7.5.12 </w:t>
      </w:r>
      <w:r>
        <w:rPr>
          <w:rFonts w:ascii="Times New Roman" w:hAnsi="Times New Roman" w:eastAsia="方正书宋简体" w:cs="Times New Roman"/>
          <w:bCs/>
          <w:color w:val="000000" w:themeColor="text1"/>
          <w:highlight w:val="none"/>
          <w14:textFill>
            <w14:solidFill>
              <w14:schemeClr w14:val="tx1"/>
            </w14:solidFill>
          </w14:textFill>
        </w:rPr>
        <w:t xml:space="preserve"> 预制拼装综合管廊拼缝的受剪承载力应符合现行行业标准《装配式混凝土结构技术规程》JGJ 1的有关规定。</w:t>
      </w:r>
    </w:p>
    <w:p w14:paraId="31AD01BF">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7.6</w:t>
      </w:r>
      <w:r>
        <w:rPr>
          <w:rFonts w:ascii="Times New Roman" w:hAnsi="Times New Roman" w:eastAsia="方正黑体简体" w:cs="Times New Roman"/>
          <w:bCs/>
          <w:color w:val="000000" w:themeColor="text1"/>
          <w:highlight w:val="none"/>
          <w14:textFill>
            <w14:solidFill>
              <w14:schemeClr w14:val="tx1"/>
            </w14:solidFill>
          </w14:textFill>
        </w:rPr>
        <w:t xml:space="preserve">  构 造 要 求</w:t>
      </w:r>
    </w:p>
    <w:p w14:paraId="5C63C6EA">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7.6.1</w:t>
      </w:r>
      <w:r>
        <w:rPr>
          <w:rFonts w:ascii="Times New Roman" w:hAnsi="Times New Roman" w:eastAsia="方正书宋简体" w:cs="Times New Roman"/>
          <w:bCs/>
          <w:color w:val="000000" w:themeColor="text1"/>
          <w:highlight w:val="none"/>
          <w14:textFill>
            <w14:solidFill>
              <w14:schemeClr w14:val="tx1"/>
            </w14:solidFill>
          </w14:textFill>
        </w:rPr>
        <w:t xml:space="preserve">  综合管廊结构应在纵向设置变形缝，变形缝的设置应符合下列规定：</w:t>
      </w:r>
    </w:p>
    <w:p w14:paraId="2717E0F1">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结构纵向刚度突变处以及上覆荷载变化处或下卧土层突变处</w:t>
      </w:r>
      <w:r>
        <w:rPr>
          <w:rFonts w:ascii="Times New Roman" w:hAnsi="Times New Roman" w:eastAsia="方正书宋简体" w:cs="Times New Roman"/>
          <w:color w:val="000000" w:themeColor="text1"/>
          <w:spacing w:val="-34"/>
          <w:highlight w:val="none"/>
          <w14:textFill>
            <w14:solidFill>
              <w14:schemeClr w14:val="tx1"/>
            </w14:solidFill>
          </w14:textFill>
        </w:rPr>
        <w:t>，</w:t>
      </w:r>
      <w:r>
        <w:rPr>
          <w:rFonts w:ascii="Times New Roman" w:hAnsi="Times New Roman" w:eastAsia="方正书宋简体" w:cs="Times New Roman"/>
          <w:color w:val="000000" w:themeColor="text1"/>
          <w:highlight w:val="none"/>
          <w14:textFill>
            <w14:solidFill>
              <w14:schemeClr w14:val="tx1"/>
            </w14:solidFill>
          </w14:textFill>
        </w:rPr>
        <w:t>应设置变形缝；</w:t>
      </w:r>
    </w:p>
    <w:p w14:paraId="17D069CA">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现浇混凝土综合管廊结构变形缝的最大间距应为30m；</w:t>
      </w:r>
    </w:p>
    <w:p w14:paraId="7CCB03FC">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变形缝的缝宽不宜小于30mm；</w:t>
      </w:r>
    </w:p>
    <w:p w14:paraId="642EAC8A">
      <w:pPr>
        <w:pStyle w:val="42"/>
        <w:overflowPunct w:val="0"/>
        <w:spacing w:line="336" w:lineRule="exact"/>
        <w:ind w:firstLine="316" w:firstLineChars="150"/>
        <w:rPr>
          <w:rFonts w:ascii="Times New Roman" w:hAnsi="Times New Roman" w:eastAsia="方正书宋简体" w:cs="Times New Roman"/>
          <w:color w:val="000000" w:themeColor="text1"/>
          <w:spacing w:val="-6"/>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变</w:t>
      </w:r>
      <w:r>
        <w:rPr>
          <w:rFonts w:ascii="Times New Roman" w:hAnsi="Times New Roman" w:eastAsia="方正书宋简体" w:cs="Times New Roman"/>
          <w:color w:val="000000" w:themeColor="text1"/>
          <w:spacing w:val="-6"/>
          <w:highlight w:val="none"/>
          <w14:textFill>
            <w14:solidFill>
              <w14:schemeClr w14:val="tx1"/>
            </w14:solidFill>
          </w14:textFill>
        </w:rPr>
        <w:t>形缝应设置橡胶止水带、填缝材料及嵌缝材料等止水构造；</w:t>
      </w:r>
    </w:p>
    <w:p w14:paraId="6EE6E946">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柔性承插式接头的止水构造宜采用双橡胶圈。</w:t>
      </w:r>
    </w:p>
    <w:p w14:paraId="2289934B">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7.6.2</w:t>
      </w:r>
      <w:r>
        <w:rPr>
          <w:rFonts w:ascii="Times New Roman" w:hAnsi="Times New Roman" w:eastAsia="方正书宋简体" w:cs="Times New Roman"/>
          <w:bCs/>
          <w:color w:val="000000" w:themeColor="text1"/>
          <w:spacing w:val="7"/>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混凝土综合管廊结构主要承重侧壁的厚度不宜小于250mm；非承重侧壁和隔墙等构件的厚度不宜小于200mm。</w:t>
      </w:r>
    </w:p>
    <w:p w14:paraId="1357ADE5">
      <w:pPr>
        <w:overflowPunct w:val="0"/>
        <w:spacing w:line="336" w:lineRule="exact"/>
        <w:rPr>
          <w:rFonts w:ascii="Times New Roman" w:hAnsi="Times New Roman" w:eastAsia="方正书宋简体" w:cs="Times New Roman"/>
          <w:bCs/>
          <w:highlight w:val="none"/>
          <w:bdr w:val="single" w:color="auto" w:sz="4" w:space="0"/>
        </w:rPr>
      </w:pPr>
      <w:r>
        <w:rPr>
          <w:rFonts w:ascii="Times New Roman" w:hAnsi="Times New Roman" w:eastAsia="方正书宋简体" w:cs="Times New Roman"/>
          <w:b/>
          <w:bCs/>
          <w:color w:val="000000" w:themeColor="text1"/>
          <w:highlight w:val="none"/>
          <w14:textFill>
            <w14:solidFill>
              <w14:schemeClr w14:val="tx1"/>
            </w14:solidFill>
          </w14:textFill>
        </w:rPr>
        <w:t>7.6.3</w:t>
      </w:r>
      <w:r>
        <w:rPr>
          <w:rFonts w:ascii="Times New Roman" w:hAnsi="Times New Roman" w:eastAsia="方正书宋简体" w:cs="Times New Roman"/>
          <w:color w:val="000000" w:themeColor="text1"/>
          <w:highlight w:val="none"/>
          <w14:textFill>
            <w14:solidFill>
              <w14:schemeClr w14:val="tx1"/>
            </w14:solidFill>
          </w14:textFill>
        </w:rPr>
        <w:t xml:space="preserve">  混凝土综合管廊结构中钢筋的混凝土保护层厚度</w:t>
      </w:r>
      <w:r>
        <w:rPr>
          <w:rFonts w:ascii="Times New Roman" w:hAnsi="Times New Roman" w:eastAsia="方正书宋简体" w:cs="Times New Roman"/>
          <w:color w:val="000000" w:themeColor="text1"/>
          <w:spacing w:val="-51"/>
          <w:highlight w:val="none"/>
          <w14:textFill>
            <w14:solidFill>
              <w14:schemeClr w14:val="tx1"/>
            </w14:solidFill>
          </w14:textFill>
        </w:rPr>
        <w:t>，</w:t>
      </w:r>
      <w:r>
        <w:rPr>
          <w:rFonts w:ascii="Times New Roman" w:hAnsi="Times New Roman" w:eastAsia="方正书宋简体" w:cs="Times New Roman"/>
          <w:color w:val="000000" w:themeColor="text1"/>
          <w:highlight w:val="none"/>
          <w14:textFill>
            <w14:solidFill>
              <w14:schemeClr w14:val="tx1"/>
            </w14:solidFill>
          </w14:textFill>
        </w:rPr>
        <w:t>结构迎</w:t>
      </w:r>
      <w:r>
        <w:rPr>
          <w:rFonts w:ascii="Times New Roman" w:hAnsi="Times New Roman" w:eastAsia="方正书宋简体" w:cs="Times New Roman"/>
          <w:color w:val="000000" w:themeColor="text1"/>
          <w:spacing w:val="-51"/>
          <w:highlight w:val="none"/>
          <w14:textFill>
            <w14:solidFill>
              <w14:schemeClr w14:val="tx1"/>
            </w14:solidFill>
          </w14:textFill>
        </w:rPr>
        <w:t>土</w:t>
      </w:r>
      <w:r>
        <w:rPr>
          <w:rFonts w:ascii="Times New Roman" w:hAnsi="Times New Roman" w:eastAsia="方正书宋简体" w:cs="Times New Roman"/>
          <w:color w:val="000000" w:themeColor="text1"/>
          <w:spacing w:val="-3"/>
          <w:highlight w:val="none"/>
          <w14:textFill>
            <w14:solidFill>
              <w14:schemeClr w14:val="tx1"/>
            </w14:solidFill>
          </w14:textFill>
        </w:rPr>
        <w:t>（</w:t>
      </w:r>
      <w:r>
        <w:rPr>
          <w:rFonts w:ascii="Times New Roman" w:hAnsi="Times New Roman" w:eastAsia="方正书宋简体" w:cs="Times New Roman"/>
          <w:color w:val="000000" w:themeColor="text1"/>
          <w:highlight w:val="none"/>
          <w14:textFill>
            <w14:solidFill>
              <w14:schemeClr w14:val="tx1"/>
            </w14:solidFill>
          </w14:textFill>
        </w:rPr>
        <w:t>水</w:t>
      </w:r>
      <w:r>
        <w:rPr>
          <w:rFonts w:ascii="Times New Roman" w:hAnsi="Times New Roman" w:eastAsia="方正书宋简体" w:cs="Times New Roman"/>
          <w:color w:val="000000" w:themeColor="text1"/>
          <w:spacing w:val="-51"/>
          <w:highlight w:val="none"/>
          <w14:textFill>
            <w14:solidFill>
              <w14:schemeClr w14:val="tx1"/>
            </w14:solidFill>
          </w14:textFill>
        </w:rPr>
        <w:t>）</w:t>
      </w:r>
      <w:r>
        <w:rPr>
          <w:rFonts w:ascii="Times New Roman" w:hAnsi="Times New Roman" w:eastAsia="方正书宋简体" w:cs="Times New Roman"/>
          <w:color w:val="000000" w:themeColor="text1"/>
          <w:highlight w:val="none"/>
          <w14:textFill>
            <w14:solidFill>
              <w14:schemeClr w14:val="tx1"/>
            </w14:solidFill>
          </w14:textFill>
        </w:rPr>
        <w:t>面不应小于50mm</w:t>
      </w:r>
      <w:r>
        <w:rPr>
          <w:rFonts w:ascii="Times New Roman" w:hAnsi="Times New Roman" w:eastAsia="方正书宋简体" w:cs="Times New Roman"/>
          <w:color w:val="000000" w:themeColor="text1"/>
          <w:spacing w:val="-24"/>
          <w:highlight w:val="none"/>
          <w14:textFill>
            <w14:solidFill>
              <w14:schemeClr w14:val="tx1"/>
            </w14:solidFill>
          </w14:textFill>
        </w:rPr>
        <w:t>，</w:t>
      </w:r>
      <w:r>
        <w:rPr>
          <w:rFonts w:ascii="Times New Roman" w:hAnsi="Times New Roman" w:eastAsia="方正书宋简体" w:cs="Times New Roman"/>
          <w:color w:val="000000" w:themeColor="text1"/>
          <w:highlight w:val="none"/>
          <w14:textFill>
            <w14:solidFill>
              <w14:schemeClr w14:val="tx1"/>
            </w14:solidFill>
          </w14:textFill>
        </w:rPr>
        <w:t>结构其他部位应根据环境条件和耐久性要求并按现行国家标</w:t>
      </w:r>
      <w:r>
        <w:rPr>
          <w:rFonts w:ascii="Times New Roman" w:hAnsi="Times New Roman" w:eastAsia="方正书宋简体" w:cs="Times New Roman"/>
          <w:color w:val="000000" w:themeColor="text1"/>
          <w:spacing w:val="-24"/>
          <w:highlight w:val="none"/>
          <w14:textFill>
            <w14:solidFill>
              <w14:schemeClr w14:val="tx1"/>
            </w14:solidFill>
          </w14:textFill>
        </w:rPr>
        <w:t>准</w:t>
      </w:r>
      <w:r>
        <w:rPr>
          <w:rFonts w:ascii="Times New Roman" w:hAnsi="Times New Roman" w:cs="Times New Roman"/>
          <w:color w:val="000000" w:themeColor="text1"/>
          <w:highlight w:val="none"/>
          <w:u w:val="none"/>
          <w14:textFill>
            <w14:solidFill>
              <w14:schemeClr w14:val="tx1"/>
            </w14:solidFill>
          </w14:textFill>
        </w:rPr>
        <w:t>《混凝土结构设计标准》GB/T 50010</w:t>
      </w:r>
      <w:r>
        <w:rPr>
          <w:rFonts w:ascii="Times New Roman" w:hAnsi="Times New Roman" w:eastAsia="方正书宋简体" w:cs="Times New Roman"/>
          <w:color w:val="000000" w:themeColor="text1"/>
          <w:highlight w:val="none"/>
          <w14:textFill>
            <w14:solidFill>
              <w14:schemeClr w14:val="tx1"/>
            </w14:solidFill>
          </w14:textFill>
        </w:rPr>
        <w:t>的有关规定确定。</w:t>
      </w:r>
    </w:p>
    <w:p w14:paraId="049410BE">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7.6.</w:t>
      </w:r>
      <w:r>
        <w:rPr>
          <w:rFonts w:hint="eastAsia" w:ascii="Times New Roman" w:hAnsi="Times New Roman" w:eastAsia="方正书宋简体" w:cs="Times New Roman"/>
          <w:b/>
          <w:bCs/>
          <w:color w:val="000000" w:themeColor="text1"/>
          <w:spacing w:val="-1"/>
          <w:highlight w:val="none"/>
          <w:lang w:val="en-US" w:eastAsia="zh-CN"/>
          <w14:textFill>
            <w14:solidFill>
              <w14:schemeClr w14:val="tx1"/>
            </w14:solidFill>
          </w14:textFill>
        </w:rPr>
        <w:t>4</w:t>
      </w:r>
      <w:r>
        <w:rPr>
          <w:rFonts w:ascii="Times New Roman" w:hAnsi="Times New Roman" w:eastAsia="方正书宋简体" w:cs="Times New Roman"/>
          <w:b/>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spacing w:val="7"/>
          <w:highlight w:val="none"/>
          <w14:textFill>
            <w14:solidFill>
              <w14:schemeClr w14:val="tx1"/>
            </w14:solidFill>
          </w14:textFill>
        </w:rPr>
        <w:t>矩形混凝土截面综合管廊结构顶、底板与侧墙连接处宜设置边宽不小于</w:t>
      </w:r>
      <w:r>
        <w:rPr>
          <w:rFonts w:ascii="Times New Roman" w:hAnsi="Times New Roman" w:eastAsia="方正书宋简体" w:cs="Times New Roman"/>
          <w:bCs/>
          <w:color w:val="000000" w:themeColor="text1"/>
          <w:highlight w:val="none"/>
          <w14:textFill>
            <w14:solidFill>
              <w14:schemeClr w14:val="tx1"/>
            </w14:solidFill>
          </w14:textFill>
        </w:rPr>
        <w:t>150mm腋角，腋角内八字斜钢筋的直径宜与侧墙的竖向钢筋相同，间距可为侧墙竖向钢筋间距的2倍</w:t>
      </w:r>
      <w:r>
        <w:rPr>
          <w:rFonts w:ascii="Times New Roman" w:hAnsi="Times New Roman" w:eastAsia="方正书宋简体" w:cs="Times New Roman"/>
          <w:bCs/>
          <w:color w:val="000000" w:themeColor="text1"/>
          <w:spacing w:val="-48"/>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如因管线敷设需要无法设置腋角时</w:t>
      </w:r>
      <w:r>
        <w:rPr>
          <w:rFonts w:ascii="Times New Roman" w:hAnsi="Times New Roman" w:eastAsia="方正书宋简体" w:cs="Times New Roman"/>
          <w:bCs/>
          <w:color w:val="000000" w:themeColor="text1"/>
          <w:spacing w:val="-48"/>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应适当加</w:t>
      </w:r>
      <w:r>
        <w:rPr>
          <w:rFonts w:ascii="Times New Roman" w:hAnsi="Times New Roman" w:eastAsia="方正书宋简体" w:cs="Times New Roman"/>
          <w:bCs/>
          <w:color w:val="000000" w:themeColor="text1"/>
          <w:spacing w:val="1"/>
          <w:highlight w:val="none"/>
          <w14:textFill>
            <w14:solidFill>
              <w14:schemeClr w14:val="tx1"/>
            </w14:solidFill>
          </w14:textFill>
        </w:rPr>
        <w:t>大</w:t>
      </w:r>
      <w:r>
        <w:rPr>
          <w:rFonts w:ascii="Times New Roman" w:hAnsi="Times New Roman" w:eastAsia="方正书宋简体" w:cs="Times New Roman"/>
          <w:bCs/>
          <w:color w:val="000000" w:themeColor="text1"/>
          <w:highlight w:val="none"/>
          <w14:textFill>
            <w14:solidFill>
              <w14:schemeClr w14:val="tx1"/>
            </w14:solidFill>
          </w14:textFill>
        </w:rPr>
        <w:t>拐角处的配筋量。</w:t>
      </w:r>
    </w:p>
    <w:p w14:paraId="5E261B05">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7.6.</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bCs/>
          <w:color w:val="000000" w:themeColor="text1"/>
          <w:highlight w:val="none"/>
          <w14:textFill>
            <w14:solidFill>
              <w14:schemeClr w14:val="tx1"/>
            </w14:solidFill>
          </w14:textFill>
        </w:rPr>
        <w:t xml:space="preserve">  预制构件与后浇混凝土</w:t>
      </w:r>
      <w:r>
        <w:rPr>
          <w:rFonts w:ascii="Times New Roman" w:hAnsi="Times New Roman" w:eastAsia="方正书宋简体" w:cs="Times New Roman"/>
          <w:bCs/>
          <w:color w:val="000000" w:themeColor="text1"/>
          <w:spacing w:val="-51"/>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灌浆料</w:t>
      </w:r>
      <w:r>
        <w:rPr>
          <w:rFonts w:ascii="Times New Roman" w:hAnsi="Times New Roman" w:eastAsia="方正书宋简体" w:cs="Times New Roman"/>
          <w:bCs/>
          <w:color w:val="000000" w:themeColor="text1"/>
          <w:spacing w:val="-51"/>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坐</w:t>
      </w:r>
      <w:r>
        <w:rPr>
          <w:rFonts w:ascii="Times New Roman" w:hAnsi="Times New Roman" w:eastAsia="方正书宋简体" w:cs="Times New Roman"/>
          <w:bCs/>
          <w:color w:val="000000" w:themeColor="text1"/>
          <w:spacing w:val="-3"/>
          <w:highlight w:val="none"/>
          <w14:textFill>
            <w14:solidFill>
              <w14:schemeClr w14:val="tx1"/>
            </w14:solidFill>
          </w14:textFill>
        </w:rPr>
        <w:t>浆</w:t>
      </w:r>
      <w:r>
        <w:rPr>
          <w:rFonts w:ascii="Times New Roman" w:hAnsi="Times New Roman" w:eastAsia="方正书宋简体" w:cs="Times New Roman"/>
          <w:bCs/>
          <w:color w:val="000000" w:themeColor="text1"/>
          <w:highlight w:val="none"/>
          <w14:textFill>
            <w14:solidFill>
              <w14:schemeClr w14:val="tx1"/>
            </w14:solidFill>
          </w14:textFill>
        </w:rPr>
        <w:t>材料的结合面应设置粗糙面</w:t>
      </w:r>
      <w:r>
        <w:rPr>
          <w:rFonts w:ascii="Times New Roman" w:hAnsi="Times New Roman" w:eastAsia="方正书宋简体" w:cs="Times New Roman"/>
          <w:bCs/>
          <w:color w:val="000000" w:themeColor="text1"/>
          <w:spacing w:val="-51"/>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根据设计需要设置键槽</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粗糙面</w:t>
      </w:r>
      <w:r>
        <w:rPr>
          <w:rFonts w:ascii="Times New Roman" w:hAnsi="Times New Roman" w:eastAsia="方正书宋简体" w:cs="Times New Roman"/>
          <w:bCs/>
          <w:color w:val="000000" w:themeColor="text1"/>
          <w:spacing w:val="-32"/>
          <w:highlight w:val="none"/>
          <w14:textFill>
            <w14:solidFill>
              <w14:schemeClr w14:val="tx1"/>
            </w14:solidFill>
          </w14:textFill>
        </w:rPr>
        <w:t>、</w:t>
      </w:r>
      <w:r>
        <w:rPr>
          <w:rFonts w:ascii="Times New Roman" w:hAnsi="Times New Roman" w:eastAsia="方正书宋简体" w:cs="Times New Roman"/>
          <w:bCs/>
          <w:color w:val="000000" w:themeColor="text1"/>
          <w:highlight w:val="none"/>
          <w14:textFill>
            <w14:solidFill>
              <w14:schemeClr w14:val="tx1"/>
            </w14:solidFill>
          </w14:textFill>
        </w:rPr>
        <w:t>键槽的设置应符合现行行业标</w:t>
      </w:r>
      <w:r>
        <w:rPr>
          <w:rFonts w:ascii="Times New Roman" w:hAnsi="Times New Roman" w:eastAsia="方正书宋简体" w:cs="Times New Roman"/>
          <w:bCs/>
          <w:color w:val="000000" w:themeColor="text1"/>
          <w:spacing w:val="-32"/>
          <w:highlight w:val="none"/>
          <w14:textFill>
            <w14:solidFill>
              <w14:schemeClr w14:val="tx1"/>
            </w14:solidFill>
          </w14:textFill>
        </w:rPr>
        <w:t>准</w:t>
      </w:r>
      <w:r>
        <w:rPr>
          <w:rFonts w:ascii="Times New Roman" w:hAnsi="Times New Roman" w:eastAsia="方正书宋简体" w:cs="Times New Roman"/>
          <w:bCs/>
          <w:color w:val="000000" w:themeColor="text1"/>
          <w:highlight w:val="none"/>
          <w14:textFill>
            <w14:solidFill>
              <w14:schemeClr w14:val="tx1"/>
            </w14:solidFill>
          </w14:textFill>
        </w:rPr>
        <w:t>《装配式混凝土结构</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技术规程》JGJ </w:t>
      </w:r>
      <w:r>
        <w:rPr>
          <w:rFonts w:ascii="Times New Roman" w:hAnsi="Times New Roman" w:eastAsia="方正书宋简体" w:cs="Times New Roman"/>
          <w:bCs/>
          <w:color w:val="000000" w:themeColor="text1"/>
          <w:highlight w:val="none"/>
          <w14:textFill>
            <w14:solidFill>
              <w14:schemeClr w14:val="tx1"/>
            </w14:solidFill>
          </w14:textFill>
        </w:rPr>
        <w:t>1</w:t>
      </w:r>
      <w:r>
        <w:rPr>
          <w:rFonts w:ascii="Times New Roman" w:hAnsi="Times New Roman" w:eastAsia="方正书宋简体" w:cs="Times New Roman"/>
          <w:bCs/>
          <w:color w:val="000000" w:themeColor="text1"/>
          <w:spacing w:val="-1"/>
          <w:highlight w:val="none"/>
          <w14:textFill>
            <w14:solidFill>
              <w14:schemeClr w14:val="tx1"/>
            </w14:solidFill>
          </w14:textFill>
        </w:rPr>
        <w:t>的有关规定。</w:t>
      </w:r>
    </w:p>
    <w:p w14:paraId="10075741">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spacing w:val="-1"/>
          <w:highlight w:val="none"/>
          <w14:textFill>
            <w14:solidFill>
              <w14:schemeClr w14:val="tx1"/>
            </w14:solidFill>
          </w14:textFill>
        </w:rPr>
        <w:t>7.6.</w:t>
      </w:r>
      <w:r>
        <w:rPr>
          <w:rFonts w:hint="eastAsia" w:ascii="Times New Roman" w:hAnsi="Times New Roman" w:eastAsia="方正书宋简体" w:cs="Times New Roman"/>
          <w:b/>
          <w:bCs/>
          <w:color w:val="000000" w:themeColor="text1"/>
          <w:spacing w:val="-1"/>
          <w:highlight w:val="none"/>
          <w:lang w:val="en-US" w:eastAsia="zh-CN"/>
          <w14:textFill>
            <w14:solidFill>
              <w14:schemeClr w14:val="tx1"/>
            </w14:solidFill>
          </w14:textFill>
        </w:rPr>
        <w:t>6</w:t>
      </w:r>
      <w:r>
        <w:rPr>
          <w:rFonts w:ascii="Times New Roman" w:hAnsi="Times New Roman" w:eastAsia="方正书宋简体" w:cs="Times New Roman"/>
          <w:bCs/>
          <w:color w:val="000000" w:themeColor="text1"/>
          <w:spacing w:val="-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14:textFill>
            <w14:solidFill>
              <w14:schemeClr w14:val="tx1"/>
            </w14:solidFill>
          </w14:textFill>
        </w:rPr>
        <w:t>综合管廊的附属设施宜采用预埋件与主体结构连接，附属设施与预埋件宜采用装配式。</w:t>
      </w:r>
    </w:p>
    <w:p w14:paraId="47DA4B82">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7.7</w:t>
      </w:r>
      <w:r>
        <w:rPr>
          <w:rFonts w:ascii="Times New Roman" w:hAnsi="Times New Roman" w:eastAsia="方正黑体简体" w:cs="Times New Roman"/>
          <w:bCs/>
          <w:color w:val="000000" w:themeColor="text1"/>
          <w:highlight w:val="none"/>
          <w14:textFill>
            <w14:solidFill>
              <w14:schemeClr w14:val="tx1"/>
            </w14:solidFill>
          </w14:textFill>
        </w:rPr>
        <w:t xml:space="preserve">  地 基 处 理</w:t>
      </w:r>
    </w:p>
    <w:p w14:paraId="54B8241A">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7.7.1</w:t>
      </w:r>
      <w:r>
        <w:rPr>
          <w:rFonts w:ascii="Times New Roman" w:hAnsi="Times New Roman" w:eastAsia="方正书宋简体" w:cs="Times New Roman"/>
          <w:bCs/>
          <w:color w:val="000000" w:themeColor="text1"/>
          <w:highlight w:val="none"/>
          <w14:textFill>
            <w14:solidFill>
              <w14:schemeClr w14:val="tx1"/>
            </w14:solidFill>
          </w14:textFill>
        </w:rPr>
        <w:t xml:space="preserve">  综合管廊的地基基础设计，应根据场地的工程地质条件、结构荷载、施工方法、基坑支护等条件综合选择合适的设计方案。</w:t>
      </w:r>
    </w:p>
    <w:p w14:paraId="0740EC9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7.7.2</w:t>
      </w:r>
      <w:r>
        <w:rPr>
          <w:rFonts w:ascii="Times New Roman" w:hAnsi="Times New Roman" w:eastAsia="方正书宋简体" w:cs="Times New Roman"/>
          <w:bCs/>
          <w:color w:val="000000" w:themeColor="text1"/>
          <w:highlight w:val="none"/>
          <w14:textFill>
            <w14:solidFill>
              <w14:schemeClr w14:val="tx1"/>
            </w14:solidFill>
          </w14:textFill>
        </w:rPr>
        <w:t xml:space="preserve">  综合管廊的地基基础承载力计算应符合《建筑地基基础设计规范》GB 50007的规定。</w:t>
      </w:r>
    </w:p>
    <w:p w14:paraId="5432D72B">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7.7.3</w:t>
      </w:r>
      <w:r>
        <w:rPr>
          <w:rFonts w:ascii="Times New Roman" w:hAnsi="Times New Roman" w:eastAsia="方正书宋简体" w:cs="Times New Roman"/>
          <w:bCs/>
          <w:color w:val="000000" w:themeColor="text1"/>
          <w:highlight w:val="none"/>
          <w14:textFill>
            <w14:solidFill>
              <w14:schemeClr w14:val="tx1"/>
            </w14:solidFill>
          </w14:textFill>
        </w:rPr>
        <w:t xml:space="preserve">  综合管廊的基础持力层存在不均匀分布的土层时，应考虑地基的不均匀沉降，进行地基的变形计算，并控制综合管廊的沉降量和沉降差。当缺乏实测资料时，综合管廊的平均沉降量不宜大于100mm，沉降差不宜大于0.005b。</w:t>
      </w:r>
    </w:p>
    <w:p w14:paraId="2CEA27A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7.7.4</w:t>
      </w:r>
      <w:r>
        <w:rPr>
          <w:rFonts w:ascii="Times New Roman" w:hAnsi="Times New Roman" w:eastAsia="方正书宋简体" w:cs="Times New Roman"/>
          <w:bCs/>
          <w:color w:val="000000" w:themeColor="text1"/>
          <w:highlight w:val="none"/>
          <w14:textFill>
            <w14:solidFill>
              <w14:schemeClr w14:val="tx1"/>
            </w14:solidFill>
          </w14:textFill>
        </w:rPr>
        <w:t xml:space="preserve">  在湿陷性黄土地区建造综合管廊工程时应符合下列规定：</w:t>
      </w:r>
    </w:p>
    <w:p w14:paraId="0DACC480">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综合管廊工程应消除地基的部分湿陷量。地基处理方法可选用换填垫层法或挤密法；</w:t>
      </w:r>
    </w:p>
    <w:p w14:paraId="3B39A63A">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湿陷性黄土地基应采取整片处理，其处理范围应大于综合管廊基础边缘，超出基础边缘的宽度，每边不宜小于处理土层厚度的1/2，并不小于1m；</w:t>
      </w:r>
    </w:p>
    <w:p w14:paraId="0D155CBD">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非自重湿陷性场地，地基处理厚度不应小于1m，且下部未处理湿陷性黄土的起始压力不小于100kpa；自重湿陷性场地，地基处理的厚度不应小于2.5m，且下部未处理湿陷黄土层的剩余湿陷量，不应大于200mm；</w:t>
      </w:r>
    </w:p>
    <w:p w14:paraId="3F74C0AF">
      <w:pPr>
        <w:pStyle w:val="42"/>
        <w:overflowPunct w:val="0"/>
        <w:spacing w:line="336"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若采用土（灰土）换填时，土（灰土）应分层压实，压实系数不小于0.97</w:t>
      </w:r>
      <w:r>
        <w:rPr>
          <w:rFonts w:hint="eastAsia" w:ascii="Times New Roman" w:hAnsi="Times New Roman" w:eastAsia="方正书宋简体" w:cs="Times New Roman"/>
          <w:color w:val="000000" w:themeColor="text1"/>
          <w:highlight w:val="none"/>
          <w:u w:val="none"/>
          <w14:textFill>
            <w14:solidFill>
              <w14:schemeClr w14:val="tx1"/>
            </w14:solidFill>
          </w14:textFill>
        </w:rPr>
        <w:t>；</w:t>
      </w:r>
    </w:p>
    <w:p w14:paraId="4F59E1A3">
      <w:pPr>
        <w:pStyle w:val="42"/>
        <w:overflowPunct w:val="0"/>
        <w:spacing w:line="336"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管廊两侧基槽宜采用灰土回填，压实系数不小于0.94。</w:t>
      </w:r>
    </w:p>
    <w:p w14:paraId="233C7079">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7.7.5</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在液化土层地区建造综合管廊工程时应符合下列规定：</w:t>
      </w:r>
    </w:p>
    <w:p w14:paraId="6996CF2E">
      <w:pPr>
        <w:pStyle w:val="42"/>
        <w:tabs>
          <w:tab w:val="center" w:pos="4153"/>
        </w:tabs>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 xml:space="preserve"> 液化土层的判别深度取为地面下15m</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A649CA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当场地的液化等级判别为轻微或中等时，应采取部分消除液化沉陷措施；当场地的液化等级判别为严重时，应采取全部消除液化沉陷措施。</w:t>
      </w:r>
    </w:p>
    <w:p w14:paraId="74F730AB">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7.7.6</w:t>
      </w:r>
      <w:r>
        <w:rPr>
          <w:rFonts w:ascii="Times New Roman" w:hAnsi="Times New Roman" w:eastAsia="方正书宋简体" w:cs="Times New Roman"/>
          <w:bCs/>
          <w:color w:val="000000" w:themeColor="text1"/>
          <w:highlight w:val="none"/>
          <w14:textFill>
            <w14:solidFill>
              <w14:schemeClr w14:val="tx1"/>
            </w14:solidFill>
          </w14:textFill>
        </w:rPr>
        <w:t xml:space="preserve">  利用软弱土层作为持力层时，当地基的承载力或变形不能满足要求时，地基处理可选用机械压实、堆载预压、真空预压、换填垫层、强夯法或复合地基的方法进行处理。</w:t>
      </w:r>
    </w:p>
    <w:p w14:paraId="12ADDB66">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7.7.7</w:t>
      </w:r>
      <w:r>
        <w:rPr>
          <w:rFonts w:ascii="Times New Roman" w:hAnsi="Times New Roman" w:eastAsia="方正书宋简体" w:cs="Times New Roman"/>
          <w:bCs/>
          <w:color w:val="000000" w:themeColor="text1"/>
          <w:highlight w:val="none"/>
          <w14:textFill>
            <w14:solidFill>
              <w14:schemeClr w14:val="tx1"/>
            </w14:solidFill>
          </w14:textFill>
        </w:rPr>
        <w:t xml:space="preserve">  综合管廊工程的人工地基应进行施工验收检测。检测点的数量应根据综合管廊的规模、荷载大小、地基的复杂情况等因素综合确定。施工验收的方法及检验点的数量可参照《建筑地基处理技术规范》JGJ 79确定。当地质条件简单时，以100m~150m长度为一个单位工程；当地质条件复杂时，以50m~100m长度为一个单位工程。</w:t>
      </w:r>
    </w:p>
    <w:p w14:paraId="754511B6">
      <w:pPr>
        <w:keepNext/>
        <w:spacing w:before="156" w:beforeLines="50" w:after="156" w:afterLines="50" w:line="348" w:lineRule="exact"/>
        <w:jc w:val="center"/>
        <w:outlineLvl w:val="1"/>
        <w:rPr>
          <w:rFonts w:ascii="Times New Roman" w:hAnsi="Times New Roman" w:eastAsia="方正黑体简体" w:cs="Times New Roman"/>
          <w:b/>
          <w:bCs/>
          <w:color w:val="000000" w:themeColor="text1"/>
          <w:highlight w:val="none"/>
          <w14:textFill>
            <w14:solidFill>
              <w14:schemeClr w14:val="tx1"/>
            </w14:solidFill>
          </w14:textFill>
        </w:rPr>
      </w:pPr>
      <w:r>
        <w:rPr>
          <w:rFonts w:ascii="Times New Roman" w:hAnsi="Times New Roman" w:eastAsia="方正黑体简体" w:cs="Times New Roman"/>
          <w:b/>
          <w:color w:val="000000" w:themeColor="text1"/>
          <w:highlight w:val="none"/>
          <w14:textFill>
            <w14:solidFill>
              <w14:schemeClr w14:val="tx1"/>
            </w14:solidFill>
          </w14:textFill>
        </w:rPr>
        <w:t>7.8</w:t>
      </w:r>
      <w:r>
        <w:rPr>
          <w:rFonts w:ascii="Times New Roman" w:hAnsi="Times New Roman" w:eastAsia="方正黑体简体" w:cs="Times New Roman"/>
          <w:bCs/>
          <w:color w:val="000000" w:themeColor="text1"/>
          <w:highlight w:val="none"/>
          <w14:textFill>
            <w14:solidFill>
              <w14:schemeClr w14:val="tx1"/>
            </w14:solidFill>
          </w14:textFill>
        </w:rPr>
        <w:t xml:space="preserve">  基 坑 设 计</w:t>
      </w:r>
    </w:p>
    <w:p w14:paraId="0A07C9E1">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7.8.1 </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基坑支护的设计</w:t>
      </w:r>
      <w:r>
        <w:rPr>
          <w:rFonts w:hint="eastAsia" w:ascii="Times New Roman" w:hAnsi="Times New Roman" w:eastAsia="方正书宋简体" w:cs="Times New Roman"/>
          <w:bCs/>
          <w:color w:val="000000" w:themeColor="text1"/>
          <w:highlight w:val="none"/>
          <w:u w:val="none"/>
          <w14:textFill>
            <w14:solidFill>
              <w14:schemeClr w14:val="tx1"/>
            </w14:solidFill>
          </w14:textFill>
        </w:rPr>
        <w:t>工作年限</w:t>
      </w:r>
      <w:r>
        <w:rPr>
          <w:rFonts w:ascii="Times New Roman" w:hAnsi="Times New Roman" w:eastAsia="方正书宋简体" w:cs="Times New Roman"/>
          <w:bCs/>
          <w:color w:val="000000" w:themeColor="text1"/>
          <w:highlight w:val="none"/>
          <w14:textFill>
            <w14:solidFill>
              <w14:schemeClr w14:val="tx1"/>
            </w14:solidFill>
          </w14:textFill>
        </w:rPr>
        <w:t>不应小于一年。</w:t>
      </w:r>
    </w:p>
    <w:p w14:paraId="5E6BC4C7">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7.8.2</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基坑支护应满足下列功能要求：</w:t>
      </w:r>
    </w:p>
    <w:p w14:paraId="1FB7A1DE">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保证基坑周边建（构）筑物、地下管线、道路的安全和正常使用；</w:t>
      </w:r>
    </w:p>
    <w:p w14:paraId="7AF5FFAA">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保证主体地下结构的施工空间。</w:t>
      </w:r>
    </w:p>
    <w:p w14:paraId="2DB56B64">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7.8.3</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基坑支护设计时，应综合考虑基坑周边环境和地质条件的复杂程度、基坑深度等因素，按表7.8.3采用支护结构的安全等级。对同一基坑的不同部位，可采用不同的安全等级。</w:t>
      </w:r>
    </w:p>
    <w:p w14:paraId="2974DB0C">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7.8.3</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支护结构的安全等级</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20"/>
        <w:gridCol w:w="5003"/>
      </w:tblGrid>
      <w:tr w14:paraId="490AA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vAlign w:val="center"/>
          </w:tcPr>
          <w:p w14:paraId="59129C7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安全等级</w:t>
            </w:r>
          </w:p>
        </w:tc>
        <w:tc>
          <w:tcPr>
            <w:tcW w:w="6983" w:type="dxa"/>
            <w:vAlign w:val="center"/>
          </w:tcPr>
          <w:p w14:paraId="4301949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破坏后果</w:t>
            </w:r>
          </w:p>
        </w:tc>
      </w:tr>
      <w:tr w14:paraId="4464D1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vAlign w:val="center"/>
          </w:tcPr>
          <w:p w14:paraId="0BB5B59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一级</w:t>
            </w:r>
          </w:p>
        </w:tc>
        <w:tc>
          <w:tcPr>
            <w:tcW w:w="6983" w:type="dxa"/>
          </w:tcPr>
          <w:p w14:paraId="36ED021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支护结构失败、土体过大变形对基坑周边环境或主体结构施工安全的影响很严重</w:t>
            </w:r>
          </w:p>
        </w:tc>
      </w:tr>
      <w:tr w14:paraId="70DE1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vAlign w:val="center"/>
          </w:tcPr>
          <w:p w14:paraId="2F64F185">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二级</w:t>
            </w:r>
          </w:p>
        </w:tc>
        <w:tc>
          <w:tcPr>
            <w:tcW w:w="6983" w:type="dxa"/>
          </w:tcPr>
          <w:p w14:paraId="4CF3641E">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支护结构失败、土体过大变形对基坑周边环境或主体结构施工安全的影响严重</w:t>
            </w:r>
          </w:p>
        </w:tc>
      </w:tr>
      <w:tr w14:paraId="29CDB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vAlign w:val="center"/>
          </w:tcPr>
          <w:p w14:paraId="40848A09">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三级</w:t>
            </w:r>
          </w:p>
        </w:tc>
        <w:tc>
          <w:tcPr>
            <w:tcW w:w="6983" w:type="dxa"/>
          </w:tcPr>
          <w:p w14:paraId="700BF53F">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支护结构失败、土体过大变形对基坑周边环境或主体结构施工安全的影响不严重</w:t>
            </w:r>
          </w:p>
        </w:tc>
      </w:tr>
    </w:tbl>
    <w:p w14:paraId="29E2FD6F">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7.8.4</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基坑支护设计内容应包括支护结构设计、降水设计、监控测量设计及质量验收要求。</w:t>
      </w:r>
    </w:p>
    <w:p w14:paraId="460A7E99">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7.8.5</w:t>
      </w:r>
      <w:r>
        <w:rPr>
          <w:rFonts w:ascii="Times New Roman" w:hAnsi="Times New Roman" w:eastAsia="方正书宋简体" w:cs="Times New Roman"/>
          <w:bCs/>
          <w:color w:val="000000" w:themeColor="text1"/>
          <w:highlight w:val="none"/>
          <w14:textFill>
            <w14:solidFill>
              <w14:schemeClr w14:val="tx1"/>
            </w14:solidFill>
          </w14:textFill>
        </w:rPr>
        <w:t xml:space="preserve">  支护结构设计时应采用下列极限状态：</w:t>
      </w:r>
    </w:p>
    <w:p w14:paraId="66555D44">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 xml:space="preserve"> 承载能力极限状态</w:t>
      </w:r>
    </w:p>
    <w:p w14:paraId="0E60C0DB">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1）支护结构构件或连接因超过材料强度而破坏，或因过度变形而不适于继续承受荷载，或出现压屈、局部失稳；</w:t>
      </w:r>
    </w:p>
    <w:p w14:paraId="07289FC0">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2）支护结构和土体整体滑动；</w:t>
      </w:r>
    </w:p>
    <w:p w14:paraId="300ABAD3">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3）坑底因隆起而丧失稳定；</w:t>
      </w:r>
    </w:p>
    <w:p w14:paraId="31AACE2E">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4）对支挡式结构，挡土构件因坑底土体丧失嵌固能力而推移或倾覆；</w:t>
      </w:r>
    </w:p>
    <w:p w14:paraId="39ABE46A">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5）对锚拉式支挡结构或土钉墙，锚杆或土钉因土体丧失锚固能力而拔动；</w:t>
      </w:r>
    </w:p>
    <w:p w14:paraId="35C2F28D">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6）对重力式水泥土墙，墙体倾覆或滑移；</w:t>
      </w:r>
    </w:p>
    <w:p w14:paraId="4037FDC2">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7）对重力式水泥土墙、支挡式结构，其持力土层因丧失承载能力而破坏；</w:t>
      </w:r>
    </w:p>
    <w:p w14:paraId="6B6F5D9D">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8）地下水渗流引起的土体渗透破坏。</w:t>
      </w:r>
    </w:p>
    <w:p w14:paraId="2A9F650A">
      <w:pPr>
        <w:pStyle w:val="42"/>
        <w:overflowPunct w:val="0"/>
        <w:spacing w:line="336"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正常使用极限状态</w:t>
      </w:r>
    </w:p>
    <w:p w14:paraId="7D26CA94">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1）造成基坑周边建（构）筑物、地下管线、道路等损坏或影响其正常使用的支护结构位移；</w:t>
      </w:r>
    </w:p>
    <w:p w14:paraId="37734162">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2）因地下水位下降、地下水渗流或施工因素而造成基坑周边建（构）筑物、地下管线、道路等损坏或影响其正常使用的土体变形；</w:t>
      </w:r>
    </w:p>
    <w:p w14:paraId="1A8743B5">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3）影响主体地下结构正常施工的支护结构位移；</w:t>
      </w:r>
    </w:p>
    <w:p w14:paraId="5219448D">
      <w:pPr>
        <w:overflowPunct w:val="0"/>
        <w:spacing w:line="336" w:lineRule="exact"/>
        <w:ind w:firstLine="633"/>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4）影响主体地下结构正常施工的地下水渗流。</w:t>
      </w:r>
    </w:p>
    <w:p w14:paraId="6C64CD51">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7.8.6</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基坑支护应按实际的基坑周边建筑物、地下管线、道路和施工荷载等条件进行设计。设计中应提出明确的基坑周边荷载限制、地下水和地表水控制等基坑使用要求。</w:t>
      </w:r>
    </w:p>
    <w:p w14:paraId="5CF869CB">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7.8.7</w:t>
      </w:r>
      <w:r>
        <w:rPr>
          <w:rFonts w:ascii="Times New Roman" w:hAnsi="Times New Roman" w:eastAsia="方正书宋简体" w:cs="Times New Roman"/>
          <w:bCs/>
          <w:color w:val="000000" w:themeColor="text1"/>
          <w:highlight w:val="none"/>
          <w14:textFill>
            <w14:solidFill>
              <w14:schemeClr w14:val="tx1"/>
            </w14:solidFill>
          </w14:textFill>
        </w:rPr>
        <w:t xml:space="preserve">  基坑支护设计应满足下列主体地下结构的施工要求：</w:t>
      </w:r>
    </w:p>
    <w:p w14:paraId="0A3C91F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基坑侧壁与主体地下结构的净空间和地下水控制应满足主体地下结构及其防水的施工要求；</w:t>
      </w:r>
    </w:p>
    <w:p w14:paraId="617C582D">
      <w:pPr>
        <w:pStyle w:val="42"/>
        <w:overflowPunct w:val="0"/>
        <w:spacing w:line="348" w:lineRule="exact"/>
        <w:ind w:firstLine="316" w:firstLineChars="150"/>
        <w:rPr>
          <w:rFonts w:ascii="Times New Roman" w:hAnsi="Times New Roman" w:eastAsia="方正书宋简体" w:cs="Times New Roman"/>
          <w:color w:val="000000" w:themeColor="text1"/>
          <w:spacing w:val="-6"/>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采</w:t>
      </w:r>
      <w:r>
        <w:rPr>
          <w:rFonts w:ascii="Times New Roman" w:hAnsi="Times New Roman" w:eastAsia="方正书宋简体" w:cs="Times New Roman"/>
          <w:color w:val="000000" w:themeColor="text1"/>
          <w:spacing w:val="-6"/>
          <w:highlight w:val="none"/>
          <w14:textFill>
            <w14:solidFill>
              <w14:schemeClr w14:val="tx1"/>
            </w14:solidFill>
          </w14:textFill>
        </w:rPr>
        <w:t>用锚杆时，锚杆的锚头及腰梁不应妨碍地下结构外墙的施工</w:t>
      </w:r>
      <w:r>
        <w:rPr>
          <w:rFonts w:ascii="Times New Roman" w:hAnsi="Times New Roman" w:eastAsia="方正书宋简体" w:cs="Times New Roman"/>
          <w:color w:val="000000" w:themeColor="text1"/>
          <w:highlight w:val="none"/>
          <w14:textFill>
            <w14:solidFill>
              <w14:schemeClr w14:val="tx1"/>
            </w14:solidFill>
          </w14:textFill>
        </w:rPr>
        <w:t>；</w:t>
      </w:r>
    </w:p>
    <w:p w14:paraId="52F4C26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采用内支撑时，内支撑及腰梁的设置应便于地下结构及其防水的施工。</w:t>
      </w:r>
    </w:p>
    <w:p w14:paraId="02E8A5D5">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7.8.8 </w:t>
      </w:r>
      <w:r>
        <w:rPr>
          <w:rFonts w:ascii="Times New Roman" w:hAnsi="Times New Roman" w:eastAsia="方正书宋简体" w:cs="Times New Roman"/>
          <w:bCs/>
          <w:color w:val="000000" w:themeColor="text1"/>
          <w:highlight w:val="none"/>
          <w14:textFill>
            <w14:solidFill>
              <w14:schemeClr w14:val="tx1"/>
            </w14:solidFill>
          </w14:textFill>
        </w:rPr>
        <w:t xml:space="preserve"> 在季节性冻土地区，支护结构设计应根据冻胀、冻融对支护结构受力和基坑侧壁的影响采取相应的措施。</w:t>
      </w:r>
    </w:p>
    <w:p w14:paraId="2414C6FA">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7.8.9</w:t>
      </w:r>
      <w:r>
        <w:rPr>
          <w:rFonts w:ascii="Times New Roman" w:hAnsi="Times New Roman" w:eastAsia="方正书宋简体" w:cs="Times New Roman"/>
          <w:bCs/>
          <w:color w:val="000000" w:themeColor="text1"/>
          <w:highlight w:val="none"/>
          <w14:textFill>
            <w14:solidFill>
              <w14:schemeClr w14:val="tx1"/>
            </w14:solidFill>
          </w14:textFill>
        </w:rPr>
        <w:t xml:space="preserve">  在湿陷性黄土地区，支护结构设计应根据湿陷性黄土由于浸</w:t>
      </w:r>
      <w:r>
        <w:rPr>
          <w:rFonts w:ascii="Times New Roman" w:hAnsi="Times New Roman" w:eastAsia="方正书宋简体" w:cs="Times New Roman"/>
          <w:bCs/>
          <w:color w:val="000000" w:themeColor="text1"/>
          <w:spacing w:val="-6"/>
          <w:highlight w:val="none"/>
          <w14:textFill>
            <w14:solidFill>
              <w14:schemeClr w14:val="tx1"/>
            </w14:solidFill>
          </w14:textFill>
        </w:rPr>
        <w:t>水可能产生的变形对支护结构受力和基坑侧壁的影响采取相应的措</w:t>
      </w:r>
      <w:r>
        <w:rPr>
          <w:rFonts w:ascii="Times New Roman" w:hAnsi="Times New Roman" w:eastAsia="方正书宋简体" w:cs="Times New Roman"/>
          <w:bCs/>
          <w:color w:val="000000" w:themeColor="text1"/>
          <w:highlight w:val="none"/>
          <w14:textFill>
            <w14:solidFill>
              <w14:schemeClr w14:val="tx1"/>
            </w14:solidFill>
          </w14:textFill>
        </w:rPr>
        <w:t>施。</w:t>
      </w:r>
    </w:p>
    <w:p w14:paraId="4687ED2A">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7.8.10</w:t>
      </w:r>
      <w:r>
        <w:rPr>
          <w:rFonts w:ascii="Times New Roman" w:hAnsi="Times New Roman" w:eastAsia="方正书宋简体" w:cs="Times New Roman"/>
          <w:bCs/>
          <w:color w:val="000000" w:themeColor="text1"/>
          <w:highlight w:val="none"/>
          <w14:textFill>
            <w14:solidFill>
              <w14:schemeClr w14:val="tx1"/>
            </w14:solidFill>
          </w14:textFill>
        </w:rPr>
        <w:t xml:space="preserve">  支护结构选型可参照《建筑基坑支护技术规程》JGJ 120中各类支护结构使用条件进行选型。</w:t>
      </w:r>
    </w:p>
    <w:p w14:paraId="4728D468">
      <w:pPr>
        <w:overflowPunct w:val="0"/>
        <w:spacing w:line="348" w:lineRule="exact"/>
        <w:outlineLvl w:val="2"/>
        <w:rPr>
          <w:rFonts w:ascii="Times New Roman" w:hAnsi="Times New Roman" w:eastAsia="方正书宋简体" w:cs="Times New Roman"/>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7.8.11</w:t>
      </w:r>
      <w:r>
        <w:rPr>
          <w:rFonts w:ascii="Times New Roman" w:hAnsi="Times New Roman" w:eastAsia="方正书宋简体" w:cs="Times New Roman"/>
          <w:bCs/>
          <w:color w:val="000000" w:themeColor="text1"/>
          <w:highlight w:val="none"/>
          <w14:textFill>
            <w14:solidFill>
              <w14:schemeClr w14:val="tx1"/>
            </w14:solidFill>
          </w14:textFill>
        </w:rPr>
        <w:t xml:space="preserve">  地下水控制应符合下列要求：</w:t>
      </w:r>
    </w:p>
    <w:p w14:paraId="1796254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地下水控制应根据工程地质和水文地质条件、基坑周边环境要求及支护结构形式选用截水、降水、集水明排方法或其组合；</w:t>
      </w:r>
    </w:p>
    <w:p w14:paraId="37A342F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地下水控制设计应符合对基坑周边建（构）筑物、地下管线、道路等沉降控制值的要求；</w:t>
      </w:r>
    </w:p>
    <w:p w14:paraId="6E72215D">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基坑降水可采用管井、真空井点、喷射井点等方法，并宜按表</w:t>
      </w:r>
      <w:r>
        <w:rPr>
          <w:rFonts w:hint="eastAsia" w:ascii="Times New Roman" w:hAnsi="Times New Roman" w:eastAsia="方正书宋简体" w:cs="Times New Roman"/>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.8.11的适用条件选用；</w:t>
      </w:r>
    </w:p>
    <w:p w14:paraId="51AA44C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降水后基坑内的水位应低于坑底0.5m。当主体结构有抗浮要求时，停止降水的时间应满足主体结构施工期的抗浮要求。</w:t>
      </w:r>
    </w:p>
    <w:p w14:paraId="7FD3D44D">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7.8.11</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各种降水方法的适用条件</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6"/>
        <w:gridCol w:w="2065"/>
        <w:gridCol w:w="1531"/>
        <w:gridCol w:w="1531"/>
      </w:tblGrid>
      <w:tr w14:paraId="15319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375" w:type="dxa"/>
            <w:vAlign w:val="center"/>
          </w:tcPr>
          <w:p w14:paraId="149F720A">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方法</w:t>
            </w:r>
          </w:p>
        </w:tc>
        <w:tc>
          <w:tcPr>
            <w:tcW w:w="2885" w:type="dxa"/>
            <w:vAlign w:val="center"/>
          </w:tcPr>
          <w:p w14:paraId="7C180F73">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土类</w:t>
            </w:r>
          </w:p>
        </w:tc>
        <w:tc>
          <w:tcPr>
            <w:tcW w:w="2131" w:type="dxa"/>
            <w:vAlign w:val="center"/>
          </w:tcPr>
          <w:p w14:paraId="1C264AFC">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渗透系数（m/d）</w:t>
            </w:r>
          </w:p>
        </w:tc>
        <w:tc>
          <w:tcPr>
            <w:tcW w:w="2131" w:type="dxa"/>
            <w:vAlign w:val="center"/>
          </w:tcPr>
          <w:p w14:paraId="2647295F">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降水深度（m）</w:t>
            </w:r>
          </w:p>
        </w:tc>
      </w:tr>
      <w:tr w14:paraId="2E6F7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375" w:type="dxa"/>
            <w:vAlign w:val="center"/>
          </w:tcPr>
          <w:p w14:paraId="4EC58125">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管井</w:t>
            </w:r>
          </w:p>
        </w:tc>
        <w:tc>
          <w:tcPr>
            <w:tcW w:w="2885" w:type="dxa"/>
            <w:vAlign w:val="center"/>
          </w:tcPr>
          <w:p w14:paraId="62B42CB7">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粉土、砂土、碎石土</w:t>
            </w:r>
          </w:p>
        </w:tc>
        <w:tc>
          <w:tcPr>
            <w:tcW w:w="2131" w:type="dxa"/>
            <w:vAlign w:val="center"/>
          </w:tcPr>
          <w:p w14:paraId="67F0F75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0.1~200.0</w:t>
            </w:r>
          </w:p>
        </w:tc>
        <w:tc>
          <w:tcPr>
            <w:tcW w:w="2131" w:type="dxa"/>
            <w:vAlign w:val="center"/>
          </w:tcPr>
          <w:p w14:paraId="5F44FA7F">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不限</w:t>
            </w:r>
          </w:p>
        </w:tc>
      </w:tr>
      <w:tr w14:paraId="24658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375" w:type="dxa"/>
            <w:vAlign w:val="center"/>
          </w:tcPr>
          <w:p w14:paraId="38C903D6">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真空井点</w:t>
            </w:r>
          </w:p>
        </w:tc>
        <w:tc>
          <w:tcPr>
            <w:tcW w:w="2885" w:type="dxa"/>
            <w:vAlign w:val="center"/>
          </w:tcPr>
          <w:p w14:paraId="0E49BAF4">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黏性土、粉土、砂土</w:t>
            </w:r>
          </w:p>
        </w:tc>
        <w:tc>
          <w:tcPr>
            <w:tcW w:w="2131" w:type="dxa"/>
            <w:vAlign w:val="center"/>
          </w:tcPr>
          <w:p w14:paraId="33A25969">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0.005~20.0</w:t>
            </w:r>
          </w:p>
        </w:tc>
        <w:tc>
          <w:tcPr>
            <w:tcW w:w="2131" w:type="dxa"/>
            <w:vAlign w:val="center"/>
          </w:tcPr>
          <w:p w14:paraId="4675B1B2">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单级井点&lt;6</w:t>
            </w:r>
          </w:p>
          <w:p w14:paraId="196B6C73">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多级井点&gt;20</w:t>
            </w:r>
          </w:p>
        </w:tc>
      </w:tr>
      <w:tr w14:paraId="332BE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375" w:type="dxa"/>
            <w:vAlign w:val="center"/>
          </w:tcPr>
          <w:p w14:paraId="79298FB0">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喷射井点</w:t>
            </w:r>
          </w:p>
        </w:tc>
        <w:tc>
          <w:tcPr>
            <w:tcW w:w="2885" w:type="dxa"/>
            <w:vAlign w:val="center"/>
          </w:tcPr>
          <w:p w14:paraId="200733F5">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黏性土、粉土、砂土</w:t>
            </w:r>
          </w:p>
        </w:tc>
        <w:tc>
          <w:tcPr>
            <w:tcW w:w="2131" w:type="dxa"/>
            <w:vAlign w:val="center"/>
          </w:tcPr>
          <w:p w14:paraId="2E03129B">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0.005~20.0</w:t>
            </w:r>
          </w:p>
        </w:tc>
        <w:tc>
          <w:tcPr>
            <w:tcW w:w="2131" w:type="dxa"/>
            <w:vAlign w:val="center"/>
          </w:tcPr>
          <w:p w14:paraId="7CE203AC">
            <w:pPr>
              <w:overflowPunct w:val="0"/>
              <w:spacing w:line="280" w:lineRule="exact"/>
              <w:jc w:val="center"/>
              <w:rPr>
                <w:rFonts w:ascii="Times New Roman" w:hAnsi="Times New Roman" w:eastAsia="方正书宋简体" w:cs="Times New Roman"/>
                <w:iCs/>
                <w:color w:val="000000" w:themeColor="text1"/>
                <w:sz w:val="18"/>
                <w:szCs w:val="18"/>
                <w:highlight w:val="none"/>
                <w14:textFill>
                  <w14:solidFill>
                    <w14:schemeClr w14:val="tx1"/>
                  </w14:solidFill>
                </w14:textFill>
              </w:rPr>
            </w:pPr>
            <w:r>
              <w:rPr>
                <w:rFonts w:ascii="Times New Roman" w:hAnsi="Times New Roman" w:eastAsia="方正书宋简体" w:cs="Times New Roman"/>
                <w:iCs/>
                <w:color w:val="000000" w:themeColor="text1"/>
                <w:sz w:val="18"/>
                <w:szCs w:val="18"/>
                <w:highlight w:val="none"/>
                <w14:textFill>
                  <w14:solidFill>
                    <w14:schemeClr w14:val="tx1"/>
                  </w14:solidFill>
                </w14:textFill>
              </w:rPr>
              <w:t>&lt;20</w:t>
            </w:r>
          </w:p>
        </w:tc>
      </w:tr>
    </w:tbl>
    <w:p w14:paraId="4B3EA6BA">
      <w:pPr>
        <w:overflowPunct w:val="0"/>
        <w:spacing w:line="348" w:lineRule="exact"/>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color w:val="000000" w:themeColor="text1"/>
          <w:highlight w:val="none"/>
          <w:u w:val="none"/>
          <w14:textFill>
            <w14:solidFill>
              <w14:schemeClr w14:val="tx1"/>
            </w14:solidFill>
          </w14:textFill>
        </w:rPr>
        <w:t>7.8.12</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管廊基坑支护设计应根据支护结构类型、地下水控制方法、地质复杂程度及支护结构安全等级等条件确定监测点的部位及数量。基坑监测应符合以下原则：</w:t>
      </w:r>
    </w:p>
    <w:p w14:paraId="79C4546B">
      <w:pPr>
        <w:overflowPunct w:val="0"/>
        <w:spacing w:line="348" w:lineRule="exact"/>
        <w:ind w:firstLine="316" w:firstLineChars="150"/>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color w:val="000000" w:themeColor="text1"/>
          <w:highlight w:val="none"/>
          <w:u w:val="none"/>
          <w14:textFill>
            <w14:solidFill>
              <w14:schemeClr w14:val="tx1"/>
            </w14:solidFill>
          </w14:textFill>
        </w:rPr>
        <w:t>1</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安全等级为一级、二级的支护结构，在基坑开挖过程与支护结构使用期内，</w:t>
      </w:r>
      <w:r>
        <w:rPr>
          <w:rFonts w:hint="eastAsia" w:ascii="Times New Roman" w:hAnsi="Times New Roman" w:eastAsia="方正书宋简体" w:cs="Times New Roman"/>
          <w:bCs/>
          <w:color w:val="000000" w:themeColor="text1"/>
          <w:highlight w:val="none"/>
          <w:u w:val="none"/>
          <w14:textFill>
            <w14:solidFill>
              <w14:schemeClr w14:val="tx1"/>
            </w14:solidFill>
          </w14:textFill>
        </w:rPr>
        <w:t>应</w:t>
      </w:r>
      <w:r>
        <w:rPr>
          <w:rFonts w:ascii="Times New Roman" w:hAnsi="Times New Roman" w:eastAsia="方正书宋简体" w:cs="Times New Roman"/>
          <w:bCs/>
          <w:color w:val="000000" w:themeColor="text1"/>
          <w:highlight w:val="none"/>
          <w:u w:val="none"/>
          <w14:textFill>
            <w14:solidFill>
              <w14:schemeClr w14:val="tx1"/>
            </w14:solidFill>
          </w14:textFill>
        </w:rPr>
        <w:t>进行支护结构的水平位移和基坑开挖影响范围内的建（构）筑物、地面的沉降监测。</w:t>
      </w:r>
    </w:p>
    <w:p w14:paraId="5A1E8A4C">
      <w:pPr>
        <w:overflowPunct w:val="0"/>
        <w:spacing w:line="348" w:lineRule="exact"/>
        <w:ind w:firstLine="316" w:firstLineChars="150"/>
        <w:outlineLvl w:val="2"/>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color w:val="000000" w:themeColor="text1"/>
          <w:highlight w:val="none"/>
          <w:u w:val="none"/>
          <w14:textFill>
            <w14:solidFill>
              <w14:schemeClr w14:val="tx1"/>
            </w14:solidFill>
          </w14:textFill>
        </w:rPr>
        <w:t>2</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基坑支护设计文件应按照不影响周边建（构）筑物及管线正常使用的原则确定支护结构水平位移控制值和周边地面沉降控制值。</w:t>
      </w:r>
    </w:p>
    <w:p w14:paraId="187892AD">
      <w:pPr>
        <w:overflowPunct w:val="0"/>
        <w:spacing w:line="348" w:lineRule="exact"/>
        <w:ind w:firstLine="316" w:firstLineChars="150"/>
        <w:outlineLvl w:val="2"/>
        <w:rPr>
          <w:rFonts w:ascii="Times New Roman" w:hAnsi="Times New Roman" w:eastAsia="方正书宋简体" w:cs="Times New Roman"/>
          <w:bCs/>
          <w:color w:val="000000" w:themeColor="text1"/>
          <w:highlight w:val="none"/>
          <w:u w:val="single"/>
          <w14:textFill>
            <w14:solidFill>
              <w14:schemeClr w14:val="tx1"/>
            </w14:solidFill>
          </w14:textFill>
        </w:rPr>
      </w:pPr>
      <w:r>
        <w:rPr>
          <w:rFonts w:ascii="Times New Roman" w:hAnsi="Times New Roman" w:eastAsia="方正书宋简体" w:cs="Times New Roman"/>
          <w:b/>
          <w:color w:val="000000" w:themeColor="text1"/>
          <w:highlight w:val="none"/>
          <w:u w:val="none"/>
          <w14:textFill>
            <w14:solidFill>
              <w14:schemeClr w14:val="tx1"/>
            </w14:solidFill>
          </w14:textFill>
        </w:rPr>
        <w:t>3</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管廊基坑支护工程尚应符合现行行业标准《建筑基坑支护技术规程》JGJ 120的相关规定。</w:t>
      </w:r>
    </w:p>
    <w:p w14:paraId="7BBB14D6">
      <w:pPr>
        <w:pStyle w:val="2"/>
        <w:jc w:val="both"/>
        <w:rPr>
          <w:color w:val="000000" w:themeColor="text1"/>
          <w:highlight w:val="none"/>
          <w:lang w:val="en-US"/>
          <w14:textFill>
            <w14:solidFill>
              <w14:schemeClr w14:val="tx1"/>
            </w14:solidFill>
          </w14:textFill>
        </w:rPr>
        <w:sectPr>
          <w:footerReference r:id="rId10" w:type="default"/>
          <w:pgSz w:w="7937" w:h="11509"/>
          <w:pgMar w:top="1020" w:right="907" w:bottom="1020" w:left="907" w:header="737" w:footer="737" w:gutter="0"/>
          <w:pgNumType w:fmt="decimal" w:start="24"/>
          <w:cols w:space="0" w:num="1"/>
          <w:docGrid w:type="linesAndChars" w:linePitch="312" w:charSpace="233"/>
        </w:sectPr>
      </w:pPr>
    </w:p>
    <w:p w14:paraId="2680C13A">
      <w:pPr>
        <w:pStyle w:val="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8</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附属设施设计</w:t>
      </w:r>
      <w:bookmarkEnd w:id="47"/>
      <w:bookmarkEnd w:id="48"/>
    </w:p>
    <w:p w14:paraId="3481866B">
      <w:pPr>
        <w:pStyle w:val="4"/>
        <w:spacing w:before="156" w:after="156"/>
        <w:rPr>
          <w:color w:val="000000" w:themeColor="text1"/>
          <w:highlight w:val="none"/>
          <w14:textFill>
            <w14:solidFill>
              <w14:schemeClr w14:val="tx1"/>
            </w14:solidFill>
          </w14:textFill>
        </w:rPr>
      </w:pPr>
      <w:bookmarkStart w:id="50" w:name="_Toc502346589"/>
      <w:bookmarkStart w:id="51" w:name="_Toc37689745"/>
      <w:r>
        <w:rPr>
          <w:b/>
          <w:bCs w:val="0"/>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t xml:space="preserve">  消 防 系 统</w:t>
      </w:r>
      <w:bookmarkEnd w:id="50"/>
      <w:bookmarkEnd w:id="51"/>
    </w:p>
    <w:p w14:paraId="2D921C28">
      <w:pPr>
        <w:pStyle w:val="5"/>
        <w:rPr>
          <w:highlight w:val="none"/>
        </w:rPr>
      </w:pPr>
      <w:r>
        <w:rPr>
          <w:b/>
          <w:highlight w:val="none"/>
        </w:rPr>
        <w:t>8.1.1</w:t>
      </w:r>
      <w:r>
        <w:rPr>
          <w:highlight w:val="none"/>
        </w:rPr>
        <w:t xml:space="preserve">  综合管廊消防系统应符合现行</w:t>
      </w:r>
      <w:r>
        <w:rPr>
          <w:rFonts w:hint="eastAsia"/>
          <w:highlight w:val="none"/>
        </w:rPr>
        <w:t>工</w:t>
      </w:r>
      <w:r>
        <w:rPr>
          <w:highlight w:val="none"/>
        </w:rPr>
        <w:t>程建设强制性国家规范《建筑防火通用规范》GB</w:t>
      </w:r>
      <w:r>
        <w:rPr>
          <w:rFonts w:hint="eastAsia"/>
          <w:highlight w:val="none"/>
        </w:rPr>
        <w:t xml:space="preserve"> </w:t>
      </w:r>
      <w:r>
        <w:rPr>
          <w:highlight w:val="none"/>
        </w:rPr>
        <w:t>55037中与综合管廊有关的规定：</w:t>
      </w:r>
    </w:p>
    <w:p w14:paraId="594EFB87">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敷设有下列管线的综合管廊舱室火灾危险性类别应符合表8.1.1的规定：</w:t>
      </w:r>
    </w:p>
    <w:p w14:paraId="4A07B30F">
      <w:pPr>
        <w:spacing w:line="312" w:lineRule="exact"/>
        <w:jc w:val="cente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u w:val="none"/>
          <w14:textFill>
            <w14:solidFill>
              <w14:schemeClr w14:val="tx1"/>
            </w14:solidFill>
          </w14:textFill>
        </w:rPr>
        <w:t xml:space="preserve">8.1.1 </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 xml:space="preserve"> 综合管廊舱室火灾危险性分类及灭火器配置场所危险等级分类</w:t>
      </w:r>
    </w:p>
    <w:tbl>
      <w:tblPr>
        <w:tblStyle w:val="27"/>
        <w:tblW w:w="52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97"/>
        <w:gridCol w:w="1650"/>
        <w:gridCol w:w="1888"/>
      </w:tblGrid>
      <w:tr w14:paraId="2DECE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246D108E">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舱室内容纳管线种类</w:t>
            </w:r>
          </w:p>
        </w:tc>
        <w:tc>
          <w:tcPr>
            <w:tcW w:w="1888" w:type="dxa"/>
            <w:vAlign w:val="center"/>
          </w:tcPr>
          <w:p w14:paraId="0720E3B8">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舱室火灾危险性类别</w:t>
            </w:r>
          </w:p>
        </w:tc>
      </w:tr>
      <w:tr w14:paraId="6FFEC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73B8C59F">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天然气管道</w:t>
            </w:r>
          </w:p>
        </w:tc>
        <w:tc>
          <w:tcPr>
            <w:tcW w:w="1888" w:type="dxa"/>
            <w:vAlign w:val="center"/>
          </w:tcPr>
          <w:p w14:paraId="12824F2A">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甲</w:t>
            </w:r>
          </w:p>
        </w:tc>
      </w:tr>
      <w:tr w14:paraId="3A9A9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1D70016C">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阻燃电力电缆</w:t>
            </w:r>
          </w:p>
        </w:tc>
        <w:tc>
          <w:tcPr>
            <w:tcW w:w="1888" w:type="dxa"/>
            <w:vAlign w:val="center"/>
          </w:tcPr>
          <w:p w14:paraId="6CF34D0C">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丙</w:t>
            </w:r>
          </w:p>
        </w:tc>
      </w:tr>
      <w:tr w14:paraId="2953B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56C56E3F">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通信线缆</w:t>
            </w:r>
          </w:p>
        </w:tc>
        <w:tc>
          <w:tcPr>
            <w:tcW w:w="1888" w:type="dxa"/>
            <w:vAlign w:val="center"/>
          </w:tcPr>
          <w:p w14:paraId="6F234BF6">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丙</w:t>
            </w:r>
          </w:p>
        </w:tc>
      </w:tr>
      <w:tr w14:paraId="21A61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0C73CDA7">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热力管道</w:t>
            </w:r>
          </w:p>
        </w:tc>
        <w:tc>
          <w:tcPr>
            <w:tcW w:w="1888" w:type="dxa"/>
            <w:vAlign w:val="center"/>
          </w:tcPr>
          <w:p w14:paraId="51A52DE6">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丙</w:t>
            </w:r>
          </w:p>
        </w:tc>
      </w:tr>
      <w:tr w14:paraId="45126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47" w:type="dxa"/>
            <w:gridSpan w:val="2"/>
            <w:vAlign w:val="center"/>
          </w:tcPr>
          <w:p w14:paraId="7AFD3520">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污水管道</w:t>
            </w:r>
          </w:p>
        </w:tc>
        <w:tc>
          <w:tcPr>
            <w:tcW w:w="1888" w:type="dxa"/>
            <w:vAlign w:val="center"/>
          </w:tcPr>
          <w:p w14:paraId="5EEC0F13">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丁</w:t>
            </w:r>
          </w:p>
        </w:tc>
      </w:tr>
      <w:tr w14:paraId="7CBA7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2" w:hRule="atLeast"/>
          <w:jc w:val="center"/>
        </w:trPr>
        <w:tc>
          <w:tcPr>
            <w:tcW w:w="1697" w:type="dxa"/>
            <w:vMerge w:val="restart"/>
            <w:vAlign w:val="center"/>
          </w:tcPr>
          <w:p w14:paraId="6EC2EBB6">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雨水管道、给水管道、再生水管道</w:t>
            </w:r>
          </w:p>
        </w:tc>
        <w:tc>
          <w:tcPr>
            <w:tcW w:w="1650" w:type="dxa"/>
            <w:vAlign w:val="center"/>
          </w:tcPr>
          <w:p w14:paraId="46D9A10C">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塑料管等难燃管材</w:t>
            </w:r>
          </w:p>
        </w:tc>
        <w:tc>
          <w:tcPr>
            <w:tcW w:w="1888" w:type="dxa"/>
            <w:vAlign w:val="center"/>
          </w:tcPr>
          <w:p w14:paraId="260433FC">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丁</w:t>
            </w:r>
          </w:p>
        </w:tc>
      </w:tr>
      <w:tr w14:paraId="315B1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697" w:type="dxa"/>
            <w:vMerge w:val="continue"/>
            <w:vAlign w:val="center"/>
          </w:tcPr>
          <w:p w14:paraId="1990F105">
            <w:pPr>
              <w:pStyle w:val="63"/>
              <w:rPr>
                <w:color w:val="000000" w:themeColor="text1"/>
                <w:highlight w:val="none"/>
                <w:u w:val="none"/>
                <w14:textFill>
                  <w14:solidFill>
                    <w14:schemeClr w14:val="tx1"/>
                  </w14:solidFill>
                </w14:textFill>
              </w:rPr>
            </w:pPr>
          </w:p>
        </w:tc>
        <w:tc>
          <w:tcPr>
            <w:tcW w:w="1650" w:type="dxa"/>
            <w:vAlign w:val="center"/>
          </w:tcPr>
          <w:p w14:paraId="687B02FD">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钢管、球墨铸铁管等不燃管材</w:t>
            </w:r>
          </w:p>
        </w:tc>
        <w:tc>
          <w:tcPr>
            <w:tcW w:w="1888" w:type="dxa"/>
            <w:vAlign w:val="center"/>
          </w:tcPr>
          <w:p w14:paraId="522E8A43">
            <w:pPr>
              <w:pStyle w:val="63"/>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戊</w:t>
            </w:r>
          </w:p>
        </w:tc>
      </w:tr>
    </w:tbl>
    <w:p w14:paraId="13F80F34">
      <w:pPr>
        <w:pStyle w:val="59"/>
        <w:ind w:firstLine="316" w:firstLineChars="150"/>
        <w:rPr>
          <w:b/>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当舱室内含有两类及以上管线时，舱室火灾危险性类别应按火灾危险性较大的管线确定。</w:t>
      </w:r>
    </w:p>
    <w:p w14:paraId="4EE9CD6B">
      <w:pPr>
        <w:pStyle w:val="5"/>
        <w:rPr>
          <w:highlight w:val="none"/>
          <w:u w:val="none"/>
        </w:rPr>
      </w:pPr>
      <w:r>
        <w:rPr>
          <w:b/>
          <w:highlight w:val="none"/>
          <w:u w:val="none"/>
        </w:rPr>
        <w:t>8.1.2</w:t>
      </w:r>
      <w:r>
        <w:rPr>
          <w:highlight w:val="none"/>
          <w:u w:val="none"/>
        </w:rPr>
        <w:t xml:space="preserve">  综合管廊各舱室应根据火灾危险性类别，结合附属设施的设置、火灾概率及其特点等因素，可采取下列一种或多种防火措施：</w:t>
      </w:r>
    </w:p>
    <w:p w14:paraId="7A7A50FE">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设置防火构造；</w:t>
      </w:r>
    </w:p>
    <w:p w14:paraId="41821948">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阻燃防护和防止延燃；</w:t>
      </w:r>
    </w:p>
    <w:p w14:paraId="3710C67C">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设置消防器材；</w:t>
      </w:r>
    </w:p>
    <w:p w14:paraId="1AC2AD62">
      <w:pPr>
        <w:pStyle w:val="59"/>
        <w:ind w:firstLine="316" w:firstLineChars="150"/>
        <w:rPr>
          <w:color w:val="000000" w:themeColor="text1"/>
          <w:highlight w:val="none"/>
          <w:u w:val="none"/>
          <w14:textFill>
            <w14:solidFill>
              <w14:schemeClr w14:val="tx1"/>
            </w14:solidFill>
          </w14:textFill>
        </w:rPr>
      </w:pPr>
      <w:r>
        <w:rPr>
          <w:b/>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设置火灾自动报警系统。</w:t>
      </w:r>
    </w:p>
    <w:p w14:paraId="62E9AD1C">
      <w:pPr>
        <w:pStyle w:val="5"/>
        <w:rPr>
          <w:highlight w:val="none"/>
          <w:u w:val="none"/>
        </w:rPr>
      </w:pPr>
      <w:r>
        <w:rPr>
          <w:b/>
          <w:highlight w:val="none"/>
          <w:u w:val="none"/>
        </w:rPr>
        <w:t>8.1.3</w:t>
      </w:r>
      <w:r>
        <w:rPr>
          <w:highlight w:val="none"/>
          <w:u w:val="none"/>
        </w:rPr>
        <w:t xml:space="preserve">  综合管廊主结构体应为耐火极限不低于3.0h的不燃性结构。</w:t>
      </w:r>
    </w:p>
    <w:p w14:paraId="3B719C28">
      <w:pPr>
        <w:pStyle w:val="5"/>
        <w:rPr>
          <w:highlight w:val="none"/>
          <w:u w:val="none"/>
        </w:rPr>
      </w:pPr>
      <w:r>
        <w:rPr>
          <w:b/>
          <w:highlight w:val="none"/>
          <w:u w:val="none"/>
        </w:rPr>
        <w:t>8.1.4</w:t>
      </w:r>
      <w:r>
        <w:rPr>
          <w:highlight w:val="none"/>
          <w:u w:val="none"/>
        </w:rPr>
        <w:t xml:space="preserve">  综合管廊内不同舱室之间应采用耐火极限不低于3.0h的不燃性结构进行分隔。</w:t>
      </w:r>
    </w:p>
    <w:p w14:paraId="2BC514CF">
      <w:pPr>
        <w:pStyle w:val="5"/>
        <w:rPr>
          <w:highlight w:val="none"/>
          <w:u w:val="none"/>
        </w:rPr>
      </w:pPr>
      <w:r>
        <w:rPr>
          <w:b/>
          <w:highlight w:val="none"/>
          <w:u w:val="none"/>
        </w:rPr>
        <w:t>8.1.5</w:t>
      </w:r>
      <w:r>
        <w:rPr>
          <w:highlight w:val="none"/>
          <w:u w:val="none"/>
        </w:rPr>
        <w:t xml:space="preserve">  除嵌缝材料外，综合管廊内装修材料应采用不燃材料。</w:t>
      </w:r>
    </w:p>
    <w:p w14:paraId="6398A26D">
      <w:pPr>
        <w:pStyle w:val="5"/>
        <w:rPr>
          <w:highlight w:val="none"/>
          <w:u w:val="none"/>
          <w:bdr w:val="single" w:color="auto" w:sz="4" w:space="0"/>
        </w:rPr>
      </w:pPr>
      <w:r>
        <w:rPr>
          <w:b/>
          <w:highlight w:val="none"/>
          <w:u w:val="none"/>
        </w:rPr>
        <w:t>8.1.6</w:t>
      </w:r>
      <w:r>
        <w:rPr>
          <w:highlight w:val="none"/>
          <w:u w:val="none"/>
        </w:rPr>
        <w:t xml:space="preserve">  当综合管廊监控中心、变电站与综合管廊采用人行通道直接连通时，应在临近监控中心、变电站的端部设置甲级防火门。</w:t>
      </w:r>
    </w:p>
    <w:p w14:paraId="51F98881">
      <w:pPr>
        <w:pStyle w:val="5"/>
        <w:rPr>
          <w:highlight w:val="none"/>
          <w:u w:val="none"/>
        </w:rPr>
      </w:pPr>
      <w:r>
        <w:rPr>
          <w:b/>
          <w:highlight w:val="none"/>
          <w:u w:val="none"/>
        </w:rPr>
        <w:t>8.1.7</w:t>
      </w:r>
      <w:r>
        <w:rPr>
          <w:highlight w:val="none"/>
          <w:u w:val="none"/>
        </w:rPr>
        <w:t xml:space="preserve">  综合管廊交叉口及各舱室交叉部位应采用耐火极限不低于3.0h的不燃性墙体进行防火分隔，当有人员通行需求时，防火分隔处的门应采用甲级防火门，管线穿越防火隔断部位应采用阻火包等防火封堵措施进行严密封堵。在电力电缆贯穿综合管廊墙体的孔洞处，应实施防火封堵。防火封堵组件的耐火极限不应低于3.0h。</w:t>
      </w:r>
    </w:p>
    <w:p w14:paraId="7E295A9A">
      <w:pPr>
        <w:pStyle w:val="5"/>
        <w:rPr>
          <w:highlight w:val="none"/>
          <w:u w:val="none"/>
          <w:bdr w:val="single" w:color="auto" w:sz="4" w:space="0"/>
        </w:rPr>
      </w:pPr>
      <w:r>
        <w:rPr>
          <w:b/>
          <w:highlight w:val="none"/>
          <w:u w:val="none"/>
        </w:rPr>
        <w:t>8.1.8</w:t>
      </w:r>
      <w:r>
        <w:rPr>
          <w:highlight w:val="none"/>
          <w:u w:val="none"/>
        </w:rPr>
        <w:t xml:space="preserve">  综合管廊内应在人员出入口、逃生口、配电夹层等处配置2具不小于3kg的手提式干粉灭火器。</w:t>
      </w:r>
    </w:p>
    <w:p w14:paraId="5525A76B">
      <w:pPr>
        <w:pStyle w:val="5"/>
        <w:rPr>
          <w:highlight w:val="none"/>
          <w:u w:val="none"/>
        </w:rPr>
      </w:pPr>
      <w:r>
        <w:rPr>
          <w:b/>
          <w:highlight w:val="none"/>
          <w:u w:val="none"/>
        </w:rPr>
        <w:t>8.1.9</w:t>
      </w:r>
      <w:r>
        <w:rPr>
          <w:highlight w:val="none"/>
          <w:u w:val="none"/>
        </w:rPr>
        <w:t xml:space="preserve">  干线综合管廊中容纳电力电缆的舱室，支线综合管廊中容纳6根及以上电力电缆的舱室应设置火灾自动报警系统。</w:t>
      </w:r>
    </w:p>
    <w:p w14:paraId="0B075479">
      <w:pPr>
        <w:pStyle w:val="5"/>
        <w:rPr>
          <w:highlight w:val="none"/>
        </w:rPr>
      </w:pPr>
      <w:bookmarkStart w:id="52" w:name="_Toc37689746"/>
      <w:r>
        <w:rPr>
          <w:b/>
          <w:highlight w:val="none"/>
          <w:u w:val="none"/>
        </w:rPr>
        <w:t>8.1.10</w:t>
      </w:r>
      <w:r>
        <w:rPr>
          <w:highlight w:val="none"/>
          <w:u w:val="none"/>
        </w:rPr>
        <w:t xml:space="preserve">  综合管廊内的电力电缆应采用阻燃电缆或不燃电缆，通信线缆应采用阻燃线缆。电缆防火与阻燃应符合国家现行标准《电力工程电缆设计标准》GB 50217和</w:t>
      </w:r>
      <w:bookmarkStart w:id="53" w:name="_Hlk18344654"/>
      <w:r>
        <w:rPr>
          <w:highlight w:val="none"/>
          <w:u w:val="none"/>
        </w:rPr>
        <w:t>《电力电缆隧道设计规程》DL/T 5484及《阻燃及耐火电缆 塑</w:t>
      </w:r>
      <w:r>
        <w:rPr>
          <w:highlight w:val="none"/>
        </w:rPr>
        <w:t>料绝缘阻燃及耐火电缆分级和要求第1部分：阻燃电缆》GA 306.1和《阻燃及耐火电缆 塑料绝缘阻燃及耐火电缆分级和要求第2部分：耐火电缆》GA 306.2的有关规定。</w:t>
      </w:r>
    </w:p>
    <w:bookmarkEnd w:id="53"/>
    <w:p w14:paraId="171186AF">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8.2</w:t>
      </w:r>
      <w:r>
        <w:rPr>
          <w:color w:val="000000" w:themeColor="text1"/>
          <w:highlight w:val="none"/>
          <w14:textFill>
            <w14:solidFill>
              <w14:schemeClr w14:val="tx1"/>
            </w14:solidFill>
          </w14:textFill>
        </w:rPr>
        <w:t xml:space="preserve">  </w:t>
      </w:r>
      <w:r>
        <w:rPr>
          <w:rFonts w:hint="eastAsia" w:ascii="方正黑体简体" w:hAnsi="方正黑体简体" w:cs="方正黑体简体"/>
          <w:color w:val="000000" w:themeColor="text1"/>
          <w:highlight w:val="none"/>
          <w14:textFill>
            <w14:solidFill>
              <w14:schemeClr w14:val="tx1"/>
            </w14:solidFill>
          </w14:textFill>
        </w:rPr>
        <w:t>通 风 系 统</w:t>
      </w:r>
      <w:bookmarkEnd w:id="52"/>
    </w:p>
    <w:p w14:paraId="47B39D7C">
      <w:pPr>
        <w:pStyle w:val="5"/>
        <w:rPr>
          <w:highlight w:val="none"/>
          <w:u w:val="none"/>
        </w:rPr>
      </w:pPr>
      <w:r>
        <w:rPr>
          <w:b/>
          <w:highlight w:val="none"/>
        </w:rPr>
        <w:t>8.2.1</w:t>
      </w:r>
      <w:r>
        <w:rPr>
          <w:highlight w:val="none"/>
        </w:rPr>
        <w:t xml:space="preserve">  </w:t>
      </w:r>
      <w:r>
        <w:rPr>
          <w:highlight w:val="none"/>
          <w:u w:val="none"/>
        </w:rPr>
        <w:t>综合管廊宜采用自然进风和机械排风相结合的通风方式。天然气管道舱室和含有污水管道舱室</w:t>
      </w:r>
      <w:r>
        <w:rPr>
          <w:rFonts w:hint="eastAsia"/>
          <w:color w:val="auto"/>
          <w:highlight w:val="none"/>
          <w:u w:val="none"/>
        </w:rPr>
        <w:t>均</w:t>
      </w:r>
      <w:r>
        <w:rPr>
          <w:highlight w:val="none"/>
          <w:u w:val="none"/>
        </w:rPr>
        <w:t>应采用机械进风、机械排风的通风方式。</w:t>
      </w:r>
    </w:p>
    <w:p w14:paraId="6E0508C9">
      <w:pPr>
        <w:pStyle w:val="5"/>
        <w:rPr>
          <w:highlight w:val="none"/>
          <w:u w:val="none"/>
        </w:rPr>
      </w:pPr>
      <w:r>
        <w:rPr>
          <w:b/>
          <w:highlight w:val="none"/>
          <w:u w:val="none"/>
        </w:rPr>
        <w:t>8.2.2</w:t>
      </w:r>
      <w:r>
        <w:rPr>
          <w:highlight w:val="none"/>
          <w:u w:val="none"/>
        </w:rPr>
        <w:t xml:space="preserve">  综合管廊的通风量应根据通风区间、截面尺寸并经计算确定，且应符合下列规定：</w:t>
      </w:r>
    </w:p>
    <w:p w14:paraId="522EE98D">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干线综合管廊和支线综合管廊宜采用机械通风形式，正常通风换气次数不应少于2次/h，事故通风换气次数不应少于6次/h；</w:t>
      </w:r>
    </w:p>
    <w:p w14:paraId="25CD1C61">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小型综合管廊可采用自然通风形式，事故通风可采用临时通风设施满足换气次数。</w:t>
      </w:r>
    </w:p>
    <w:p w14:paraId="359B8771">
      <w:pPr>
        <w:pStyle w:val="5"/>
        <w:rPr>
          <w:highlight w:val="none"/>
          <w:u w:val="none"/>
        </w:rPr>
      </w:pPr>
      <w:r>
        <w:rPr>
          <w:b/>
          <w:highlight w:val="none"/>
          <w:u w:val="none"/>
        </w:rPr>
        <w:t>8.2.3</w:t>
      </w:r>
      <w:r>
        <w:rPr>
          <w:highlight w:val="none"/>
          <w:u w:val="none"/>
        </w:rPr>
        <w:t xml:space="preserve">  综合管廊的通风口处出风风速：平时通风不宜大于5m/s，事故通风不宜大于10m/s。直接朝向人行道的排风口，平时通风出风风速不宜超过3m/s；进风口宜设置在空气洁净的地方。</w:t>
      </w:r>
    </w:p>
    <w:p w14:paraId="00C6C28B">
      <w:pPr>
        <w:pStyle w:val="5"/>
        <w:rPr>
          <w:highlight w:val="none"/>
          <w:u w:val="none"/>
        </w:rPr>
      </w:pPr>
      <w:r>
        <w:rPr>
          <w:b/>
          <w:highlight w:val="none"/>
          <w:u w:val="none"/>
        </w:rPr>
        <w:t>8.2.4</w:t>
      </w:r>
      <w:r>
        <w:rPr>
          <w:highlight w:val="none"/>
          <w:u w:val="none"/>
        </w:rPr>
        <w:t xml:space="preserve">  通风口下边缘距室外地坪应满足挡水要求，且不宜低于0.5m。</w:t>
      </w:r>
    </w:p>
    <w:p w14:paraId="065F4E65">
      <w:pPr>
        <w:pStyle w:val="5"/>
        <w:rPr>
          <w:highlight w:val="none"/>
          <w:u w:val="none"/>
        </w:rPr>
      </w:pPr>
      <w:r>
        <w:rPr>
          <w:b/>
          <w:highlight w:val="none"/>
          <w:u w:val="none"/>
        </w:rPr>
        <w:t>8.2.5</w:t>
      </w:r>
      <w:r>
        <w:rPr>
          <w:highlight w:val="none"/>
          <w:u w:val="none"/>
        </w:rPr>
        <w:t xml:space="preserve">  综合管廊的通风口应加设防止小动物进入的金属网格，网孔净尺寸不应大于10mm×10mm。</w:t>
      </w:r>
    </w:p>
    <w:p w14:paraId="2527A1C1">
      <w:pPr>
        <w:pStyle w:val="5"/>
        <w:rPr>
          <w:highlight w:val="none"/>
          <w:u w:val="none"/>
        </w:rPr>
      </w:pPr>
      <w:r>
        <w:rPr>
          <w:b/>
          <w:highlight w:val="none"/>
          <w:u w:val="none"/>
        </w:rPr>
        <w:t>8.2.6</w:t>
      </w:r>
      <w:r>
        <w:rPr>
          <w:highlight w:val="none"/>
          <w:u w:val="none"/>
        </w:rPr>
        <w:t xml:space="preserve">  综合管廊的通风设备应符合节能环保要求，且宜附加5%～10%的漏风量。含有天然气管道或污水管道的舱室应采用防爆风机。</w:t>
      </w:r>
    </w:p>
    <w:p w14:paraId="3401BC97">
      <w:pPr>
        <w:pStyle w:val="5"/>
        <w:rPr>
          <w:highlight w:val="none"/>
          <w:u w:val="none"/>
        </w:rPr>
      </w:pPr>
      <w:r>
        <w:rPr>
          <w:b/>
          <w:highlight w:val="none"/>
          <w:u w:val="none"/>
        </w:rPr>
        <w:t>8.2.7</w:t>
      </w:r>
      <w:r>
        <w:rPr>
          <w:highlight w:val="none"/>
          <w:u w:val="none"/>
        </w:rPr>
        <w:t xml:space="preserve">  当综合管廊内空气温度高于40℃或需进行线路检修时，应开启排风机，并应满足综合管廊内环境控制的要求。</w:t>
      </w:r>
    </w:p>
    <w:p w14:paraId="205E179D">
      <w:pPr>
        <w:pStyle w:val="5"/>
        <w:rPr>
          <w:highlight w:val="none"/>
          <w:u w:val="none"/>
        </w:rPr>
      </w:pPr>
      <w:r>
        <w:rPr>
          <w:b/>
          <w:highlight w:val="none"/>
          <w:u w:val="none"/>
        </w:rPr>
        <w:t>8.2.8</w:t>
      </w:r>
      <w:r>
        <w:rPr>
          <w:rFonts w:hint="eastAsia"/>
          <w:b/>
          <w:highlight w:val="none"/>
          <w:u w:val="none"/>
        </w:rPr>
        <w:t xml:space="preserve">  </w:t>
      </w:r>
      <w:r>
        <w:rPr>
          <w:highlight w:val="none"/>
          <w:u w:val="none"/>
        </w:rPr>
        <w:t>综合管廊舱室内发生火灾时，通风设备应能够自动关闭。</w:t>
      </w:r>
    </w:p>
    <w:p w14:paraId="1A63D2D5">
      <w:pPr>
        <w:pStyle w:val="5"/>
        <w:rPr>
          <w:highlight w:val="none"/>
          <w:u w:val="none"/>
        </w:rPr>
      </w:pPr>
      <w:bookmarkStart w:id="54" w:name="_Toc37689747"/>
      <w:r>
        <w:rPr>
          <w:b/>
          <w:highlight w:val="none"/>
          <w:u w:val="none"/>
        </w:rPr>
        <w:t>8.2.9</w:t>
      </w:r>
      <w:r>
        <w:rPr>
          <w:highlight w:val="none"/>
          <w:u w:val="none"/>
        </w:rPr>
        <w:t xml:space="preserve"> </w:t>
      </w:r>
      <w:r>
        <w:rPr>
          <w:rFonts w:hint="eastAsia"/>
          <w:highlight w:val="none"/>
          <w:u w:val="none"/>
        </w:rPr>
        <w:t xml:space="preserve"> </w:t>
      </w:r>
      <w:r>
        <w:rPr>
          <w:highlight w:val="none"/>
          <w:u w:val="none"/>
        </w:rPr>
        <w:t>事故通风的手动控制装置应在舱室内、外便于操作的地方分别设置。</w:t>
      </w:r>
    </w:p>
    <w:p w14:paraId="60A78BA7">
      <w:pPr>
        <w:pStyle w:val="5"/>
        <w:rPr>
          <w:highlight w:val="none"/>
          <w:u w:val="none"/>
        </w:rPr>
      </w:pPr>
      <w:r>
        <w:rPr>
          <w:b/>
          <w:highlight w:val="none"/>
          <w:u w:val="none"/>
        </w:rPr>
        <w:t>8.2.10</w:t>
      </w:r>
      <w:r>
        <w:rPr>
          <w:highlight w:val="none"/>
          <w:u w:val="none"/>
        </w:rPr>
        <w:t xml:space="preserve">  综合管廊通风区间长度应根据舱室内通风量、风压、风速、气流组织、设备选型等要求，并综合分舱情况、施工工法、地面风亭设置条件等因素，经技术经济比较后确定，并宜符合下列规定：</w:t>
      </w:r>
    </w:p>
    <w:p w14:paraId="16A57025">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rFonts w:hint="eastAsia"/>
          <w:color w:val="000000" w:themeColor="text1"/>
          <w:highlight w:val="none"/>
          <w:u w:val="none"/>
          <w14:textFill>
            <w14:solidFill>
              <w14:schemeClr w14:val="tx1"/>
            </w14:solidFill>
          </w14:textFill>
        </w:rPr>
        <w:t xml:space="preserve">  </w:t>
      </w:r>
      <w:r>
        <w:rPr>
          <w:color w:val="000000" w:themeColor="text1"/>
          <w:highlight w:val="none"/>
          <w:u w:val="none"/>
          <w14:textFill>
            <w14:solidFill>
              <w14:schemeClr w14:val="tx1"/>
            </w14:solidFill>
          </w14:textFill>
        </w:rPr>
        <w:t>明挖法可为400m~600m；</w:t>
      </w:r>
    </w:p>
    <w:p w14:paraId="63CBF330">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rFonts w:hint="eastAsia"/>
          <w:color w:val="000000" w:themeColor="text1"/>
          <w:highlight w:val="none"/>
          <w:u w:val="none"/>
          <w14:textFill>
            <w14:solidFill>
              <w14:schemeClr w14:val="tx1"/>
            </w14:solidFill>
          </w14:textFill>
        </w:rPr>
        <w:t xml:space="preserve">  </w:t>
      </w:r>
      <w:r>
        <w:rPr>
          <w:color w:val="000000" w:themeColor="text1"/>
          <w:highlight w:val="none"/>
          <w:u w:val="none"/>
          <w14:textFill>
            <w14:solidFill>
              <w14:schemeClr w14:val="tx1"/>
            </w14:solidFill>
          </w14:textFill>
        </w:rPr>
        <w:t>非开挖工法不宜大于1200m。</w:t>
      </w:r>
    </w:p>
    <w:p w14:paraId="180E8BBE">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8.3</w:t>
      </w:r>
      <w:r>
        <w:rPr>
          <w:color w:val="000000" w:themeColor="text1"/>
          <w:highlight w:val="none"/>
          <w14:textFill>
            <w14:solidFill>
              <w14:schemeClr w14:val="tx1"/>
            </w14:solidFill>
          </w14:textFill>
        </w:rPr>
        <w:t xml:space="preserve">  供 电 系 统</w:t>
      </w:r>
      <w:bookmarkEnd w:id="54"/>
    </w:p>
    <w:p w14:paraId="5C2F838B">
      <w:pPr>
        <w:pStyle w:val="5"/>
        <w:rPr>
          <w:highlight w:val="none"/>
        </w:rPr>
      </w:pPr>
      <w:r>
        <w:rPr>
          <w:b/>
          <w:highlight w:val="none"/>
        </w:rPr>
        <w:t>8.3.1</w:t>
      </w:r>
      <w:r>
        <w:rPr>
          <w:highlight w:val="none"/>
        </w:rPr>
        <w:t xml:space="preserve">   综合管廊供电系统应符合下列规定：</w:t>
      </w:r>
    </w:p>
    <w:p w14:paraId="6A1D256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综合管廊供配电系统接线方案、电源供电电压、供电点、供电回路数、容量等应依据综合管廊建设规模、当地电源情况、综合管廊运行管理模式，并经技术经济比较后确定；</w:t>
      </w:r>
    </w:p>
    <w:p w14:paraId="7B2FD99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综合管廊由双电源供电，每路电源均应满足该供电范围内全部设备同时投入用电的需要。当采用两路电源有困难时，应另设置备用电源。可采用箱式变电站或地下变配电站供电；</w:t>
      </w:r>
    </w:p>
    <w:p w14:paraId="75BC96D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综合管廊的消防设备、监控与报警设备、应急照明设备及风机应按现行国家标准</w:t>
      </w:r>
      <w:bookmarkStart w:id="55" w:name="_Hlk18344733"/>
      <w:r>
        <w:rPr>
          <w:rFonts w:ascii="Times New Roman" w:hAnsi="Times New Roman" w:eastAsia="方正书宋简体" w:cs="Times New Roman"/>
          <w:color w:val="000000" w:themeColor="text1"/>
          <w:highlight w:val="none"/>
          <w14:textFill>
            <w14:solidFill>
              <w14:schemeClr w14:val="tx1"/>
            </w14:solidFill>
          </w14:textFill>
        </w:rPr>
        <w:t>《供配电系统设计规范》GB 50052</w:t>
      </w:r>
      <w:bookmarkEnd w:id="55"/>
      <w:r>
        <w:rPr>
          <w:rFonts w:ascii="Times New Roman" w:hAnsi="Times New Roman" w:eastAsia="方正书宋简体" w:cs="Times New Roman"/>
          <w:color w:val="000000" w:themeColor="text1"/>
          <w:highlight w:val="none"/>
          <w14:textFill>
            <w14:solidFill>
              <w14:schemeClr w14:val="tx1"/>
            </w14:solidFill>
          </w14:textFill>
        </w:rPr>
        <w:t>规定的二级负荷供电。天然气管道舱的监控与报警设备、管道紧急切断阀、风机应按</w:t>
      </w:r>
      <w:r>
        <w:rPr>
          <w:rFonts w:ascii="Times New Roman" w:hAnsi="Times New Roman" w:eastAsia="方正书宋简体" w:cs="Times New Roman"/>
          <w:color w:val="000000" w:themeColor="text1"/>
          <w:highlight w:val="none"/>
          <w:u w:val="none"/>
          <w14:textFill>
            <w14:solidFill>
              <w14:schemeClr w14:val="tx1"/>
            </w14:solidFill>
          </w14:textFill>
        </w:rPr>
        <w:t>二级负荷</w:t>
      </w:r>
      <w:r>
        <w:rPr>
          <w:rFonts w:ascii="Times New Roman" w:hAnsi="Times New Roman" w:eastAsia="方正书宋简体" w:cs="Times New Roman"/>
          <w:color w:val="000000" w:themeColor="text1"/>
          <w:highlight w:val="none"/>
          <w14:textFill>
            <w14:solidFill>
              <w14:schemeClr w14:val="tx1"/>
            </w14:solidFill>
          </w14:textFill>
        </w:rPr>
        <w:t>供电，且应由双重电源供电。其余用电设备可按三级负荷供电；</w:t>
      </w:r>
    </w:p>
    <w:p w14:paraId="5EF33CC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综合管廊低压配电半径应根据电源质量、线路保护以及技术经济合理性等因素确定。</w:t>
      </w:r>
    </w:p>
    <w:p w14:paraId="2BF49A76">
      <w:pPr>
        <w:pStyle w:val="5"/>
        <w:rPr>
          <w:highlight w:val="none"/>
        </w:rPr>
      </w:pPr>
      <w:r>
        <w:rPr>
          <w:b/>
          <w:highlight w:val="none"/>
        </w:rPr>
        <w:t>8.3.2</w:t>
      </w:r>
      <w:r>
        <w:rPr>
          <w:highlight w:val="none"/>
        </w:rPr>
        <w:t xml:space="preserve">  综合管廊附属设备配电系统应符合下列规定：</w:t>
      </w:r>
    </w:p>
    <w:p w14:paraId="2E97F91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综合管廊内的低压配电应采用交流220/380V系统，系统接地型式应为</w:t>
      </w:r>
      <w:bookmarkStart w:id="56" w:name="_Hlk16344323"/>
      <w:r>
        <w:rPr>
          <w:rFonts w:ascii="Times New Roman" w:hAnsi="Times New Roman" w:eastAsia="方正书宋简体" w:cs="Times New Roman"/>
          <w:color w:val="000000" w:themeColor="text1"/>
          <w:highlight w:val="none"/>
          <w14:textFill>
            <w14:solidFill>
              <w14:schemeClr w14:val="tx1"/>
            </w14:solidFill>
          </w14:textFill>
        </w:rPr>
        <w:t>TN-S制</w:t>
      </w:r>
      <w:bookmarkEnd w:id="56"/>
      <w:r>
        <w:rPr>
          <w:rFonts w:ascii="Times New Roman" w:hAnsi="Times New Roman" w:eastAsia="方正书宋简体" w:cs="Times New Roman"/>
          <w:color w:val="000000" w:themeColor="text1"/>
          <w:highlight w:val="none"/>
          <w14:textFill>
            <w14:solidFill>
              <w14:schemeClr w14:val="tx1"/>
            </w14:solidFill>
          </w14:textFill>
        </w:rPr>
        <w:t>，并宜使三相负荷平衡；</w:t>
      </w:r>
    </w:p>
    <w:p w14:paraId="173CC42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根据管廊附属用电设备的分布特点，宜采用放射式配电；</w:t>
      </w:r>
    </w:p>
    <w:p w14:paraId="113DADE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综合管廊各配电单元电源进线截面应满足该配电单元内设备同时投入时的用电需要； </w:t>
      </w:r>
    </w:p>
    <w:p w14:paraId="0644AD4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设备受电端的电压偏差：动力设备不宜超过供电标称电压的±5%，照明设备不宜超过-10%~+5%；</w:t>
      </w:r>
    </w:p>
    <w:p w14:paraId="13B7CE5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应采取无功功率补偿措施。无功补偿宜采用在配电所集中自动补偿的方式。当条件所限采用城市公共电网低压供电时，宜在电源进线处设置无功功率自动补偿装置；</w:t>
      </w:r>
    </w:p>
    <w:p w14:paraId="0D73A1C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应在各供电单元进线处设置电能计量测量装置；</w:t>
      </w:r>
    </w:p>
    <w:p w14:paraId="2811C4F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规模较大的综合管廊宜设置电力监控系统；</w:t>
      </w:r>
    </w:p>
    <w:p w14:paraId="4CBD9BE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所有配电线路均应进行短路灵敏度校验。</w:t>
      </w:r>
    </w:p>
    <w:p w14:paraId="7B930A68">
      <w:pPr>
        <w:pStyle w:val="5"/>
        <w:rPr>
          <w:highlight w:val="none"/>
        </w:rPr>
      </w:pPr>
      <w:r>
        <w:rPr>
          <w:b/>
          <w:highlight w:val="none"/>
        </w:rPr>
        <w:t xml:space="preserve">8.3.3 </w:t>
      </w:r>
      <w:r>
        <w:rPr>
          <w:highlight w:val="none"/>
        </w:rPr>
        <w:t xml:space="preserve"> 综合管廊内电气设备应符合下列规定：</w:t>
      </w:r>
    </w:p>
    <w:p w14:paraId="1421BA2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电气设备防护等级应适应地下环境的使用要求，应采取防水防潮措施，防护等级不应低于IP54，靠近带压水管阀门或接口处箱体防护等级不应低于IP55</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CEFC51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电气设备应安装在便于维护和操作的地方，配电柜、控制柜等宜设置在综合管廊顶部设备层内，不应安装在低洼、可能受积水浸入的地方</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569939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电源总配电箱宜安装在综合管廊进出口处</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E4F1E2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天然气管道舱内的电气设备应符合现行国家标准《爆炸危险环境电力装置设计规范》GB 50058有关爆炸性气体环境2区的防爆规定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C43CCE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有污水管线敷设的舱室，应考虑防爆问题。</w:t>
      </w:r>
    </w:p>
    <w:p w14:paraId="3C511E43">
      <w:pPr>
        <w:pStyle w:val="5"/>
        <w:rPr>
          <w:highlight w:val="none"/>
        </w:rPr>
      </w:pPr>
      <w:r>
        <w:rPr>
          <w:b/>
          <w:highlight w:val="none"/>
        </w:rPr>
        <w:t>8.3.4</w:t>
      </w:r>
      <w:r>
        <w:rPr>
          <w:highlight w:val="none"/>
        </w:rPr>
        <w:t xml:space="preserve">  综合管廊配电线路应符合下列规定：</w:t>
      </w:r>
    </w:p>
    <w:p w14:paraId="73BC02D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非消防设备的供电电缆、控制电缆应采用阻燃电缆，火灾时需继续工作的消防设备应采用耐火电缆或不燃电缆。</w:t>
      </w:r>
      <w:r>
        <w:rPr>
          <w:rFonts w:hint="eastAsia" w:ascii="Times New Roman" w:hAnsi="Times New Roman" w:eastAsia="方正书宋简体" w:cs="Times New Roman"/>
          <w:highlight w:val="none"/>
          <w:u w:val="none"/>
        </w:rPr>
        <w:t>含有天然气或污水管道</w:t>
      </w:r>
      <w:r>
        <w:rPr>
          <w:rFonts w:ascii="Times New Roman" w:hAnsi="Times New Roman" w:eastAsia="方正书宋简体" w:cs="Times New Roman"/>
          <w:color w:val="000000" w:themeColor="text1"/>
          <w:highlight w:val="none"/>
          <w14:textFill>
            <w14:solidFill>
              <w14:schemeClr w14:val="tx1"/>
            </w14:solidFill>
          </w14:textFill>
        </w:rPr>
        <w:t>的舱室，舱内的电气线路不应有中间接头，且具有防腐特性，线路敷设应符合现行国家标准</w:t>
      </w:r>
      <w:bookmarkStart w:id="57" w:name="_Hlk18344768"/>
      <w:r>
        <w:rPr>
          <w:rFonts w:ascii="Times New Roman" w:hAnsi="Times New Roman" w:eastAsia="方正书宋简体" w:cs="Times New Roman"/>
          <w:color w:val="000000" w:themeColor="text1"/>
          <w:highlight w:val="none"/>
          <w14:textFill>
            <w14:solidFill>
              <w14:schemeClr w14:val="tx1"/>
            </w14:solidFill>
          </w14:textFill>
        </w:rPr>
        <w:t>《爆炸环境电力装置设计规范》GB 50058</w:t>
      </w:r>
      <w:bookmarkEnd w:id="57"/>
      <w:r>
        <w:rPr>
          <w:rFonts w:ascii="Times New Roman" w:hAnsi="Times New Roman" w:eastAsia="方正书宋简体" w:cs="Times New Roman"/>
          <w:color w:val="000000" w:themeColor="text1"/>
          <w:highlight w:val="none"/>
          <w14:textFill>
            <w14:solidFill>
              <w14:schemeClr w14:val="tx1"/>
            </w14:solidFill>
          </w14:textFill>
        </w:rPr>
        <w:t>的有关规定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EC66DF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配电线路采用电缆桥架布线时，应根据腐蚀介质的特点对电缆桥架采取相应的防护措施</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D747D0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下列不同电压、不同用途的电缆，不宜敷设在同一桥架上：1kV以上和1kV以下的电缆；动力和照明电缆；应急照明和其他照明的电缆；强电和弱电电缆；消防与其他弱电电缆。如受条件限制需安装在同一层上时，应用隔板隔开</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8EE7F5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电缆穿越</w:t>
      </w:r>
      <w:r>
        <w:rPr>
          <w:rFonts w:hint="eastAsia" w:ascii="Times New Roman" w:hAnsi="Times New Roman" w:eastAsia="方正书宋简体" w:cs="Times New Roman"/>
          <w:highlight w:val="none"/>
          <w:u w:val="none"/>
        </w:rPr>
        <w:t>具有防火分隔功能的构件</w:t>
      </w:r>
      <w:r>
        <w:rPr>
          <w:rFonts w:ascii="Times New Roman" w:hAnsi="Times New Roman" w:eastAsia="方正书宋简体" w:cs="Times New Roman"/>
          <w:color w:val="000000" w:themeColor="text1"/>
          <w:highlight w:val="none"/>
          <w14:textFill>
            <w14:solidFill>
              <w14:schemeClr w14:val="tx1"/>
            </w14:solidFill>
          </w14:textFill>
        </w:rPr>
        <w:t>及竖井的孔洞处均应进行防火封堵。天然气管道舱内的电缆穿越隔墙及竖井的孔洞处均应采用非燃性材料严密封堵。</w:t>
      </w:r>
    </w:p>
    <w:p w14:paraId="77C2C783">
      <w:pPr>
        <w:pStyle w:val="5"/>
        <w:rPr>
          <w:highlight w:val="none"/>
        </w:rPr>
      </w:pPr>
      <w:r>
        <w:rPr>
          <w:b/>
          <w:highlight w:val="none"/>
        </w:rPr>
        <w:t>8.3.5</w:t>
      </w:r>
      <w:r>
        <w:rPr>
          <w:highlight w:val="none"/>
        </w:rPr>
        <w:t xml:space="preserve">  综合管廊内应设置交流220V/380V带剩余电流动作保护装置的检修插座，管廊内插座沿线间距不应大于60m，吊装口、通风口处各设一个检修插座。检修插座容量不应小于15kW，安装高度不宜小于0.5m。天然气管道、污水管线舱内的检修插座应满足防爆要求，且应在检修环境安全的状态下送电。</w:t>
      </w:r>
    </w:p>
    <w:p w14:paraId="193876C7">
      <w:pPr>
        <w:pStyle w:val="5"/>
        <w:rPr>
          <w:highlight w:val="none"/>
        </w:rPr>
      </w:pPr>
      <w:r>
        <w:rPr>
          <w:b/>
          <w:highlight w:val="none"/>
        </w:rPr>
        <w:t>8.3.6</w:t>
      </w:r>
      <w:r>
        <w:rPr>
          <w:highlight w:val="none"/>
        </w:rPr>
        <w:t xml:space="preserve">  综合管廊人员进出口处宜设置通风的控制开关。要求既能在风机控制箱、人员出入口和防火门两端防火门处开关手动动作，也能由环境与设备监控系统远程操作，并将风机状态信号反馈至环境与设备监控系统。</w:t>
      </w:r>
    </w:p>
    <w:p w14:paraId="51F25589">
      <w:pPr>
        <w:pStyle w:val="5"/>
        <w:rPr>
          <w:highlight w:val="none"/>
        </w:rPr>
      </w:pPr>
      <w:r>
        <w:rPr>
          <w:b/>
          <w:highlight w:val="none"/>
        </w:rPr>
        <w:t>8.3.7</w:t>
      </w:r>
      <w:r>
        <w:rPr>
          <w:highlight w:val="none"/>
        </w:rPr>
        <w:t xml:space="preserve">  综合管廊接地应符合下列规定：</w:t>
      </w:r>
    </w:p>
    <w:p w14:paraId="5D37A3B8">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综合管廊内的接地系统应形成环形接地网，接地电阻不应大于1Ω</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A90BA2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综合管廊的接地网宜采用热镀锌扁钢，且截面面积不应小于40mm×5mm。接地网应采用焊接搭接，不得采用螺栓搭接</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D429B7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综合管廊内的金属构件、电缆金属套、金属管道以及电气设备金属外壳均应与接地网连通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F525B7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含天然气管道舱室的接地系统尚应符合现行国家标准《爆炸危险环境电力装置设计规范》GB 50058的有关规定。</w:t>
      </w:r>
    </w:p>
    <w:p w14:paraId="1864ED2E">
      <w:pPr>
        <w:pStyle w:val="5"/>
        <w:rPr>
          <w:highlight w:val="none"/>
        </w:rPr>
      </w:pPr>
      <w:bookmarkStart w:id="58" w:name="_Toc37689748"/>
      <w:r>
        <w:rPr>
          <w:b/>
          <w:highlight w:val="none"/>
        </w:rPr>
        <w:t>8.3.8</w:t>
      </w:r>
      <w:r>
        <w:rPr>
          <w:highlight w:val="none"/>
        </w:rPr>
        <w:t xml:space="preserve">  综合管廊地上建（构）筑物部分的防雷应符合现行国家标准</w:t>
      </w:r>
      <w:bookmarkStart w:id="59" w:name="_Hlk18344786"/>
      <w:r>
        <w:rPr>
          <w:highlight w:val="none"/>
        </w:rPr>
        <w:t>《建筑物防雷设计规范》GB 50057</w:t>
      </w:r>
      <w:bookmarkEnd w:id="59"/>
      <w:r>
        <w:rPr>
          <w:highlight w:val="none"/>
        </w:rPr>
        <w:t>的有关规定；地下部分可不设置直击雷防护措施，但应在配电系统中设置防雷电感应过电压保护装置，并应在综合管廊内设置等电位联接系统。</w:t>
      </w:r>
    </w:p>
    <w:p w14:paraId="1C21BC4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8.4</w:t>
      </w:r>
      <w:r>
        <w:rPr>
          <w:color w:val="000000" w:themeColor="text1"/>
          <w:highlight w:val="none"/>
          <w14:textFill>
            <w14:solidFill>
              <w14:schemeClr w14:val="tx1"/>
            </w14:solidFill>
          </w14:textFill>
        </w:rPr>
        <w:t xml:space="preserve">  照 明 系 统</w:t>
      </w:r>
      <w:bookmarkEnd w:id="58"/>
    </w:p>
    <w:p w14:paraId="578BE983">
      <w:pPr>
        <w:pStyle w:val="5"/>
        <w:rPr>
          <w:highlight w:val="none"/>
        </w:rPr>
      </w:pPr>
      <w:r>
        <w:rPr>
          <w:b/>
          <w:highlight w:val="none"/>
        </w:rPr>
        <w:t>8.4.1</w:t>
      </w:r>
      <w:r>
        <w:rPr>
          <w:highlight w:val="none"/>
        </w:rPr>
        <w:t xml:space="preserve">  综合管廊内应设正常照明和应急照明，并应符合下列规定：</w:t>
      </w:r>
    </w:p>
    <w:p w14:paraId="2330428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在综合管廊内人行道上的一般照明的平均照度不应小于15lx，最低照度不应小于5lx；出入口和设备操作处的局部照度可为100lx；监控室一般照明照度不宜小于300lx</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D75AA9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正常照明为三级用电负荷，应急照明为二级用电负荷</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61DF908">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管廊内应急疏散照明照度不应低于5lx，应急电源持续供电时间不应小于</w:t>
      </w:r>
      <w:r>
        <w:rPr>
          <w:rFonts w:hint="eastAsia" w:ascii="Times New Roman" w:hAnsi="Times New Roman" w:eastAsia="方正书宋简体" w:cs="Times New Roman"/>
          <w:highlight w:val="none"/>
          <w:u w:val="none"/>
        </w:rPr>
        <w:t>60min</w:t>
      </w:r>
      <w:r>
        <w:rPr>
          <w:rFonts w:ascii="Times New Roman" w:hAnsi="Times New Roman" w:eastAsia="方正书宋简体" w:cs="Times New Roman"/>
          <w:color w:val="000000" w:themeColor="text1"/>
          <w:highlight w:val="none"/>
          <w:u w:val="none"/>
          <w14:textFill>
            <w14:solidFill>
              <w14:schemeClr w14:val="tx1"/>
            </w14:solidFill>
          </w14:textFill>
        </w:rPr>
        <w:t>；</w:t>
      </w:r>
    </w:p>
    <w:p w14:paraId="76E79F1D">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监控室备用应急照明照度应达到正常照明照度的要求</w:t>
      </w:r>
      <w:r>
        <w:rPr>
          <w:rFonts w:hint="eastAsia" w:ascii="Times New Roman" w:hAnsi="Times New Roman" w:eastAsia="方正书宋简体" w:cs="Times New Roman"/>
          <w:color w:val="000000" w:themeColor="text1"/>
          <w:highlight w:val="none"/>
          <w:u w:val="none"/>
          <w14:textFill>
            <w14:solidFill>
              <w14:schemeClr w14:val="tx1"/>
            </w14:solidFill>
          </w14:textFill>
        </w:rPr>
        <w:t>；</w:t>
      </w:r>
    </w:p>
    <w:p w14:paraId="2ED01B70">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5</w:t>
      </w:r>
      <w:r>
        <w:rPr>
          <w:rFonts w:ascii="Times New Roman" w:hAnsi="Times New Roman" w:eastAsia="方正书宋简体" w:cs="Times New Roman"/>
          <w:color w:val="000000" w:themeColor="text1"/>
          <w:highlight w:val="none"/>
          <w:u w:val="none"/>
          <w14:textFill>
            <w14:solidFill>
              <w14:schemeClr w14:val="tx1"/>
            </w14:solidFill>
          </w14:textFill>
        </w:rPr>
        <w:t xml:space="preserve">  出入口和各防火门上方应设置安全出口标志灯，灯光疏散指示标志应设置在距地坪高度1.0m以下，间距不应大于10m</w:t>
      </w:r>
      <w:r>
        <w:rPr>
          <w:rFonts w:hint="eastAsia" w:ascii="Times New Roman" w:hAnsi="Times New Roman" w:eastAsia="方正书宋简体" w:cs="Times New Roman"/>
          <w:color w:val="000000" w:themeColor="text1"/>
          <w:highlight w:val="none"/>
          <w:u w:val="none"/>
          <w14:textFill>
            <w14:solidFill>
              <w14:schemeClr w14:val="tx1"/>
            </w14:solidFill>
          </w14:textFill>
        </w:rPr>
        <w:t>；</w:t>
      </w:r>
    </w:p>
    <w:p w14:paraId="00B973E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综合管廊内照明采用智能照明控制系统，配电箱内安装智能照明控制模块，实现就地控制与远程控制，智能照明控制模块能接收火灾及ACU联动信号，联动点亮照明灯具。</w:t>
      </w:r>
    </w:p>
    <w:p w14:paraId="29FC0BC0">
      <w:pPr>
        <w:pStyle w:val="5"/>
        <w:rPr>
          <w:highlight w:val="none"/>
        </w:rPr>
      </w:pPr>
      <w:r>
        <w:rPr>
          <w:b/>
          <w:highlight w:val="none"/>
        </w:rPr>
        <w:t>8.4.2</w:t>
      </w:r>
      <w:r>
        <w:rPr>
          <w:highlight w:val="none"/>
        </w:rPr>
        <w:t xml:space="preserve">  综合管廊照明灯具应符合下列要求：</w:t>
      </w:r>
    </w:p>
    <w:p w14:paraId="6FC5975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灯具应为防触电保护等级I类设备，能触及的可导电部分应与固定线路中的保护（PE）线可靠连接</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A4CFD3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灯具应采取防水防潮措施，防护等级不宜低于IP54，并应具有防外力冲撞的防护措施</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69A070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灯具应采用节能型光源，并应能快速启动点亮</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E0BB92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安装高度低于2.2m的，照明灯具应采用24V及以下安全电压供电；当采用220V电压供电时，应采取防止触电的安全措施，并应敷设灯具外壳专用接地线</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2CA2C4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安装在天然气管道舱内的灯具应符合现行国家标准《爆炸危险环境电力装置设计规范》GB 50058的有关规定。</w:t>
      </w:r>
    </w:p>
    <w:p w14:paraId="65F9E2DF">
      <w:pPr>
        <w:pStyle w:val="5"/>
        <w:rPr>
          <w:highlight w:val="none"/>
        </w:rPr>
      </w:pPr>
      <w:bookmarkStart w:id="60" w:name="_Toc37689749"/>
      <w:r>
        <w:rPr>
          <w:b/>
          <w:highlight w:val="none"/>
        </w:rPr>
        <w:t>8.4.3</w:t>
      </w:r>
      <w:r>
        <w:rPr>
          <w:highlight w:val="none"/>
        </w:rPr>
        <w:t xml:space="preserve">  照明回路导线应采用硬铜线，截面面积不小于2.5mm</w:t>
      </w:r>
      <w:r>
        <w:rPr>
          <w:highlight w:val="none"/>
          <w:vertAlign w:val="superscript"/>
        </w:rPr>
        <w:t>2</w:t>
      </w:r>
      <w:r>
        <w:rPr>
          <w:highlight w:val="none"/>
        </w:rPr>
        <w:t>。线路明敷设时宜采用保护管或线槽穿线方式布线。天然气管线舱内的照明线路应采用低压流体输送用镀锌焊接钢管配线，并应进行隔离密封防爆处理。</w:t>
      </w:r>
    </w:p>
    <w:p w14:paraId="02BF9FEA">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t xml:space="preserve">  监控与报警系统</w:t>
      </w:r>
      <w:bookmarkEnd w:id="60"/>
    </w:p>
    <w:p w14:paraId="1E118660">
      <w:pPr>
        <w:pStyle w:val="5"/>
        <w:rPr>
          <w:highlight w:val="none"/>
        </w:rPr>
      </w:pPr>
      <w:r>
        <w:rPr>
          <w:b/>
          <w:highlight w:val="none"/>
        </w:rPr>
        <w:t>8.5.1</w:t>
      </w:r>
      <w:r>
        <w:rPr>
          <w:highlight w:val="none"/>
        </w:rPr>
        <w:t xml:space="preserve">  综合管廊监控与报警系统宜分为环境与设备监控系统、安全防范系统、通信系统、预警与报警系统、地理信息系统和统一管理信息平台等。</w:t>
      </w:r>
    </w:p>
    <w:p w14:paraId="02551ACC">
      <w:pPr>
        <w:pStyle w:val="5"/>
        <w:rPr>
          <w:highlight w:val="none"/>
        </w:rPr>
      </w:pPr>
      <w:r>
        <w:rPr>
          <w:b/>
          <w:highlight w:val="none"/>
        </w:rPr>
        <w:t>8.5.2</w:t>
      </w:r>
      <w:r>
        <w:rPr>
          <w:highlight w:val="none"/>
        </w:rPr>
        <w:t xml:space="preserve">  监控与报警系统的组成及其系统架构、系统配置应根据综合</w:t>
      </w:r>
      <w:r>
        <w:rPr>
          <w:spacing w:val="6"/>
          <w:highlight w:val="none"/>
        </w:rPr>
        <w:t>管廊建设规模、纳入管线的种类、综合管廊运营维护管理模式等确</w:t>
      </w:r>
      <w:r>
        <w:rPr>
          <w:highlight w:val="none"/>
        </w:rPr>
        <w:t>定。</w:t>
      </w:r>
    </w:p>
    <w:p w14:paraId="75C93F67">
      <w:pPr>
        <w:pStyle w:val="5"/>
        <w:rPr>
          <w:highlight w:val="none"/>
        </w:rPr>
      </w:pPr>
      <w:r>
        <w:rPr>
          <w:b/>
          <w:highlight w:val="none"/>
        </w:rPr>
        <w:t>8.5.3</w:t>
      </w:r>
      <w:r>
        <w:rPr>
          <w:highlight w:val="none"/>
        </w:rPr>
        <w:t xml:space="preserve">  监控、报警以及联动反馈信号应送至综合管廊监控中心。</w:t>
      </w:r>
    </w:p>
    <w:p w14:paraId="3D4A45FE">
      <w:pPr>
        <w:pStyle w:val="5"/>
        <w:rPr>
          <w:highlight w:val="none"/>
        </w:rPr>
      </w:pPr>
      <w:r>
        <w:rPr>
          <w:b/>
          <w:highlight w:val="none"/>
        </w:rPr>
        <w:t>8.5.4</w:t>
      </w:r>
      <w:r>
        <w:rPr>
          <w:highlight w:val="none"/>
        </w:rPr>
        <w:t xml:space="preserve">  综合管廊应设置环境与设备监控系统，并应符合下列规定：</w:t>
      </w:r>
    </w:p>
    <w:p w14:paraId="6A452571">
      <w:pPr>
        <w:pStyle w:val="59"/>
        <w:ind w:firstLine="316" w:firstLineChars="150"/>
        <w:rPr>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应能对综合管廊内环境参数进行监测与报警。环境参数检测内容应符合表8.5.4的规定，含有两类及以上管线的舱室，应按较高要求的管线设置。气体报警设定值应符合现行国家标准《密闭空间作业职业危害防护规范》GBZ/T 205的有关规定；</w:t>
      </w:r>
    </w:p>
    <w:p w14:paraId="02B50903">
      <w:pPr>
        <w:pStyle w:val="6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表8.5.4  环境参数检测内容</w:t>
      </w:r>
    </w:p>
    <w:tbl>
      <w:tblPr>
        <w:tblStyle w:val="27"/>
        <w:tblW w:w="6123" w:type="dxa"/>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28" w:type="dxa"/>
          <w:bottom w:w="0" w:type="dxa"/>
          <w:right w:w="28" w:type="dxa"/>
        </w:tblCellMar>
      </w:tblPr>
      <w:tblGrid>
        <w:gridCol w:w="795"/>
        <w:gridCol w:w="1033"/>
        <w:gridCol w:w="775"/>
        <w:gridCol w:w="756"/>
        <w:gridCol w:w="688"/>
        <w:gridCol w:w="900"/>
        <w:gridCol w:w="619"/>
        <w:gridCol w:w="557"/>
      </w:tblGrid>
      <w:tr w14:paraId="28A06FEA">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tblHeader/>
          <w:jc w:val="center"/>
        </w:trPr>
        <w:tc>
          <w:tcPr>
            <w:tcW w:w="795" w:type="dxa"/>
            <w:tcBorders>
              <w:bottom w:val="single" w:color="000000" w:sz="4" w:space="0"/>
              <w:right w:val="single" w:color="000000" w:sz="4" w:space="0"/>
            </w:tcBorders>
            <w:vAlign w:val="center"/>
          </w:tcPr>
          <w:p w14:paraId="76276D36">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舱室容纳管线类别</w:t>
            </w:r>
          </w:p>
        </w:tc>
        <w:tc>
          <w:tcPr>
            <w:tcW w:w="1033" w:type="dxa"/>
            <w:tcBorders>
              <w:left w:val="single" w:color="000000" w:sz="4" w:space="0"/>
              <w:bottom w:val="single" w:color="000000" w:sz="4" w:space="0"/>
              <w:right w:val="single" w:color="000000" w:sz="4" w:space="0"/>
            </w:tcBorders>
            <w:vAlign w:val="center"/>
          </w:tcPr>
          <w:p w14:paraId="6195A88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给水再生水雨水管道</w:t>
            </w:r>
          </w:p>
        </w:tc>
        <w:tc>
          <w:tcPr>
            <w:tcW w:w="775" w:type="dxa"/>
            <w:tcBorders>
              <w:left w:val="single" w:color="000000" w:sz="4" w:space="0"/>
              <w:bottom w:val="single" w:color="000000" w:sz="4" w:space="0"/>
              <w:right w:val="single" w:color="000000" w:sz="4" w:space="0"/>
            </w:tcBorders>
            <w:vAlign w:val="center"/>
          </w:tcPr>
          <w:p w14:paraId="456E3F65">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污水</w:t>
            </w:r>
          </w:p>
          <w:p w14:paraId="3182DA10">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管道</w:t>
            </w:r>
          </w:p>
        </w:tc>
        <w:tc>
          <w:tcPr>
            <w:tcW w:w="756" w:type="dxa"/>
            <w:tcBorders>
              <w:left w:val="single" w:color="000000" w:sz="4" w:space="0"/>
              <w:bottom w:val="single" w:color="000000" w:sz="4" w:space="0"/>
              <w:right w:val="single" w:color="000000" w:sz="4" w:space="0"/>
            </w:tcBorders>
            <w:vAlign w:val="center"/>
          </w:tcPr>
          <w:p w14:paraId="03F45F86">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天然气</w:t>
            </w:r>
          </w:p>
          <w:p w14:paraId="510144A3">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管道</w:t>
            </w:r>
          </w:p>
        </w:tc>
        <w:tc>
          <w:tcPr>
            <w:tcW w:w="688" w:type="dxa"/>
            <w:tcBorders>
              <w:left w:val="single" w:color="000000" w:sz="4" w:space="0"/>
              <w:bottom w:val="single" w:color="000000" w:sz="4" w:space="0"/>
              <w:right w:val="single" w:color="000000" w:sz="4" w:space="0"/>
            </w:tcBorders>
            <w:vAlign w:val="center"/>
          </w:tcPr>
          <w:p w14:paraId="38B2FA75">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热力</w:t>
            </w:r>
          </w:p>
          <w:p w14:paraId="453F1ACB">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管道</w:t>
            </w:r>
          </w:p>
        </w:tc>
        <w:tc>
          <w:tcPr>
            <w:tcW w:w="900" w:type="dxa"/>
            <w:tcBorders>
              <w:left w:val="single" w:color="000000" w:sz="4" w:space="0"/>
              <w:bottom w:val="single" w:color="000000" w:sz="4" w:space="0"/>
              <w:right w:val="single" w:color="000000" w:sz="4" w:space="0"/>
            </w:tcBorders>
            <w:vAlign w:val="center"/>
          </w:tcPr>
          <w:p w14:paraId="20F3B1BE">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电力电缆</w:t>
            </w:r>
          </w:p>
          <w:p w14:paraId="3FF69140">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通信线缆</w:t>
            </w:r>
          </w:p>
        </w:tc>
        <w:tc>
          <w:tcPr>
            <w:tcW w:w="619" w:type="dxa"/>
            <w:tcBorders>
              <w:left w:val="single" w:color="000000" w:sz="4" w:space="0"/>
              <w:bottom w:val="single" w:color="000000" w:sz="4" w:space="0"/>
              <w:right w:val="single" w:color="000000" w:sz="4" w:space="0"/>
            </w:tcBorders>
            <w:vAlign w:val="center"/>
          </w:tcPr>
          <w:p w14:paraId="712F2C2C">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空调水</w:t>
            </w:r>
          </w:p>
        </w:tc>
        <w:tc>
          <w:tcPr>
            <w:tcW w:w="557" w:type="dxa"/>
            <w:tcBorders>
              <w:left w:val="single" w:color="000000" w:sz="4" w:space="0"/>
              <w:bottom w:val="single" w:color="000000" w:sz="4" w:space="0"/>
            </w:tcBorders>
            <w:vAlign w:val="center"/>
          </w:tcPr>
          <w:p w14:paraId="39BE91B7">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气动</w:t>
            </w:r>
          </w:p>
          <w:p w14:paraId="5EE8EB86">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垃圾</w:t>
            </w:r>
          </w:p>
        </w:tc>
      </w:tr>
      <w:tr w14:paraId="12F9C4D5">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bottom w:val="single" w:color="000000" w:sz="4" w:space="0"/>
              <w:right w:val="single" w:color="000000" w:sz="4" w:space="0"/>
            </w:tcBorders>
            <w:vAlign w:val="center"/>
          </w:tcPr>
          <w:p w14:paraId="2DF21DA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温度</w:t>
            </w:r>
          </w:p>
        </w:tc>
        <w:tc>
          <w:tcPr>
            <w:tcW w:w="1033" w:type="dxa"/>
            <w:tcBorders>
              <w:top w:val="single" w:color="000000" w:sz="4" w:space="0"/>
              <w:left w:val="single" w:color="000000" w:sz="4" w:space="0"/>
              <w:bottom w:val="single" w:color="000000" w:sz="4" w:space="0"/>
              <w:right w:val="single" w:color="000000" w:sz="4" w:space="0"/>
            </w:tcBorders>
            <w:vAlign w:val="center"/>
          </w:tcPr>
          <w:p w14:paraId="3C67771D">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bottom w:val="single" w:color="000000" w:sz="4" w:space="0"/>
              <w:right w:val="single" w:color="000000" w:sz="4" w:space="0"/>
            </w:tcBorders>
            <w:vAlign w:val="center"/>
          </w:tcPr>
          <w:p w14:paraId="68517444">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vAlign w:val="center"/>
          </w:tcPr>
          <w:p w14:paraId="17E641A7">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bottom w:val="single" w:color="000000" w:sz="4" w:space="0"/>
              <w:right w:val="single" w:color="000000" w:sz="4" w:space="0"/>
            </w:tcBorders>
            <w:vAlign w:val="center"/>
          </w:tcPr>
          <w:p w14:paraId="77715B30">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52C4312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bottom w:val="single" w:color="000000" w:sz="4" w:space="0"/>
              <w:right w:val="single" w:color="000000" w:sz="4" w:space="0"/>
            </w:tcBorders>
            <w:vAlign w:val="center"/>
          </w:tcPr>
          <w:p w14:paraId="4B9DA005">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bottom w:val="single" w:color="000000" w:sz="4" w:space="0"/>
            </w:tcBorders>
            <w:vAlign w:val="center"/>
          </w:tcPr>
          <w:p w14:paraId="7910C245">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r w14:paraId="6CE7CA65">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bottom w:val="single" w:color="000000" w:sz="4" w:space="0"/>
              <w:right w:val="single" w:color="000000" w:sz="4" w:space="0"/>
            </w:tcBorders>
            <w:vAlign w:val="center"/>
          </w:tcPr>
          <w:p w14:paraId="1300EB4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湿度</w:t>
            </w:r>
          </w:p>
        </w:tc>
        <w:tc>
          <w:tcPr>
            <w:tcW w:w="1033" w:type="dxa"/>
            <w:tcBorders>
              <w:top w:val="single" w:color="000000" w:sz="4" w:space="0"/>
              <w:left w:val="single" w:color="000000" w:sz="4" w:space="0"/>
              <w:bottom w:val="single" w:color="000000" w:sz="4" w:space="0"/>
              <w:right w:val="single" w:color="000000" w:sz="4" w:space="0"/>
            </w:tcBorders>
            <w:vAlign w:val="center"/>
          </w:tcPr>
          <w:p w14:paraId="254F0312">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bottom w:val="single" w:color="000000" w:sz="4" w:space="0"/>
              <w:right w:val="single" w:color="000000" w:sz="4" w:space="0"/>
            </w:tcBorders>
            <w:vAlign w:val="center"/>
          </w:tcPr>
          <w:p w14:paraId="6335A22D">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vAlign w:val="center"/>
          </w:tcPr>
          <w:p w14:paraId="1B9B93FB">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bottom w:val="single" w:color="000000" w:sz="4" w:space="0"/>
              <w:right w:val="single" w:color="000000" w:sz="4" w:space="0"/>
            </w:tcBorders>
            <w:vAlign w:val="center"/>
          </w:tcPr>
          <w:p w14:paraId="3A88D2C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2E0B3140">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bottom w:val="single" w:color="000000" w:sz="4" w:space="0"/>
              <w:right w:val="single" w:color="000000" w:sz="4" w:space="0"/>
            </w:tcBorders>
            <w:vAlign w:val="center"/>
          </w:tcPr>
          <w:p w14:paraId="7E6D41FB">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bottom w:val="single" w:color="000000" w:sz="4" w:space="0"/>
            </w:tcBorders>
            <w:vAlign w:val="center"/>
          </w:tcPr>
          <w:p w14:paraId="4089434D">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r w14:paraId="30C9F5F4">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bottom w:val="single" w:color="000000" w:sz="4" w:space="0"/>
              <w:right w:val="single" w:color="000000" w:sz="4" w:space="0"/>
            </w:tcBorders>
            <w:vAlign w:val="center"/>
          </w:tcPr>
          <w:p w14:paraId="134C7456">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水位</w:t>
            </w:r>
          </w:p>
        </w:tc>
        <w:tc>
          <w:tcPr>
            <w:tcW w:w="1033" w:type="dxa"/>
            <w:tcBorders>
              <w:top w:val="single" w:color="000000" w:sz="4" w:space="0"/>
              <w:left w:val="single" w:color="000000" w:sz="4" w:space="0"/>
              <w:bottom w:val="single" w:color="000000" w:sz="4" w:space="0"/>
              <w:right w:val="single" w:color="000000" w:sz="4" w:space="0"/>
            </w:tcBorders>
            <w:vAlign w:val="center"/>
          </w:tcPr>
          <w:p w14:paraId="7717D397">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bottom w:val="single" w:color="000000" w:sz="4" w:space="0"/>
              <w:right w:val="single" w:color="000000" w:sz="4" w:space="0"/>
            </w:tcBorders>
            <w:vAlign w:val="center"/>
          </w:tcPr>
          <w:p w14:paraId="681D4B94">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vAlign w:val="center"/>
          </w:tcPr>
          <w:p w14:paraId="46E9533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bottom w:val="single" w:color="000000" w:sz="4" w:space="0"/>
              <w:right w:val="single" w:color="000000" w:sz="4" w:space="0"/>
            </w:tcBorders>
            <w:vAlign w:val="center"/>
          </w:tcPr>
          <w:p w14:paraId="00296442">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4EF7E934">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bottom w:val="single" w:color="000000" w:sz="4" w:space="0"/>
              <w:right w:val="single" w:color="000000" w:sz="4" w:space="0"/>
            </w:tcBorders>
            <w:vAlign w:val="center"/>
          </w:tcPr>
          <w:p w14:paraId="17BA56B2">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bottom w:val="single" w:color="000000" w:sz="4" w:space="0"/>
            </w:tcBorders>
            <w:vAlign w:val="center"/>
          </w:tcPr>
          <w:p w14:paraId="629CB49E">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r w14:paraId="0A88A199">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bottom w:val="single" w:color="000000" w:sz="4" w:space="0"/>
              <w:right w:val="single" w:color="000000" w:sz="4" w:space="0"/>
            </w:tcBorders>
            <w:vAlign w:val="center"/>
          </w:tcPr>
          <w:p w14:paraId="4EED6256">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O</w:t>
            </w:r>
            <w:r>
              <w:rPr>
                <w:color w:val="000000" w:themeColor="text1"/>
                <w:highlight w:val="none"/>
                <w:vertAlign w:val="subscript"/>
                <w:lang w:eastAsia="en-US"/>
                <w14:textFill>
                  <w14:solidFill>
                    <w14:schemeClr w14:val="tx1"/>
                  </w14:solidFill>
                </w14:textFill>
              </w:rPr>
              <w:t>2</w:t>
            </w:r>
          </w:p>
        </w:tc>
        <w:tc>
          <w:tcPr>
            <w:tcW w:w="1033" w:type="dxa"/>
            <w:tcBorders>
              <w:top w:val="single" w:color="000000" w:sz="4" w:space="0"/>
              <w:left w:val="single" w:color="000000" w:sz="4" w:space="0"/>
              <w:bottom w:val="single" w:color="000000" w:sz="4" w:space="0"/>
              <w:right w:val="single" w:color="000000" w:sz="4" w:space="0"/>
            </w:tcBorders>
            <w:vAlign w:val="center"/>
          </w:tcPr>
          <w:p w14:paraId="03E26F23">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bottom w:val="single" w:color="000000" w:sz="4" w:space="0"/>
              <w:right w:val="single" w:color="000000" w:sz="4" w:space="0"/>
            </w:tcBorders>
            <w:vAlign w:val="center"/>
          </w:tcPr>
          <w:p w14:paraId="20CE48CA">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vAlign w:val="center"/>
          </w:tcPr>
          <w:p w14:paraId="24CB3444">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bottom w:val="single" w:color="000000" w:sz="4" w:space="0"/>
              <w:right w:val="single" w:color="000000" w:sz="4" w:space="0"/>
            </w:tcBorders>
            <w:vAlign w:val="center"/>
          </w:tcPr>
          <w:p w14:paraId="22A0E81A">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11F4E74B">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bottom w:val="single" w:color="000000" w:sz="4" w:space="0"/>
              <w:right w:val="single" w:color="000000" w:sz="4" w:space="0"/>
            </w:tcBorders>
            <w:vAlign w:val="center"/>
          </w:tcPr>
          <w:p w14:paraId="7B59E46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bottom w:val="single" w:color="000000" w:sz="4" w:space="0"/>
            </w:tcBorders>
            <w:vAlign w:val="center"/>
          </w:tcPr>
          <w:p w14:paraId="429C8AE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r w14:paraId="39CA31D8">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bottom w:val="single" w:color="000000" w:sz="4" w:space="0"/>
              <w:right w:val="single" w:color="000000" w:sz="4" w:space="0"/>
            </w:tcBorders>
            <w:vAlign w:val="center"/>
          </w:tcPr>
          <w:p w14:paraId="36AC257A">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H</w:t>
            </w:r>
            <w:r>
              <w:rPr>
                <w:color w:val="000000" w:themeColor="text1"/>
                <w:highlight w:val="none"/>
                <w:vertAlign w:val="subscript"/>
                <w:lang w:eastAsia="en-US"/>
                <w14:textFill>
                  <w14:solidFill>
                    <w14:schemeClr w14:val="tx1"/>
                  </w14:solidFill>
                </w14:textFill>
              </w:rPr>
              <w:t>2</w:t>
            </w:r>
            <w:r>
              <w:rPr>
                <w:color w:val="000000" w:themeColor="text1"/>
                <w:highlight w:val="none"/>
                <w:lang w:eastAsia="en-US"/>
                <w14:textFill>
                  <w14:solidFill>
                    <w14:schemeClr w14:val="tx1"/>
                  </w14:solidFill>
                </w14:textFill>
              </w:rPr>
              <w:t>S气体</w:t>
            </w:r>
          </w:p>
        </w:tc>
        <w:tc>
          <w:tcPr>
            <w:tcW w:w="1033" w:type="dxa"/>
            <w:tcBorders>
              <w:top w:val="single" w:color="000000" w:sz="4" w:space="0"/>
              <w:left w:val="single" w:color="000000" w:sz="4" w:space="0"/>
              <w:bottom w:val="single" w:color="000000" w:sz="4" w:space="0"/>
              <w:right w:val="single" w:color="000000" w:sz="4" w:space="0"/>
            </w:tcBorders>
            <w:vAlign w:val="center"/>
          </w:tcPr>
          <w:p w14:paraId="05268A52">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bottom w:val="single" w:color="000000" w:sz="4" w:space="0"/>
              <w:right w:val="single" w:color="000000" w:sz="4" w:space="0"/>
            </w:tcBorders>
            <w:vAlign w:val="center"/>
          </w:tcPr>
          <w:p w14:paraId="32952CD4">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bottom w:val="single" w:color="000000" w:sz="4" w:space="0"/>
              <w:right w:val="single" w:color="000000" w:sz="4" w:space="0"/>
            </w:tcBorders>
            <w:vAlign w:val="center"/>
          </w:tcPr>
          <w:p w14:paraId="1FE58DF8">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bottom w:val="single" w:color="000000" w:sz="4" w:space="0"/>
              <w:right w:val="single" w:color="000000" w:sz="4" w:space="0"/>
            </w:tcBorders>
            <w:vAlign w:val="center"/>
          </w:tcPr>
          <w:p w14:paraId="44842B7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bottom w:val="single" w:color="000000" w:sz="4" w:space="0"/>
              <w:right w:val="single" w:color="000000" w:sz="4" w:space="0"/>
            </w:tcBorders>
            <w:vAlign w:val="center"/>
          </w:tcPr>
          <w:p w14:paraId="1D84ACA2">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bottom w:val="single" w:color="000000" w:sz="4" w:space="0"/>
              <w:right w:val="single" w:color="000000" w:sz="4" w:space="0"/>
            </w:tcBorders>
            <w:vAlign w:val="center"/>
          </w:tcPr>
          <w:p w14:paraId="05DF770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bottom w:val="single" w:color="000000" w:sz="4" w:space="0"/>
            </w:tcBorders>
            <w:vAlign w:val="center"/>
          </w:tcPr>
          <w:p w14:paraId="68E52505">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r w14:paraId="795C0558">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795" w:type="dxa"/>
            <w:tcBorders>
              <w:top w:val="single" w:color="000000" w:sz="4" w:space="0"/>
              <w:right w:val="single" w:color="000000" w:sz="4" w:space="0"/>
            </w:tcBorders>
            <w:vAlign w:val="center"/>
          </w:tcPr>
          <w:p w14:paraId="1CE6FD11">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CH</w:t>
            </w:r>
            <w:r>
              <w:rPr>
                <w:color w:val="000000" w:themeColor="text1"/>
                <w:highlight w:val="none"/>
                <w:vertAlign w:val="subscript"/>
                <w:lang w:eastAsia="en-US"/>
                <w14:textFill>
                  <w14:solidFill>
                    <w14:schemeClr w14:val="tx1"/>
                  </w14:solidFill>
                </w14:textFill>
              </w:rPr>
              <w:t>4</w:t>
            </w:r>
            <w:r>
              <w:rPr>
                <w:color w:val="000000" w:themeColor="text1"/>
                <w:highlight w:val="none"/>
                <w:lang w:eastAsia="en-US"/>
                <w14:textFill>
                  <w14:solidFill>
                    <w14:schemeClr w14:val="tx1"/>
                  </w14:solidFill>
                </w14:textFill>
              </w:rPr>
              <w:t>气体</w:t>
            </w:r>
          </w:p>
        </w:tc>
        <w:tc>
          <w:tcPr>
            <w:tcW w:w="1033" w:type="dxa"/>
            <w:tcBorders>
              <w:top w:val="single" w:color="000000" w:sz="4" w:space="0"/>
              <w:left w:val="single" w:color="000000" w:sz="4" w:space="0"/>
              <w:right w:val="single" w:color="000000" w:sz="4" w:space="0"/>
            </w:tcBorders>
            <w:vAlign w:val="center"/>
          </w:tcPr>
          <w:p w14:paraId="64874798">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75" w:type="dxa"/>
            <w:tcBorders>
              <w:top w:val="single" w:color="000000" w:sz="4" w:space="0"/>
              <w:left w:val="single" w:color="000000" w:sz="4" w:space="0"/>
              <w:right w:val="single" w:color="000000" w:sz="4" w:space="0"/>
            </w:tcBorders>
            <w:vAlign w:val="center"/>
          </w:tcPr>
          <w:p w14:paraId="34D28AEE">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756" w:type="dxa"/>
            <w:tcBorders>
              <w:top w:val="single" w:color="000000" w:sz="4" w:space="0"/>
              <w:left w:val="single" w:color="000000" w:sz="4" w:space="0"/>
              <w:right w:val="single" w:color="000000" w:sz="4" w:space="0"/>
            </w:tcBorders>
            <w:vAlign w:val="center"/>
          </w:tcPr>
          <w:p w14:paraId="0C2897D8">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88" w:type="dxa"/>
            <w:tcBorders>
              <w:top w:val="single" w:color="000000" w:sz="4" w:space="0"/>
              <w:left w:val="single" w:color="000000" w:sz="4" w:space="0"/>
              <w:right w:val="single" w:color="000000" w:sz="4" w:space="0"/>
            </w:tcBorders>
            <w:vAlign w:val="center"/>
          </w:tcPr>
          <w:p w14:paraId="0C55E29C">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900" w:type="dxa"/>
            <w:tcBorders>
              <w:top w:val="single" w:color="000000" w:sz="4" w:space="0"/>
              <w:left w:val="single" w:color="000000" w:sz="4" w:space="0"/>
              <w:right w:val="single" w:color="000000" w:sz="4" w:space="0"/>
            </w:tcBorders>
            <w:vAlign w:val="center"/>
          </w:tcPr>
          <w:p w14:paraId="55E3236F">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619" w:type="dxa"/>
            <w:tcBorders>
              <w:top w:val="single" w:color="000000" w:sz="4" w:space="0"/>
              <w:left w:val="single" w:color="000000" w:sz="4" w:space="0"/>
              <w:right w:val="single" w:color="000000" w:sz="4" w:space="0"/>
            </w:tcBorders>
            <w:vAlign w:val="center"/>
          </w:tcPr>
          <w:p w14:paraId="05D32BF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c>
          <w:tcPr>
            <w:tcW w:w="557" w:type="dxa"/>
            <w:tcBorders>
              <w:top w:val="single" w:color="000000" w:sz="4" w:space="0"/>
              <w:left w:val="single" w:color="000000" w:sz="4" w:space="0"/>
            </w:tcBorders>
            <w:vAlign w:val="center"/>
          </w:tcPr>
          <w:p w14:paraId="114AB059">
            <w:pPr>
              <w:pStyle w:val="63"/>
              <w:rPr>
                <w:color w:val="000000" w:themeColor="text1"/>
                <w:highlight w:val="none"/>
                <w:lang w:eastAsia="en-US"/>
                <w14:textFill>
                  <w14:solidFill>
                    <w14:schemeClr w14:val="tx1"/>
                  </w14:solidFill>
                </w14:textFill>
              </w:rPr>
            </w:pPr>
            <w:r>
              <w:rPr>
                <w:color w:val="000000" w:themeColor="text1"/>
                <w:highlight w:val="none"/>
                <w:lang w:eastAsia="en-US"/>
                <w14:textFill>
                  <w14:solidFill>
                    <w14:schemeClr w14:val="tx1"/>
                  </w14:solidFill>
                </w14:textFill>
              </w:rPr>
              <w:t>●</w:t>
            </w:r>
          </w:p>
        </w:tc>
      </w:tr>
    </w:tbl>
    <w:p w14:paraId="5A45F7F4">
      <w:pPr>
        <w:pStyle w:val="62"/>
        <w:overflowPunct w:val="0"/>
        <w:spacing w:line="348" w:lineRule="exact"/>
        <w:ind w:left="211" w:leftChars="100" w:right="211" w:rightChars="100" w:firstLine="0" w:firstLineChars="0"/>
        <w:rPr>
          <w:rFonts w:ascii="Times New Roman" w:hAnsi="Times New Roman" w:eastAsia="方正书宋简体" w:cs="Times New Roman"/>
          <w:color w:val="000000" w:themeColor="text1"/>
          <w:sz w:val="18"/>
          <w:szCs w:val="18"/>
          <w:highlight w:val="none"/>
          <w14:textFill>
            <w14:solidFill>
              <w14:schemeClr w14:val="tx1"/>
            </w14:solidFill>
          </w14:textFill>
        </w:rPr>
      </w:pPr>
      <w:r>
        <w:rPr>
          <w:rFonts w:ascii="Times New Roman" w:hAnsi="Times New Roman" w:eastAsia="方正书宋简体" w:cs="Times New Roman"/>
          <w:color w:val="000000" w:themeColor="text1"/>
          <w:sz w:val="18"/>
          <w:szCs w:val="18"/>
          <w:highlight w:val="none"/>
          <w14:textFill>
            <w14:solidFill>
              <w14:schemeClr w14:val="tx1"/>
            </w14:solidFill>
          </w14:textFill>
        </w:rPr>
        <w:t>注：●应监测▲宜监测。</w:t>
      </w:r>
    </w:p>
    <w:p w14:paraId="49463690">
      <w:pPr>
        <w:pStyle w:val="62"/>
        <w:overflowPunct w:val="0"/>
        <w:spacing w:line="348" w:lineRule="exact"/>
        <w:ind w:left="840" w:leftChars="270" w:right="211" w:rightChars="100" w:hanging="271" w:hangingChars="150"/>
        <w:rPr>
          <w:rFonts w:ascii="Times New Roman" w:hAnsi="Times New Roman" w:eastAsia="方正书宋简体" w:cs="Times New Roman"/>
          <w:color w:val="000000" w:themeColor="text1"/>
          <w:sz w:val="18"/>
          <w:szCs w:val="18"/>
          <w:highlight w:val="none"/>
          <w14:textFill>
            <w14:solidFill>
              <w14:schemeClr w14:val="tx1"/>
            </w14:solidFill>
          </w14:textFill>
        </w:rPr>
      </w:pPr>
      <w:r>
        <w:rPr>
          <w:rFonts w:ascii="Times New Roman" w:hAnsi="Times New Roman" w:eastAsia="方正书宋简体" w:cs="Times New Roman"/>
          <w:color w:val="000000" w:themeColor="text1"/>
          <w:sz w:val="18"/>
          <w:szCs w:val="18"/>
          <w:highlight w:val="none"/>
          <w14:textFill>
            <w14:solidFill>
              <w14:schemeClr w14:val="tx1"/>
            </w14:solidFill>
          </w14:textFill>
        </w:rPr>
        <w:t>1  雨水利用综合管廊本体独立的结构空间输送，可不对该空间环境参数进行监测；</w:t>
      </w:r>
    </w:p>
    <w:p w14:paraId="25A813DF">
      <w:pPr>
        <w:pStyle w:val="62"/>
        <w:overflowPunct w:val="0"/>
        <w:spacing w:line="348" w:lineRule="exact"/>
        <w:ind w:left="840" w:leftChars="270" w:right="211" w:rightChars="100" w:hanging="271" w:hangingChars="150"/>
        <w:rPr>
          <w:rFonts w:ascii="Times New Roman" w:hAnsi="Times New Roman" w:eastAsia="方正书宋简体" w:cs="Times New Roman"/>
          <w:color w:val="000000" w:themeColor="text1"/>
          <w:sz w:val="18"/>
          <w:szCs w:val="18"/>
          <w:highlight w:val="none"/>
          <w14:textFill>
            <w14:solidFill>
              <w14:schemeClr w14:val="tx1"/>
            </w14:solidFill>
          </w14:textFill>
        </w:rPr>
      </w:pPr>
      <w:r>
        <w:rPr>
          <w:rFonts w:ascii="Times New Roman" w:hAnsi="Times New Roman" w:eastAsia="方正书宋简体" w:cs="Times New Roman"/>
          <w:color w:val="000000" w:themeColor="text1"/>
          <w:sz w:val="18"/>
          <w:szCs w:val="18"/>
          <w:highlight w:val="none"/>
          <w14:textFill>
            <w14:solidFill>
              <w14:schemeClr w14:val="tx1"/>
            </w14:solidFill>
          </w14:textFill>
        </w:rPr>
        <w:t>2  紧邻天然气舱的其他舱CH</w:t>
      </w:r>
      <w:r>
        <w:rPr>
          <w:rFonts w:ascii="Times New Roman" w:hAnsi="Times New Roman" w:eastAsia="方正书宋简体" w:cs="Times New Roman"/>
          <w:color w:val="000000" w:themeColor="text1"/>
          <w:sz w:val="18"/>
          <w:szCs w:val="18"/>
          <w:highlight w:val="none"/>
          <w:vertAlign w:val="subscript"/>
          <w14:textFill>
            <w14:solidFill>
              <w14:schemeClr w14:val="tx1"/>
            </w14:solidFill>
          </w14:textFill>
        </w:rPr>
        <w:t>4</w:t>
      </w:r>
      <w:r>
        <w:rPr>
          <w:rFonts w:ascii="Times New Roman" w:hAnsi="Times New Roman" w:eastAsia="方正书宋简体" w:cs="Times New Roman"/>
          <w:color w:val="000000" w:themeColor="text1"/>
          <w:sz w:val="18"/>
          <w:szCs w:val="18"/>
          <w:highlight w:val="none"/>
          <w14:textFill>
            <w14:solidFill>
              <w14:schemeClr w14:val="tx1"/>
            </w14:solidFill>
          </w14:textFill>
        </w:rPr>
        <w:t>气体标▲宜检测调整为●应检测。</w:t>
      </w:r>
    </w:p>
    <w:p w14:paraId="3C0F188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应对通风设备、排水泵、电气设备等进行状态监测和控制；设备控制方式宜采用就地手动、就地自动和远程控制；</w:t>
      </w:r>
    </w:p>
    <w:p w14:paraId="2A2C7D3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应设置与综合管廊内各类管线配套检测设备、控制执行机构连通的信号传输接口。当管线采用自成体系的专业监控系统时，应通过标准通信接口接入综合管廊监控与报警系统统一管理平台；</w:t>
      </w:r>
    </w:p>
    <w:p w14:paraId="07CD3540">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环境与设备监控系统设备宜采用工业级产品；</w:t>
      </w:r>
    </w:p>
    <w:p w14:paraId="6680928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非天然气舱H</w:t>
      </w:r>
      <w:r>
        <w:rPr>
          <w:rFonts w:ascii="Times New Roman" w:hAnsi="Times New Roman" w:eastAsia="方正书宋简体" w:cs="Times New Roman"/>
          <w:color w:val="000000" w:themeColor="text1"/>
          <w:highlight w:val="none"/>
          <w:vertAlign w:val="subscript"/>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S、CH</w:t>
      </w:r>
      <w:r>
        <w:rPr>
          <w:rFonts w:ascii="Times New Roman" w:hAnsi="Times New Roman" w:eastAsia="方正书宋简体" w:cs="Times New Roman"/>
          <w:color w:val="000000" w:themeColor="text1"/>
          <w:highlight w:val="none"/>
          <w:vertAlign w:val="subscript"/>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气体探测器应设置在综合管廊内人员出入口、通风口处；H</w:t>
      </w:r>
      <w:r>
        <w:rPr>
          <w:rFonts w:ascii="Times New Roman" w:hAnsi="Times New Roman" w:eastAsia="方正书宋简体" w:cs="Times New Roman"/>
          <w:color w:val="000000" w:themeColor="text1"/>
          <w:highlight w:val="none"/>
          <w:vertAlign w:val="subscript"/>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S气体探测器应安装在距综合管廊地面以上</w:t>
      </w:r>
      <w:r>
        <w:rPr>
          <w:rFonts w:ascii="Times New Roman" w:hAnsi="Times New Roman" w:eastAsia="方正书宋简体" w:cs="Times New Roman"/>
          <w:color w:val="000000" w:themeColor="text1"/>
          <w:spacing w:val="-6"/>
          <w:highlight w:val="none"/>
          <w14:textFill>
            <w14:solidFill>
              <w14:schemeClr w14:val="tx1"/>
            </w14:solidFill>
          </w14:textFill>
        </w:rPr>
        <w:t>0.2m处，CH</w:t>
      </w:r>
      <w:r>
        <w:rPr>
          <w:rFonts w:ascii="Times New Roman" w:hAnsi="Times New Roman" w:eastAsia="方正书宋简体" w:cs="Times New Roman"/>
          <w:color w:val="000000" w:themeColor="text1"/>
          <w:spacing w:val="-6"/>
          <w:highlight w:val="none"/>
          <w:vertAlign w:val="subscript"/>
          <w14:textFill>
            <w14:solidFill>
              <w14:schemeClr w14:val="tx1"/>
            </w14:solidFill>
          </w14:textFill>
        </w:rPr>
        <w:t>4</w:t>
      </w:r>
      <w:r>
        <w:rPr>
          <w:rFonts w:ascii="Times New Roman" w:hAnsi="Times New Roman" w:eastAsia="方正书宋简体" w:cs="Times New Roman"/>
          <w:color w:val="000000" w:themeColor="text1"/>
          <w:spacing w:val="-6"/>
          <w:highlight w:val="none"/>
          <w14:textFill>
            <w14:solidFill>
              <w14:schemeClr w14:val="tx1"/>
            </w14:solidFill>
          </w14:textFill>
        </w:rPr>
        <w:t>气体探测器应安装在距综合管廊顶面以下0.2m～0.3m</w:t>
      </w:r>
      <w:r>
        <w:rPr>
          <w:rFonts w:ascii="Times New Roman" w:hAnsi="Times New Roman" w:eastAsia="方正书宋简体" w:cs="Times New Roman"/>
          <w:color w:val="000000" w:themeColor="text1"/>
          <w:highlight w:val="none"/>
          <w14:textFill>
            <w14:solidFill>
              <w14:schemeClr w14:val="tx1"/>
            </w14:solidFill>
          </w14:textFill>
        </w:rPr>
        <w:t>处；</w:t>
      </w:r>
    </w:p>
    <w:p w14:paraId="6D82C47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氧含量分析仪及温湿度计应安装在距综合管廊地面以上1.2m～1.6m处。</w:t>
      </w:r>
    </w:p>
    <w:p w14:paraId="4F6854FC">
      <w:pPr>
        <w:pStyle w:val="5"/>
        <w:rPr>
          <w:highlight w:val="none"/>
        </w:rPr>
      </w:pPr>
      <w:r>
        <w:rPr>
          <w:b/>
          <w:highlight w:val="none"/>
        </w:rPr>
        <w:t>8.5.5</w:t>
      </w:r>
      <w:r>
        <w:rPr>
          <w:highlight w:val="none"/>
        </w:rPr>
        <w:t xml:space="preserve">  综合管廊应设置安全防范系统，并应符合下列规定：</w:t>
      </w:r>
    </w:p>
    <w:p w14:paraId="5247C8A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综合管廊内设备集中安装地点、人员出入口、变配电间和监控中心等场所应设置摄像机；综合管廊</w:t>
      </w:r>
      <w:r>
        <w:rPr>
          <w:rFonts w:ascii="Times New Roman" w:hAnsi="Times New Roman" w:eastAsia="方正书宋简体" w:cs="Times New Roman"/>
          <w:color w:val="000000" w:themeColor="text1"/>
          <w:highlight w:val="none"/>
          <w:u w:val="none"/>
          <w14:textFill>
            <w14:solidFill>
              <w14:schemeClr w14:val="tx1"/>
            </w14:solidFill>
          </w14:textFill>
        </w:rPr>
        <w:t>舱室</w:t>
      </w:r>
      <w:r>
        <w:rPr>
          <w:rFonts w:ascii="Times New Roman" w:hAnsi="Times New Roman" w:eastAsia="方正书宋简体" w:cs="Times New Roman"/>
          <w:color w:val="000000" w:themeColor="text1"/>
          <w:highlight w:val="none"/>
          <w14:textFill>
            <w14:solidFill>
              <w14:schemeClr w14:val="tx1"/>
            </w14:solidFill>
          </w14:textFill>
        </w:rPr>
        <w:t>内摄像机设置间距不应大于100m；摄像机设置间距不应大于100m；</w:t>
      </w:r>
    </w:p>
    <w:p w14:paraId="26EAC62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综合管廊人员出入口、通风口及有可能人员入侵的入口均应设置入侵报警探测装置和声光报警器；</w:t>
      </w:r>
    </w:p>
    <w:p w14:paraId="17BFB0B0">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综合管廊人员出入口应设置出入口控制装置；管廊内井盖宜设置井盖报警系统，监控信号通过数据通讯网传送至监控中心，从而实现对管廊井盖的集中控制、远程开启、非法开启报警等功能；</w:t>
      </w:r>
    </w:p>
    <w:p w14:paraId="2FEA1B7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综合管廊应设置电子巡查管理系统，并宜采用离线式。巡查系统宜在人员出入口、逃生口、吊装口、通风口、管线分支口；重要附属设施安装处；管道上阀门安装处；电力电缆接头区及其他需要重点巡查的部位设置巡查点；</w:t>
      </w:r>
    </w:p>
    <w:p w14:paraId="432C81AB">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设置有在线式电子巡查系统或无线通信系统时，可利用在线式电子巡查系统或无线通信系统兼做人员定位系统。人员定位系统应能满足将人员定位于单个舱室的要求，在单个舱室内定位精度不宜大于100m；</w:t>
      </w:r>
    </w:p>
    <w:p w14:paraId="1D77440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当安防系统报警或接收到环境与设备监控系统、火灾自动报警系统的联动信号时，应能打开报警现场照明并将报警现场画面切换到指定的图像显示设备显示；</w:t>
      </w:r>
    </w:p>
    <w:p w14:paraId="0378ADC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出入口控制装置应与环境与设备监控系统、火灾自动报警系统联动，在紧急情况下应联动解除相应出入口控制装置的锁定状态；</w:t>
      </w:r>
    </w:p>
    <w:p w14:paraId="47AECBAF">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综合管廊安全防范系统，宜自成安防专用网络，独立运行；</w:t>
      </w:r>
    </w:p>
    <w:p w14:paraId="17C8DB1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综合管廊的安全防范系统的供电、设备及接线等要求应符合现行国家标准</w:t>
      </w:r>
      <w:bookmarkStart w:id="61" w:name="_Hlk18344815"/>
      <w:r>
        <w:rPr>
          <w:rFonts w:ascii="Times New Roman" w:hAnsi="Times New Roman" w:eastAsia="方正书宋简体" w:cs="Times New Roman"/>
          <w:color w:val="000000" w:themeColor="text1"/>
          <w:highlight w:val="none"/>
          <w14:textFill>
            <w14:solidFill>
              <w14:schemeClr w14:val="tx1"/>
            </w14:solidFill>
          </w14:textFill>
        </w:rPr>
        <w:t>《安全防范工程技术规范》GB 50348、《入侵报警系统工程设计规范》GB 50394、《视频安防监控系统工程设计规范》</w:t>
      </w:r>
      <w:r>
        <w:rPr>
          <w:rFonts w:ascii="Times New Roman" w:hAnsi="Times New Roman" w:eastAsia="方正书宋简体" w:cs="Times New Roman"/>
          <w:color w:val="000000" w:themeColor="text1"/>
          <w:spacing w:val="-6"/>
          <w:highlight w:val="none"/>
          <w14:textFill>
            <w14:solidFill>
              <w14:schemeClr w14:val="tx1"/>
            </w14:solidFill>
          </w14:textFill>
        </w:rPr>
        <w:t>GB 50395和《出入口控制系统工程设计规范》GB 50396</w:t>
      </w:r>
      <w:bookmarkEnd w:id="61"/>
      <w:r>
        <w:rPr>
          <w:rFonts w:ascii="Times New Roman" w:hAnsi="Times New Roman" w:eastAsia="方正书宋简体" w:cs="Times New Roman"/>
          <w:color w:val="000000" w:themeColor="text1"/>
          <w:spacing w:val="-6"/>
          <w:highlight w:val="none"/>
          <w14:textFill>
            <w14:solidFill>
              <w14:schemeClr w14:val="tx1"/>
            </w14:solidFill>
          </w14:textFill>
        </w:rPr>
        <w:t>的有关规</w:t>
      </w:r>
      <w:r>
        <w:rPr>
          <w:rFonts w:ascii="Times New Roman" w:hAnsi="Times New Roman" w:eastAsia="方正书宋简体" w:cs="Times New Roman"/>
          <w:color w:val="000000" w:themeColor="text1"/>
          <w:highlight w:val="none"/>
          <w14:textFill>
            <w14:solidFill>
              <w14:schemeClr w14:val="tx1"/>
            </w14:solidFill>
          </w14:textFill>
        </w:rPr>
        <w:t>定。</w:t>
      </w:r>
    </w:p>
    <w:p w14:paraId="0BF116AC">
      <w:pPr>
        <w:pStyle w:val="5"/>
        <w:rPr>
          <w:highlight w:val="none"/>
        </w:rPr>
      </w:pPr>
      <w:r>
        <w:rPr>
          <w:b/>
          <w:highlight w:val="none"/>
        </w:rPr>
        <w:t>8.5.6</w:t>
      </w:r>
      <w:r>
        <w:rPr>
          <w:highlight w:val="none"/>
        </w:rPr>
        <w:t xml:space="preserve">  综合管廊应设置通信系统，并应符合下列规定：</w:t>
      </w:r>
    </w:p>
    <w:p w14:paraId="4CD7FF6B">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应设置固定式通信系统，电话应与监控中心连通，信号应与通信网络连通；综合管廊人员出入口</w:t>
      </w:r>
      <w:r>
        <w:rPr>
          <w:color w:val="000000" w:themeColor="text1"/>
          <w:highlight w:val="none"/>
          <w:u w:val="none"/>
          <w14:textFill>
            <w14:solidFill>
              <w14:schemeClr w14:val="tx1"/>
            </w14:solidFill>
          </w14:textFill>
        </w:rPr>
        <w:t>或</w:t>
      </w:r>
      <w:r>
        <w:rPr>
          <w:rFonts w:hint="eastAsia"/>
          <w:color w:val="000000" w:themeColor="text1"/>
          <w:highlight w:val="none"/>
          <w:u w:val="none"/>
          <w14:textFill>
            <w14:solidFill>
              <w14:schemeClr w14:val="tx1"/>
            </w14:solidFill>
          </w14:textFill>
        </w:rPr>
        <w:t>舱室</w:t>
      </w:r>
      <w:r>
        <w:rPr>
          <w:color w:val="000000" w:themeColor="text1"/>
          <w:highlight w:val="none"/>
          <w:u w:val="none"/>
          <w14:textFill>
            <w14:solidFill>
              <w14:schemeClr w14:val="tx1"/>
            </w14:solidFill>
          </w14:textFill>
        </w:rPr>
        <w:t>内应设置通信点；</w:t>
      </w:r>
      <w:r>
        <w:rPr>
          <w:rFonts w:hint="eastAsia"/>
          <w:color w:val="000000" w:themeColor="text1"/>
          <w:highlight w:val="none"/>
          <w:u w:val="none"/>
          <w14:textFill>
            <w14:solidFill>
              <w14:schemeClr w14:val="tx1"/>
            </w14:solidFill>
          </w14:textFill>
        </w:rPr>
        <w:t>舱室</w:t>
      </w:r>
      <w:r>
        <w:rPr>
          <w:color w:val="000000" w:themeColor="text1"/>
          <w:highlight w:val="none"/>
          <w:u w:val="none"/>
          <w14:textFill>
            <w14:solidFill>
              <w14:schemeClr w14:val="tx1"/>
            </w14:solidFill>
          </w14:textFill>
        </w:rPr>
        <w:t>内通信点设置的间距不应大于100m；</w:t>
      </w:r>
    </w:p>
    <w:p w14:paraId="156E7F32">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固定式电话与消防专用电话合用时，应采用独立通信系统；</w:t>
      </w:r>
    </w:p>
    <w:p w14:paraId="4B12540A">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 xml:space="preserve">  除天然气管道舱外，其他舱室宜设置用于对讲通话的无线信号覆盖系统；天然气管道舱宜设置无线巡检系统，不单独设置用于对讲通话的无线信号覆盖系统</w:t>
      </w:r>
      <w:r>
        <w:rPr>
          <w:color w:val="000000" w:themeColor="text1"/>
          <w:highlight w:val="none"/>
          <w:u w:val="none"/>
          <w14:textFill>
            <w14:solidFill>
              <w14:schemeClr w14:val="tx1"/>
            </w14:solidFill>
          </w14:textFill>
        </w:rPr>
        <w:t>；</w:t>
      </w:r>
    </w:p>
    <w:p w14:paraId="12D76C14">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 xml:space="preserve">4 </w:t>
      </w:r>
      <w:r>
        <w:rPr>
          <w:color w:val="000000" w:themeColor="text1"/>
          <w:highlight w:val="none"/>
          <w:u w:val="none"/>
          <w14:textFill>
            <w14:solidFill>
              <w14:schemeClr w14:val="tx1"/>
            </w14:solidFill>
          </w14:textFill>
        </w:rPr>
        <w:t xml:space="preserve"> 监控室应设置可直接报警的外线电话。</w:t>
      </w:r>
    </w:p>
    <w:p w14:paraId="5693EF4D">
      <w:pPr>
        <w:pStyle w:val="5"/>
        <w:rPr>
          <w:bCs/>
          <w:highlight w:val="none"/>
          <w:u w:val="none"/>
        </w:rPr>
      </w:pPr>
      <w:r>
        <w:rPr>
          <w:b/>
          <w:highlight w:val="none"/>
          <w:u w:val="none"/>
        </w:rPr>
        <w:t xml:space="preserve">8.5.7  </w:t>
      </w:r>
      <w:r>
        <w:rPr>
          <w:highlight w:val="none"/>
          <w:u w:val="none"/>
        </w:rPr>
        <w:t>综合管廊火灾自动报警系统应符合下列规定：</w:t>
      </w:r>
    </w:p>
    <w:p w14:paraId="04504726">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设有火灾自动报警系统的舱室应设置感烟火灾探测器，需要联动触发自动灭火系统启动的舱室应设置感温火灾探测器；</w:t>
      </w:r>
    </w:p>
    <w:p w14:paraId="16C63F0B">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应设置防火门监控系统；</w:t>
      </w:r>
    </w:p>
    <w:p w14:paraId="4E6D525A">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设置火灾探测器的场所应设置手动火灾报警按钮和火灾警报器，手动火灾报警按钮处宜设置电话插孔；</w:t>
      </w:r>
    </w:p>
    <w:p w14:paraId="52FD19DD">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确认火灾后，防火门监控器应联动关闭常开防火门，消防联动控制器应能联动关闭通风设备；</w:t>
      </w:r>
    </w:p>
    <w:p w14:paraId="266B1AE5">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5</w:t>
      </w:r>
      <w:r>
        <w:rPr>
          <w:color w:val="000000" w:themeColor="text1"/>
          <w:highlight w:val="none"/>
          <w:u w:val="none"/>
          <w14:textFill>
            <w14:solidFill>
              <w14:schemeClr w14:val="tx1"/>
            </w14:solidFill>
          </w14:textFill>
        </w:rPr>
        <w:t xml:space="preserve">  应符合现行国家标准《火灾自动报警系统设计规范》GB</w:t>
      </w:r>
      <w:r>
        <w:rPr>
          <w:rFonts w:hint="eastAsia"/>
          <w:color w:val="000000" w:themeColor="text1"/>
          <w:highlight w:val="none"/>
          <w:u w:val="none"/>
          <w14:textFill>
            <w14:solidFill>
              <w14:schemeClr w14:val="tx1"/>
            </w14:solidFill>
          </w14:textFill>
        </w:rPr>
        <w:t xml:space="preserve"> </w:t>
      </w:r>
      <w:r>
        <w:rPr>
          <w:color w:val="000000" w:themeColor="text1"/>
          <w:highlight w:val="none"/>
          <w:u w:val="none"/>
          <w14:textFill>
            <w14:solidFill>
              <w14:schemeClr w14:val="tx1"/>
            </w14:solidFill>
          </w14:textFill>
        </w:rPr>
        <w:t>50116的有关规定。</w:t>
      </w:r>
    </w:p>
    <w:p w14:paraId="0E436C09">
      <w:pPr>
        <w:pStyle w:val="5"/>
        <w:rPr>
          <w:highlight w:val="none"/>
          <w:u w:val="none"/>
        </w:rPr>
      </w:pPr>
      <w:r>
        <w:rPr>
          <w:b/>
          <w:highlight w:val="none"/>
          <w:u w:val="none"/>
        </w:rPr>
        <w:t>8.5.8</w:t>
      </w:r>
      <w:r>
        <w:rPr>
          <w:highlight w:val="none"/>
          <w:u w:val="none"/>
        </w:rPr>
        <w:t xml:space="preserve">  天然气管道舱应设置可</w:t>
      </w:r>
      <w:r>
        <w:rPr>
          <w:rFonts w:hint="eastAsia"/>
          <w:highlight w:val="none"/>
          <w:u w:val="none"/>
        </w:rPr>
        <w:t>燃</w:t>
      </w:r>
      <w:r>
        <w:rPr>
          <w:highlight w:val="none"/>
          <w:u w:val="none"/>
        </w:rPr>
        <w:t>气体探测报警系统，并应符合下列规定：</w:t>
      </w:r>
    </w:p>
    <w:p w14:paraId="19AB28F6">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天然气报警浓度设定值（上限值）不应大于其爆炸下限值（体积分数）的20%；</w:t>
      </w:r>
    </w:p>
    <w:p w14:paraId="1AF94C0B">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天然气舱室的顶部、管道阀门安装处、人员出入口、吊装口、通风口、每个</w:t>
      </w:r>
      <w:r>
        <w:rPr>
          <w:rFonts w:hint="eastAsia"/>
          <w:highlight w:val="none"/>
          <w:u w:val="none"/>
        </w:rPr>
        <w:t>舱室</w:t>
      </w:r>
      <w:r>
        <w:rPr>
          <w:color w:val="000000" w:themeColor="text1"/>
          <w:highlight w:val="none"/>
          <w:u w:val="none"/>
          <w14:textFill>
            <w14:solidFill>
              <w14:schemeClr w14:val="tx1"/>
            </w14:solidFill>
          </w14:textFill>
        </w:rPr>
        <w:t>的最高点气体易积聚处应设置天然气探测器；舱室内沿线天然气探测器设置间隔不宜大于15m；天然气探测器应接入可燃气体报警控制器；</w:t>
      </w:r>
    </w:p>
    <w:p w14:paraId="370AFF04">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当天然气管道舱内天然气浓度超过报警浓度设定值（上限值）时，应由可燃气体报警控制器或消防联动控制器联动启动天然气舱事故段及其相的事故通风设备；</w:t>
      </w:r>
    </w:p>
    <w:p w14:paraId="4AEF08F9">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紧急切断低限报警设定值（上限值）不应大于其爆炸下限值（体积分数）的40%</w:t>
      </w:r>
      <w:r>
        <w:rPr>
          <w:rFonts w:hint="eastAsia"/>
          <w:color w:val="000000" w:themeColor="text1"/>
          <w:highlight w:val="none"/>
          <w:u w:val="none"/>
          <w14:textFill>
            <w14:solidFill>
              <w14:schemeClr w14:val="tx1"/>
            </w14:solidFill>
          </w14:textFill>
        </w:rPr>
        <w:t>；</w:t>
      </w:r>
    </w:p>
    <w:p w14:paraId="03F5184D">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 xml:space="preserve">  点式探测器的安装位置距天然气舱顶面不宜大于0.2m～0.3m，其安装间距不宜大于15m。当天然气探测器位于管道阀门上方时，探测器的安装高度应高出释放源0.5m～2.0m；</w:t>
      </w:r>
    </w:p>
    <w:p w14:paraId="6CB20661">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 xml:space="preserve">  可燃气体探测报警系统的供电、设备及接线等要求应符合现行国家标准</w:t>
      </w:r>
      <w:bookmarkStart w:id="62" w:name="_Hlk18344878"/>
      <w:r>
        <w:rPr>
          <w:color w:val="000000" w:themeColor="text1"/>
          <w:highlight w:val="none"/>
          <w14:textFill>
            <w14:solidFill>
              <w14:schemeClr w14:val="tx1"/>
            </w14:solidFill>
          </w14:textFill>
        </w:rPr>
        <w:t>《石油化工可燃气体和有毒气体检测报警设计规范》GB 50493、《城镇燃气设计规范》GB 50028和《火灾自动报警系统设计规范》GB 50116</w:t>
      </w:r>
      <w:bookmarkEnd w:id="62"/>
      <w:r>
        <w:rPr>
          <w:color w:val="000000" w:themeColor="text1"/>
          <w:highlight w:val="none"/>
          <w14:textFill>
            <w14:solidFill>
              <w14:schemeClr w14:val="tx1"/>
            </w14:solidFill>
          </w14:textFill>
        </w:rPr>
        <w:t>的有关规定。</w:t>
      </w:r>
    </w:p>
    <w:p w14:paraId="15555AEE">
      <w:pPr>
        <w:pStyle w:val="5"/>
        <w:rPr>
          <w:highlight w:val="none"/>
        </w:rPr>
      </w:pPr>
      <w:r>
        <w:rPr>
          <w:b/>
          <w:highlight w:val="none"/>
        </w:rPr>
        <w:t>8.5.9</w:t>
      </w:r>
      <w:r>
        <w:rPr>
          <w:highlight w:val="none"/>
        </w:rPr>
        <w:t xml:space="preserve">  天然气管道舱内设置的监控与报警系统设备、安装与接线技术要求应符合现行国家标准《爆炸危险环境电力装置设计规范》GB 50058的有关规定。</w:t>
      </w:r>
    </w:p>
    <w:p w14:paraId="12C9DE94">
      <w:pPr>
        <w:pStyle w:val="5"/>
        <w:rPr>
          <w:highlight w:val="none"/>
        </w:rPr>
      </w:pPr>
      <w:r>
        <w:rPr>
          <w:b/>
          <w:highlight w:val="none"/>
        </w:rPr>
        <w:t>8.5.10</w:t>
      </w:r>
      <w:r>
        <w:rPr>
          <w:highlight w:val="none"/>
        </w:rPr>
        <w:t xml:space="preserve">  监控与报警系统中的非消防设备的仪表控制电缆、通信线缆应采用阻燃线缆；消防设备的联动控制线缆应采用耐火线缆。</w:t>
      </w:r>
    </w:p>
    <w:p w14:paraId="10F47708">
      <w:pPr>
        <w:pStyle w:val="5"/>
        <w:rPr>
          <w:highlight w:val="none"/>
        </w:rPr>
      </w:pPr>
      <w:r>
        <w:rPr>
          <w:b/>
          <w:highlight w:val="none"/>
        </w:rPr>
        <w:t>8.5.11</w:t>
      </w:r>
      <w:r>
        <w:rPr>
          <w:highlight w:val="none"/>
        </w:rPr>
        <w:t xml:space="preserve">  监控与报警系统主干信息传输网络介质宜采用光缆。</w:t>
      </w:r>
    </w:p>
    <w:p w14:paraId="17517929">
      <w:pPr>
        <w:pStyle w:val="5"/>
        <w:rPr>
          <w:highlight w:val="none"/>
        </w:rPr>
      </w:pPr>
      <w:r>
        <w:rPr>
          <w:b/>
          <w:highlight w:val="none"/>
        </w:rPr>
        <w:t>8.5.12</w:t>
      </w:r>
      <w:r>
        <w:rPr>
          <w:highlight w:val="none"/>
        </w:rPr>
        <w:t xml:space="preserve">  综合管廊内监控与报警设备防护等级不宜低于IP65。</w:t>
      </w:r>
    </w:p>
    <w:p w14:paraId="7A395CB4">
      <w:pPr>
        <w:pStyle w:val="5"/>
        <w:rPr>
          <w:highlight w:val="none"/>
        </w:rPr>
      </w:pPr>
      <w:r>
        <w:rPr>
          <w:b/>
          <w:highlight w:val="none"/>
        </w:rPr>
        <w:t>8.5.13</w:t>
      </w:r>
      <w:r>
        <w:rPr>
          <w:highlight w:val="none"/>
        </w:rPr>
        <w:t xml:space="preserve">  监控与报警设备应由在线式不间断电源供电。</w:t>
      </w:r>
    </w:p>
    <w:p w14:paraId="5D3AD707">
      <w:pPr>
        <w:pStyle w:val="5"/>
        <w:rPr>
          <w:highlight w:val="none"/>
        </w:rPr>
      </w:pPr>
      <w:r>
        <w:rPr>
          <w:b/>
          <w:highlight w:val="none"/>
        </w:rPr>
        <w:t>8.5.14</w:t>
      </w:r>
      <w:r>
        <w:rPr>
          <w:highlight w:val="none"/>
        </w:rPr>
        <w:t xml:space="preserve">  监控与报警系统防雷、接地应符合现行国家标准</w:t>
      </w:r>
      <w:bookmarkStart w:id="63" w:name="_Hlk18344992"/>
      <w:r>
        <w:rPr>
          <w:highlight w:val="none"/>
        </w:rPr>
        <w:t>《火灾自动报警系统设计规范》GB 50116、《数据中心设计规范》GB 50174和《建筑物电子信息系统防雷技术规范》GB 50343</w:t>
      </w:r>
      <w:bookmarkEnd w:id="63"/>
      <w:r>
        <w:rPr>
          <w:highlight w:val="none"/>
        </w:rPr>
        <w:t>的有关规定。</w:t>
      </w:r>
    </w:p>
    <w:p w14:paraId="0F72D929">
      <w:pPr>
        <w:pStyle w:val="5"/>
        <w:rPr>
          <w:highlight w:val="none"/>
        </w:rPr>
      </w:pPr>
      <w:r>
        <w:rPr>
          <w:b/>
          <w:highlight w:val="none"/>
        </w:rPr>
        <w:t>8.5.15</w:t>
      </w:r>
      <w:r>
        <w:rPr>
          <w:highlight w:val="none"/>
        </w:rPr>
        <w:t xml:space="preserve">  综合管廊宜设置地理信息系统，并应符合下列规定：</w:t>
      </w:r>
    </w:p>
    <w:p w14:paraId="36C6443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应具有综合管廊和内部各专业管线基础数据管理、图档管理、管线拓扑维护、数据离线维护、维修与改造管理、基础数据共享等功能；</w:t>
      </w:r>
    </w:p>
    <w:p w14:paraId="6F33777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应能为综合管廊报警与监控系统统一管理信息平台提供人机交互界面。</w:t>
      </w:r>
    </w:p>
    <w:p w14:paraId="104DBCB6">
      <w:pPr>
        <w:pStyle w:val="5"/>
        <w:rPr>
          <w:highlight w:val="none"/>
        </w:rPr>
      </w:pPr>
      <w:r>
        <w:rPr>
          <w:b/>
          <w:highlight w:val="none"/>
        </w:rPr>
        <w:t>8.5.16</w:t>
      </w:r>
      <w:r>
        <w:rPr>
          <w:highlight w:val="none"/>
        </w:rPr>
        <w:t xml:space="preserve">  综合管廊应设置统一管理平台，并应符合下列规定：</w:t>
      </w:r>
    </w:p>
    <w:p w14:paraId="3C13A308">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应对监控与报警系统各组成系统进行系统集成，并应具有数据通信、信息采集和综合处理功能；</w:t>
      </w:r>
    </w:p>
    <w:p w14:paraId="58623548">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应与各专业管线配套监控系统连通；</w:t>
      </w:r>
    </w:p>
    <w:p w14:paraId="4AA30105">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 xml:space="preserve">  应与各专业管线单位相关监控平台连通；</w:t>
      </w:r>
    </w:p>
    <w:p w14:paraId="6A6AEBF0">
      <w:pPr>
        <w:pStyle w:val="59"/>
        <w:ind w:firstLine="424"/>
        <w:rPr>
          <w:color w:val="000000" w:themeColor="text1"/>
          <w:spacing w:val="-6"/>
          <w:highlight w:val="none"/>
          <w14:textFill>
            <w14:solidFill>
              <w14:schemeClr w14:val="tx1"/>
            </w14:solidFill>
          </w14:textFill>
        </w:rPr>
      </w:pPr>
      <w:r>
        <w:rPr>
          <w:b/>
          <w:bCs/>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宜</w:t>
      </w:r>
      <w:r>
        <w:rPr>
          <w:color w:val="000000" w:themeColor="text1"/>
          <w:spacing w:val="-6"/>
          <w:highlight w:val="none"/>
          <w14:textFill>
            <w14:solidFill>
              <w14:schemeClr w14:val="tx1"/>
            </w14:solidFill>
          </w14:textFill>
        </w:rPr>
        <w:t>与城市市政基础设施地理信息系统连通或预留通信接口；</w:t>
      </w:r>
    </w:p>
    <w:p w14:paraId="22EA4F33">
      <w:pPr>
        <w:pStyle w:val="59"/>
        <w:ind w:firstLine="424"/>
        <w:rPr>
          <w:color w:val="000000" w:themeColor="text1"/>
          <w:highlight w:val="none"/>
          <w:u w:val="single"/>
          <w14:textFill>
            <w14:solidFill>
              <w14:schemeClr w14:val="tx1"/>
            </w14:solidFill>
          </w14:textFill>
        </w:rPr>
      </w:pPr>
      <w:r>
        <w:rPr>
          <w:b/>
          <w:bCs/>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 xml:space="preserve">  应具有可靠性、容错性、易维护性和可扩展性</w:t>
      </w:r>
      <w:r>
        <w:rPr>
          <w:color w:val="000000" w:themeColor="text1"/>
          <w:highlight w:val="none"/>
          <w:u w:val="none"/>
          <w14:textFill>
            <w14:solidFill>
              <w14:schemeClr w14:val="tx1"/>
            </w14:solidFill>
          </w14:textFill>
        </w:rPr>
        <w:t>；</w:t>
      </w:r>
    </w:p>
    <w:p w14:paraId="5E871195">
      <w:pPr>
        <w:pStyle w:val="59"/>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6</w:t>
      </w:r>
      <w:r>
        <w:rPr>
          <w:color w:val="000000" w:themeColor="text1"/>
          <w:highlight w:val="none"/>
          <w:u w:val="none"/>
          <w14:textFill>
            <w14:solidFill>
              <w14:schemeClr w14:val="tx1"/>
            </w14:solidFill>
          </w14:textFill>
        </w:rPr>
        <w:t xml:space="preserve">  应满足管廊监控、运维、数据分析、预警告警、应急联动、GIS/BIM管理等需要。</w:t>
      </w:r>
    </w:p>
    <w:p w14:paraId="4949386E">
      <w:pPr>
        <w:pStyle w:val="5"/>
        <w:rPr>
          <w:highlight w:val="none"/>
        </w:rPr>
      </w:pPr>
      <w:r>
        <w:rPr>
          <w:rFonts w:hint="eastAsia"/>
          <w:b/>
          <w:highlight w:val="none"/>
        </w:rPr>
        <w:t>8.5.17</w:t>
      </w:r>
      <w:r>
        <w:rPr>
          <w:b/>
          <w:highlight w:val="none"/>
        </w:rPr>
        <w:t xml:space="preserve"> </w:t>
      </w:r>
      <w:r>
        <w:rPr>
          <w:highlight w:val="none"/>
        </w:rPr>
        <w:t xml:space="preserve"> 热力管道关断阀门、补偿器、放气阀和泄水阀处宜设置监控探头。</w:t>
      </w:r>
    </w:p>
    <w:p w14:paraId="11ED186B">
      <w:pPr>
        <w:pStyle w:val="4"/>
        <w:spacing w:before="156" w:after="156"/>
        <w:rPr>
          <w:b/>
          <w:color w:val="000000" w:themeColor="text1"/>
          <w:highlight w:val="none"/>
          <w14:textFill>
            <w14:solidFill>
              <w14:schemeClr w14:val="tx1"/>
            </w14:solidFill>
          </w14:textFill>
        </w:rPr>
      </w:pPr>
      <w:bookmarkStart w:id="64" w:name="_Toc37689750"/>
      <w:r>
        <w:rPr>
          <w:b/>
          <w:bCs w:val="0"/>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t xml:space="preserve">  排 水 系 统</w:t>
      </w:r>
      <w:bookmarkEnd w:id="64"/>
    </w:p>
    <w:p w14:paraId="5E1A36E1">
      <w:pPr>
        <w:pStyle w:val="5"/>
        <w:rPr>
          <w:highlight w:val="none"/>
        </w:rPr>
      </w:pPr>
      <w:r>
        <w:rPr>
          <w:b/>
          <w:highlight w:val="none"/>
        </w:rPr>
        <w:t>8.6.1</w:t>
      </w:r>
      <w:r>
        <w:rPr>
          <w:highlight w:val="none"/>
        </w:rPr>
        <w:t xml:space="preserve">  综合管廊内应设置自动排水系统。</w:t>
      </w:r>
    </w:p>
    <w:p w14:paraId="6C286560">
      <w:pPr>
        <w:pStyle w:val="5"/>
        <w:rPr>
          <w:highlight w:val="none"/>
        </w:rPr>
      </w:pPr>
      <w:r>
        <w:rPr>
          <w:b/>
          <w:highlight w:val="none"/>
        </w:rPr>
        <w:t>8.6.2</w:t>
      </w:r>
      <w:r>
        <w:rPr>
          <w:highlight w:val="none"/>
        </w:rPr>
        <w:t xml:space="preserve">  综合管廊的低点应设置集水坑及自动水位排水泵，集水坑的有效容积和排水泵的规模应根据泄水量、泄水时间和检修时间经计算确定，除天然气舱以外其他舱室</w:t>
      </w:r>
      <w:r>
        <w:rPr>
          <w:rFonts w:hint="eastAsia"/>
          <w:color w:val="auto"/>
          <w:highlight w:val="none"/>
          <w:u w:val="none"/>
        </w:rPr>
        <w:t>宜设置备用泵</w:t>
      </w:r>
      <w:r>
        <w:rPr>
          <w:highlight w:val="none"/>
          <w:u w:val="none"/>
        </w:rPr>
        <w:t>，并能</w:t>
      </w:r>
      <w:r>
        <w:rPr>
          <w:highlight w:val="none"/>
        </w:rPr>
        <w:t>同时启动。</w:t>
      </w:r>
    </w:p>
    <w:p w14:paraId="19096E1F">
      <w:pPr>
        <w:pStyle w:val="5"/>
        <w:rPr>
          <w:highlight w:val="none"/>
        </w:rPr>
      </w:pPr>
      <w:r>
        <w:rPr>
          <w:b/>
          <w:highlight w:val="none"/>
        </w:rPr>
        <w:t>8.6.3</w:t>
      </w:r>
      <w:r>
        <w:rPr>
          <w:highlight w:val="none"/>
        </w:rPr>
        <w:t xml:space="preserve">  综合管廊的底板宜设置排水明沟，并应通过排水明沟将综合管廊内积水汇入集水坑，排水明沟的纵向坡度不应小于0.2%。</w:t>
      </w:r>
    </w:p>
    <w:p w14:paraId="384DEA5A">
      <w:pPr>
        <w:pStyle w:val="5"/>
        <w:rPr>
          <w:highlight w:val="none"/>
        </w:rPr>
      </w:pPr>
      <w:r>
        <w:rPr>
          <w:b/>
          <w:highlight w:val="none"/>
        </w:rPr>
        <w:t>8.6.4</w:t>
      </w:r>
      <w:r>
        <w:rPr>
          <w:highlight w:val="none"/>
        </w:rPr>
        <w:t xml:space="preserve">  压力管道泄水管宜设置于集水坑或排水明沟的上方，对水质有要求的管线泄水管出水口高出集水坑边缘的距离不得小于出水口直径的2.5倍。</w:t>
      </w:r>
    </w:p>
    <w:p w14:paraId="2E2BA885">
      <w:pPr>
        <w:pStyle w:val="5"/>
        <w:rPr>
          <w:highlight w:val="none"/>
        </w:rPr>
      </w:pPr>
      <w:r>
        <w:rPr>
          <w:b/>
          <w:highlight w:val="none"/>
        </w:rPr>
        <w:t>8.6.5</w:t>
      </w:r>
      <w:r>
        <w:rPr>
          <w:highlight w:val="none"/>
        </w:rPr>
        <w:t xml:space="preserve">  综合管廊的排水应就近接入城市排水系统，并应设置逆止阀；穿管廊排水管应做好防水措施。</w:t>
      </w:r>
    </w:p>
    <w:p w14:paraId="248A9C45">
      <w:pPr>
        <w:pStyle w:val="5"/>
        <w:rPr>
          <w:highlight w:val="none"/>
        </w:rPr>
      </w:pPr>
      <w:r>
        <w:rPr>
          <w:b/>
          <w:highlight w:val="none"/>
        </w:rPr>
        <w:t>8.6.6</w:t>
      </w:r>
      <w:r>
        <w:rPr>
          <w:highlight w:val="none"/>
        </w:rPr>
        <w:t xml:space="preserve">  天然气管道舱应设置独立集水坑，并采用防爆排水泵，天然气管道舱内宜采取防止天然气通过排水系统向外泄露的措施。</w:t>
      </w:r>
    </w:p>
    <w:p w14:paraId="49B49061">
      <w:pPr>
        <w:pStyle w:val="5"/>
        <w:rPr>
          <w:highlight w:val="none"/>
        </w:rPr>
      </w:pPr>
      <w:bookmarkStart w:id="65" w:name="_Toc37689751"/>
      <w:r>
        <w:rPr>
          <w:b/>
          <w:highlight w:val="none"/>
        </w:rPr>
        <w:t>8.6.7</w:t>
      </w:r>
      <w:r>
        <w:rPr>
          <w:highlight w:val="none"/>
        </w:rPr>
        <w:t xml:space="preserve">  综合管廊排出的废水温度不应高于40℃。</w:t>
      </w:r>
    </w:p>
    <w:p w14:paraId="30B535DE">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t xml:space="preserve">  标 识 系 统</w:t>
      </w:r>
      <w:bookmarkEnd w:id="65"/>
    </w:p>
    <w:p w14:paraId="24FA3336">
      <w:pPr>
        <w:pStyle w:val="5"/>
        <w:rPr>
          <w:highlight w:val="none"/>
        </w:rPr>
      </w:pPr>
      <w:r>
        <w:rPr>
          <w:b/>
          <w:highlight w:val="none"/>
        </w:rPr>
        <w:t>8.7.1</w:t>
      </w:r>
      <w:r>
        <w:rPr>
          <w:highlight w:val="none"/>
        </w:rPr>
        <w:t xml:space="preserve">  综合管廊的主出入口内应设置综合管廊介绍牌，并应标明综合管廊管理单位、建设时间、规模、容纳管线内容等。</w:t>
      </w:r>
    </w:p>
    <w:p w14:paraId="579C5493">
      <w:pPr>
        <w:pStyle w:val="5"/>
        <w:rPr>
          <w:highlight w:val="none"/>
        </w:rPr>
      </w:pPr>
      <w:r>
        <w:rPr>
          <w:b/>
          <w:highlight w:val="none"/>
        </w:rPr>
        <w:t>8.7.2</w:t>
      </w:r>
      <w:r>
        <w:rPr>
          <w:highlight w:val="none"/>
        </w:rPr>
        <w:t xml:space="preserve">  纳入综合管廊的管线应采用符合管线管理单位要求的标识进行区分，并应标明管线属性、规格、产权单位名称、紧急联系电话。标识应设置在醒目位置，间隔距离不应大于100m。</w:t>
      </w:r>
    </w:p>
    <w:p w14:paraId="19C37C76">
      <w:pPr>
        <w:pStyle w:val="5"/>
        <w:rPr>
          <w:highlight w:val="none"/>
        </w:rPr>
      </w:pPr>
      <w:r>
        <w:rPr>
          <w:b/>
          <w:highlight w:val="none"/>
        </w:rPr>
        <w:t>8.7.3</w:t>
      </w:r>
      <w:r>
        <w:rPr>
          <w:highlight w:val="none"/>
        </w:rPr>
        <w:t xml:space="preserve">  综合管廊内部应设置里程标识和引导标识，里程标识间距不应大于50m，引导标识位于出入口及交叉节点，主要标注所在位置及方向。</w:t>
      </w:r>
    </w:p>
    <w:p w14:paraId="182D9CDF">
      <w:pPr>
        <w:pStyle w:val="5"/>
        <w:rPr>
          <w:highlight w:val="none"/>
        </w:rPr>
      </w:pPr>
      <w:r>
        <w:rPr>
          <w:b/>
          <w:highlight w:val="none"/>
        </w:rPr>
        <w:t>8.7.4</w:t>
      </w:r>
      <w:r>
        <w:rPr>
          <w:highlight w:val="none"/>
        </w:rPr>
        <w:t xml:space="preserve">  综合管廊的设备旁边应设置设备铭牌，并应标明设备的名称、基本数据、使用方式及紧急联系电话。</w:t>
      </w:r>
    </w:p>
    <w:p w14:paraId="5FB1AAAF">
      <w:pPr>
        <w:pStyle w:val="5"/>
        <w:rPr>
          <w:highlight w:val="none"/>
        </w:rPr>
      </w:pPr>
      <w:r>
        <w:rPr>
          <w:b/>
          <w:highlight w:val="none"/>
        </w:rPr>
        <w:t>8.7.5</w:t>
      </w:r>
      <w:r>
        <w:rPr>
          <w:highlight w:val="none"/>
        </w:rPr>
        <w:t xml:space="preserve">  综合管廊内应设置“禁烟”、“注意碰头”、“注意脚下”、“禁止触摸”、“防坠落”等警示、警告标识。</w:t>
      </w:r>
    </w:p>
    <w:p w14:paraId="6A0F7EEF">
      <w:pPr>
        <w:pStyle w:val="5"/>
        <w:rPr>
          <w:highlight w:val="none"/>
        </w:rPr>
      </w:pPr>
      <w:r>
        <w:rPr>
          <w:b/>
          <w:highlight w:val="none"/>
        </w:rPr>
        <w:t>8.7.6</w:t>
      </w:r>
      <w:r>
        <w:rPr>
          <w:highlight w:val="none"/>
        </w:rPr>
        <w:t xml:space="preserve">  人员出入口、逃生口、管线分支口、吊装口、进排风口、灭火器材设置处等部位，应设置带编号的标识。</w:t>
      </w:r>
    </w:p>
    <w:p w14:paraId="2863909B">
      <w:pPr>
        <w:pStyle w:val="5"/>
        <w:rPr>
          <w:highlight w:val="none"/>
        </w:rPr>
      </w:pPr>
      <w:bookmarkStart w:id="66" w:name="_Toc37689752"/>
      <w:r>
        <w:rPr>
          <w:b/>
          <w:highlight w:val="none"/>
        </w:rPr>
        <w:t>8.7.7</w:t>
      </w:r>
      <w:r>
        <w:rPr>
          <w:highlight w:val="none"/>
        </w:rPr>
        <w:t xml:space="preserve">  综合管廊穿越河道、轨道等障碍物时，应在障碍物两侧10m范围内醒目位置设置明确的标识。</w:t>
      </w:r>
    </w:p>
    <w:p w14:paraId="004FBC75">
      <w:pPr>
        <w:pStyle w:val="5"/>
        <w:rPr>
          <w:highlight w:val="none"/>
        </w:rPr>
      </w:pPr>
      <w:r>
        <w:rPr>
          <w:rFonts w:hint="eastAsia"/>
          <w:b/>
          <w:highlight w:val="none"/>
        </w:rPr>
        <w:t>8.7.8</w:t>
      </w:r>
      <w:r>
        <w:rPr>
          <w:rFonts w:hint="eastAsia"/>
          <w:highlight w:val="none"/>
        </w:rPr>
        <w:t xml:space="preserve">  应根据运维管理的要求，在综合管廊安全保护区两侧设置明确的标识。</w:t>
      </w:r>
    </w:p>
    <w:p w14:paraId="67E12A9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t xml:space="preserve">  监 控 中 心</w:t>
      </w:r>
      <w:bookmarkEnd w:id="66"/>
    </w:p>
    <w:p w14:paraId="4C950B27">
      <w:pPr>
        <w:pStyle w:val="5"/>
        <w:rPr>
          <w:highlight w:val="none"/>
        </w:rPr>
      </w:pPr>
      <w:r>
        <w:rPr>
          <w:b/>
          <w:highlight w:val="none"/>
        </w:rPr>
        <w:t>8.8.1</w:t>
      </w:r>
      <w:r>
        <w:rPr>
          <w:highlight w:val="none"/>
        </w:rPr>
        <w:t xml:space="preserve">  </w:t>
      </w:r>
      <w:bookmarkStart w:id="67" w:name="_Hlk16348097"/>
      <w:r>
        <w:rPr>
          <w:highlight w:val="none"/>
        </w:rPr>
        <w:t>监控中心基地和建筑总平面图应符合下列规定：</w:t>
      </w:r>
      <w:bookmarkEnd w:id="67"/>
    </w:p>
    <w:p w14:paraId="44FC9E51">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监控中心基地宜选在管廊负荷的中心或根据规模分散布置，便于管理，同时应符合当地总体规划的要求；</w:t>
      </w:r>
    </w:p>
    <w:p w14:paraId="2A526BF5">
      <w:pPr>
        <w:pStyle w:val="59"/>
        <w:ind w:firstLine="316" w:firstLineChars="150"/>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当监控中心与其他建筑共建在同一基地内或与其他建筑合建时，应满足监控中心的使用功能和环境要求，分区明确，宜设置单独出入口。</w:t>
      </w:r>
    </w:p>
    <w:p w14:paraId="1BC7FB00">
      <w:pPr>
        <w:pStyle w:val="5"/>
        <w:rPr>
          <w:highlight w:val="none"/>
        </w:rPr>
      </w:pPr>
      <w:r>
        <w:rPr>
          <w:b/>
          <w:highlight w:val="none"/>
        </w:rPr>
        <w:t>8.8.2</w:t>
      </w:r>
      <w:r>
        <w:rPr>
          <w:highlight w:val="none"/>
        </w:rPr>
        <w:t xml:space="preserve">  县级及县级以上地域可根据覆盖范围设计两个及两个以上的监控中心，其中一个为主监控中心。</w:t>
      </w:r>
    </w:p>
    <w:p w14:paraId="25FD788D">
      <w:pPr>
        <w:pStyle w:val="5"/>
        <w:rPr>
          <w:highlight w:val="none"/>
        </w:rPr>
      </w:pPr>
      <w:r>
        <w:rPr>
          <w:b/>
          <w:highlight w:val="none"/>
        </w:rPr>
        <w:t>8.8.3</w:t>
      </w:r>
      <w:r>
        <w:rPr>
          <w:highlight w:val="none"/>
        </w:rPr>
        <w:t xml:space="preserve">  监控中心的建筑设计应符合下列规定：</w:t>
      </w:r>
    </w:p>
    <w:p w14:paraId="06F6A37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监控中心应根据建设规模与标准的不同，确定各类用房。监控中心由控制用房、办公用房、服务用房和设备用房等组成；</w:t>
      </w:r>
    </w:p>
    <w:p w14:paraId="3EE94C0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监控中心的底层外窗及半地下室外窗宜采取安全防范措施；</w:t>
      </w:r>
    </w:p>
    <w:p w14:paraId="17161C1C">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监控中心与管廊连接时，连接处的门应为甲级防火门。</w:t>
      </w:r>
    </w:p>
    <w:p w14:paraId="79D27D34">
      <w:pPr>
        <w:pStyle w:val="5"/>
        <w:rPr>
          <w:highlight w:val="none"/>
        </w:rPr>
      </w:pPr>
      <w:r>
        <w:rPr>
          <w:b/>
          <w:highlight w:val="none"/>
        </w:rPr>
        <w:t>8.8.4</w:t>
      </w:r>
      <w:r>
        <w:rPr>
          <w:highlight w:val="none"/>
        </w:rPr>
        <w:t xml:space="preserve">  控制用房的设计应符合下列规定：</w:t>
      </w:r>
    </w:p>
    <w:p w14:paraId="486EA910">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根据监控中心控制用房的使用要求，楼地面宜按设备位置埋设弱电和强电插座；</w:t>
      </w:r>
    </w:p>
    <w:p w14:paraId="5858B2BD">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控制中心的室内应设通信外网接口，并宜配置空调设施；</w:t>
      </w:r>
    </w:p>
    <w:p w14:paraId="5DCDD40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控制中心的室内装修应采取防潮、防静电措施，并宜采用防静电架空地板，不得采用无导出静电功能的木地板或塑料地板，当采用地板采暖系统时，楼地面需采用与之相适应的材料及构造做法。</w:t>
      </w:r>
    </w:p>
    <w:p w14:paraId="57CEA892">
      <w:pPr>
        <w:pStyle w:val="5"/>
        <w:rPr>
          <w:highlight w:val="none"/>
        </w:rPr>
      </w:pPr>
      <w:r>
        <w:rPr>
          <w:b/>
          <w:highlight w:val="none"/>
        </w:rPr>
        <w:t>8.8.5</w:t>
      </w:r>
      <w:r>
        <w:rPr>
          <w:highlight w:val="none"/>
        </w:rPr>
        <w:t xml:space="preserve">  监控中心给水排水系统设计应符合现行国家标准《建筑给水排水设计规范》GB 50015的有关规定。</w:t>
      </w:r>
    </w:p>
    <w:p w14:paraId="7A951931">
      <w:pPr>
        <w:pStyle w:val="5"/>
        <w:rPr>
          <w:highlight w:val="none"/>
        </w:rPr>
      </w:pPr>
      <w:r>
        <w:rPr>
          <w:b/>
          <w:highlight w:val="none"/>
        </w:rPr>
        <w:t xml:space="preserve">8.8.6 </w:t>
      </w:r>
      <w:r>
        <w:rPr>
          <w:highlight w:val="none"/>
        </w:rPr>
        <w:t xml:space="preserve"> 监控中心</w:t>
      </w:r>
      <w:bookmarkStart w:id="68" w:name="_Hlk16349012"/>
      <w:r>
        <w:rPr>
          <w:rFonts w:hint="eastAsia"/>
          <w:color w:val="auto"/>
          <w:highlight w:val="none"/>
          <w:u w:val="none"/>
        </w:rPr>
        <w:t>供暖</w:t>
      </w:r>
      <w:r>
        <w:rPr>
          <w:highlight w:val="none"/>
        </w:rPr>
        <w:t>、通风与空调系统</w:t>
      </w:r>
      <w:bookmarkEnd w:id="68"/>
      <w:r>
        <w:rPr>
          <w:highlight w:val="none"/>
        </w:rPr>
        <w:t>应符合下列规定：</w:t>
      </w:r>
    </w:p>
    <w:p w14:paraId="3BF22A0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控制室和值班室应设采暖装置；当配电室内温度影响电气设备元件和仪表正常运行时应设采暖装置。控制室和配电室内的采暖装置宜采用钢管焊接且不应有法兰螺纹接头和阀门等；</w:t>
      </w:r>
    </w:p>
    <w:p w14:paraId="5442E99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配电室宜设置独立的送、排风系统；</w:t>
      </w:r>
    </w:p>
    <w:p w14:paraId="260835A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控制室、计算机室、值班室等有调节要求的工艺设备房间，宜设置空调设施。</w:t>
      </w:r>
    </w:p>
    <w:p w14:paraId="6D299203">
      <w:pPr>
        <w:pStyle w:val="5"/>
        <w:rPr>
          <w:highlight w:val="none"/>
        </w:rPr>
      </w:pPr>
      <w:r>
        <w:rPr>
          <w:b/>
          <w:highlight w:val="none"/>
        </w:rPr>
        <w:t>8.8.7</w:t>
      </w:r>
      <w:r>
        <w:rPr>
          <w:highlight w:val="none"/>
        </w:rPr>
        <w:t xml:space="preserve">  监控中心</w:t>
      </w:r>
      <w:bookmarkStart w:id="69" w:name="_Hlk16349099"/>
      <w:r>
        <w:rPr>
          <w:highlight w:val="none"/>
        </w:rPr>
        <w:t>供配电系统</w:t>
      </w:r>
      <w:bookmarkEnd w:id="69"/>
      <w:r>
        <w:rPr>
          <w:highlight w:val="none"/>
        </w:rPr>
        <w:t>应符合下列规定：</w:t>
      </w:r>
    </w:p>
    <w:p w14:paraId="08010B9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监控中心用电负荷等级及供电要求应根据机房的等级，按现行国家标准《供配电系统设计规范》GB 50052的规定执行；</w:t>
      </w:r>
    </w:p>
    <w:p w14:paraId="2B26B57D">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供配电系统应为监控中心的可扩展性预留备用容量；</w:t>
      </w:r>
    </w:p>
    <w:p w14:paraId="070D4C2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监控中心控制室及监控系统机房应由专用配电变压器或专用回路供电，变压器宜采用干式变压器；</w:t>
      </w:r>
    </w:p>
    <w:p w14:paraId="242E986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监控中心低压配电系统宜采用TN-S或TN-C-S系统。监控系统设备与消防系统设备的配电应按设备要求确定；</w:t>
      </w:r>
    </w:p>
    <w:p w14:paraId="2A98ADE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监控系统设备与消防系统设备应由不间断电源供电。不间断电源应有自动和手动旁路装置。确定不间断电源系统的基本容量时应留有余量；</w:t>
      </w:r>
    </w:p>
    <w:p w14:paraId="3E539F7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用于监控中心控制室和机房内的动力设备与监控系统及消防系统设备的不间断电源系统应由不同回路供电；</w:t>
      </w:r>
    </w:p>
    <w:p w14:paraId="2919E62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监控系统与消防系统设备的配电应采用专用配电箱（柜），专用配电箱（柜）应靠近用电设备安装；</w:t>
      </w:r>
    </w:p>
    <w:p w14:paraId="619E85E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监控系统与消防系统设备的专用配电箱（柜）宜配备浪涌保护器、电源监测和报警装置。</w:t>
      </w:r>
    </w:p>
    <w:p w14:paraId="3EEB4111">
      <w:pPr>
        <w:pStyle w:val="5"/>
        <w:rPr>
          <w:highlight w:val="none"/>
        </w:rPr>
      </w:pPr>
      <w:r>
        <w:rPr>
          <w:b/>
          <w:highlight w:val="none"/>
        </w:rPr>
        <w:t>8.8.8</w:t>
      </w:r>
      <w:r>
        <w:rPr>
          <w:highlight w:val="none"/>
        </w:rPr>
        <w:t xml:space="preserve">  监控中心照明系统应符合下列规定：</w:t>
      </w:r>
    </w:p>
    <w:p w14:paraId="5661D00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监控中心应急照明按二级负荷要求设计，一般照明按三级负荷考虑；</w:t>
      </w:r>
    </w:p>
    <w:p w14:paraId="0176D3F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监控中心照明设计应符合现行国家标准</w:t>
      </w:r>
      <w:bookmarkStart w:id="70" w:name="_Hlk18345131"/>
      <w:r>
        <w:rPr>
          <w:rFonts w:ascii="Times New Roman" w:hAnsi="Times New Roman" w:eastAsia="方正书宋简体" w:cs="Times New Roman"/>
          <w:color w:val="000000" w:themeColor="text1"/>
          <w:highlight w:val="none"/>
          <w14:textFill>
            <w14:solidFill>
              <w14:schemeClr w14:val="tx1"/>
            </w14:solidFill>
          </w14:textFill>
        </w:rPr>
        <w:t>《建筑照明设计标准》GB 50034、《建筑设计防火规范》GB 50016、《民用建筑电气设计规范》JGJ 16</w:t>
      </w:r>
      <w:bookmarkEnd w:id="70"/>
      <w:r>
        <w:rPr>
          <w:rFonts w:ascii="Times New Roman" w:hAnsi="Times New Roman" w:eastAsia="方正书宋简体" w:cs="Times New Roman"/>
          <w:color w:val="000000" w:themeColor="text1"/>
          <w:highlight w:val="none"/>
          <w14:textFill>
            <w14:solidFill>
              <w14:schemeClr w14:val="tx1"/>
            </w14:solidFill>
          </w14:textFill>
        </w:rPr>
        <w:t>的有关规定。</w:t>
      </w:r>
    </w:p>
    <w:p w14:paraId="4A12A971">
      <w:pPr>
        <w:pStyle w:val="5"/>
        <w:rPr>
          <w:highlight w:val="none"/>
        </w:rPr>
      </w:pPr>
      <w:r>
        <w:rPr>
          <w:b/>
          <w:highlight w:val="none"/>
        </w:rPr>
        <w:t>8.8.9</w:t>
      </w:r>
      <w:r>
        <w:rPr>
          <w:highlight w:val="none"/>
        </w:rPr>
        <w:t xml:space="preserve">  监控中心宜设置出入口管理系统。</w:t>
      </w:r>
    </w:p>
    <w:p w14:paraId="65112D09">
      <w:pPr>
        <w:pStyle w:val="5"/>
        <w:rPr>
          <w:highlight w:val="none"/>
        </w:rPr>
      </w:pPr>
      <w:r>
        <w:rPr>
          <w:b/>
          <w:highlight w:val="none"/>
        </w:rPr>
        <w:t>8.8.10</w:t>
      </w:r>
      <w:r>
        <w:rPr>
          <w:highlight w:val="none"/>
        </w:rPr>
        <w:t xml:space="preserve">  监控中心防雷和接地系统应符合下列规定：</w:t>
      </w:r>
    </w:p>
    <w:p w14:paraId="2C13743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监控中心的防雷和接地设计，应满足人身安全及电子信息系统正常运行的要求，并应符合现行国家标准</w:t>
      </w:r>
      <w:bookmarkStart w:id="71" w:name="_Hlk18345211"/>
      <w:r>
        <w:rPr>
          <w:rFonts w:ascii="Times New Roman" w:hAnsi="Times New Roman" w:eastAsia="方正书宋简体" w:cs="Times New Roman"/>
          <w:color w:val="000000" w:themeColor="text1"/>
          <w:highlight w:val="none"/>
          <w14:textFill>
            <w14:solidFill>
              <w14:schemeClr w14:val="tx1"/>
            </w14:solidFill>
          </w14:textFill>
        </w:rPr>
        <w:t>《建筑物防雷设计规范》GB 50057</w:t>
      </w:r>
      <w:bookmarkEnd w:id="71"/>
      <w:r>
        <w:rPr>
          <w:rFonts w:ascii="Times New Roman" w:hAnsi="Times New Roman" w:eastAsia="方正书宋简体" w:cs="Times New Roman"/>
          <w:color w:val="000000" w:themeColor="text1"/>
          <w:highlight w:val="none"/>
          <w14:textFill>
            <w14:solidFill>
              <w14:schemeClr w14:val="tx1"/>
            </w14:solidFill>
          </w14:textFill>
        </w:rPr>
        <w:t>和</w:t>
      </w:r>
      <w:bookmarkStart w:id="72" w:name="_Hlk18345189"/>
      <w:r>
        <w:rPr>
          <w:rFonts w:ascii="Times New Roman" w:hAnsi="Times New Roman" w:eastAsia="方正书宋简体" w:cs="Times New Roman"/>
          <w:color w:val="000000" w:themeColor="text1"/>
          <w:highlight w:val="none"/>
          <w14:textFill>
            <w14:solidFill>
              <w14:schemeClr w14:val="tx1"/>
            </w14:solidFill>
          </w14:textFill>
        </w:rPr>
        <w:t>《建筑物电子信息系统防雷技术规范》GB 50343</w:t>
      </w:r>
      <w:bookmarkEnd w:id="72"/>
      <w:r>
        <w:rPr>
          <w:rFonts w:ascii="Times New Roman" w:hAnsi="Times New Roman" w:eastAsia="方正书宋简体" w:cs="Times New Roman"/>
          <w:color w:val="000000" w:themeColor="text1"/>
          <w:highlight w:val="none"/>
          <w14:textFill>
            <w14:solidFill>
              <w14:schemeClr w14:val="tx1"/>
            </w14:solidFill>
          </w14:textFill>
        </w:rPr>
        <w:t>的有关规定；</w:t>
      </w:r>
    </w:p>
    <w:p w14:paraId="015EF2C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监控中心控制室和机房内的设备应进行等电位联结。</w:t>
      </w:r>
    </w:p>
    <w:p w14:paraId="7DB9EBC5">
      <w:pPr>
        <w:pStyle w:val="5"/>
        <w:rPr>
          <w:highlight w:val="none"/>
        </w:rPr>
      </w:pPr>
      <w:r>
        <w:rPr>
          <w:b/>
          <w:highlight w:val="none"/>
        </w:rPr>
        <w:t>8.8.11</w:t>
      </w:r>
      <w:r>
        <w:rPr>
          <w:highlight w:val="none"/>
        </w:rPr>
        <w:t xml:space="preserve">  综合管廊监控系统分为省级监控中心、区域级监控中心、项目级监控中心。各级监控中心外网系统连接应采取防火墙、网闸等入侵防御设备或措施进行网络安全隔离。</w:t>
      </w:r>
    </w:p>
    <w:p w14:paraId="6096D58E">
      <w:pPr>
        <w:pStyle w:val="5"/>
        <w:rPr>
          <w:highlight w:val="none"/>
        </w:rPr>
      </w:pPr>
      <w:r>
        <w:rPr>
          <w:b/>
          <w:highlight w:val="none"/>
        </w:rPr>
        <w:t>8.8.12</w:t>
      </w:r>
      <w:r>
        <w:rPr>
          <w:highlight w:val="none"/>
        </w:rPr>
        <w:t xml:space="preserve">  监控中心应设置智慧管理平台，智慧管理平台应统一部署，分期实施。智慧管理平台应具备区域联动功能。</w:t>
      </w:r>
    </w:p>
    <w:p w14:paraId="158BA57F">
      <w:pPr>
        <w:pStyle w:val="5"/>
        <w:rPr>
          <w:highlight w:val="none"/>
        </w:rPr>
      </w:pPr>
      <w:bookmarkStart w:id="73" w:name="_Toc492482967"/>
      <w:bookmarkStart w:id="74" w:name="_Toc492484260"/>
      <w:r>
        <w:rPr>
          <w:b/>
          <w:highlight w:val="none"/>
        </w:rPr>
        <w:t>8.8.13</w:t>
      </w:r>
      <w:r>
        <w:rPr>
          <w:highlight w:val="none"/>
        </w:rPr>
        <w:t xml:space="preserve">  监控中心对综合管廊及内部运行情况实时监控，保证设施运行安全和智能化管理。</w:t>
      </w:r>
      <w:bookmarkEnd w:id="73"/>
      <w:bookmarkEnd w:id="74"/>
    </w:p>
    <w:p w14:paraId="2257A7C2">
      <w:pPr>
        <w:pStyle w:val="42"/>
        <w:overflowPunct w:val="0"/>
        <w:spacing w:line="348" w:lineRule="exact"/>
        <w:ind w:firstLine="422"/>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77944A60">
      <w:pPr>
        <w:pStyle w:val="2"/>
        <w:rPr>
          <w:color w:val="000000" w:themeColor="text1"/>
          <w:highlight w:val="none"/>
          <w14:textFill>
            <w14:solidFill>
              <w14:schemeClr w14:val="tx1"/>
            </w14:solidFill>
          </w14:textFill>
        </w:rPr>
      </w:pPr>
      <w:bookmarkStart w:id="75" w:name="_Toc37689753"/>
      <w:r>
        <w:rPr>
          <w:color w:val="000000" w:themeColor="text1"/>
          <w:highlight w:val="none"/>
          <w:lang w:val="en-US"/>
          <w14:textFill>
            <w14:solidFill>
              <w14:schemeClr w14:val="tx1"/>
            </w14:solidFill>
          </w14:textFill>
        </w:rPr>
        <w:t>9</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管</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线</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设</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计</w:t>
      </w:r>
      <w:bookmarkEnd w:id="75"/>
    </w:p>
    <w:p w14:paraId="0EF6462B">
      <w:pPr>
        <w:pStyle w:val="4"/>
        <w:spacing w:before="156" w:after="156"/>
        <w:rPr>
          <w:b/>
          <w:color w:val="000000" w:themeColor="text1"/>
          <w:highlight w:val="none"/>
          <w14:textFill>
            <w14:solidFill>
              <w14:schemeClr w14:val="tx1"/>
            </w14:solidFill>
          </w14:textFill>
        </w:rPr>
      </w:pPr>
      <w:bookmarkStart w:id="76" w:name="_Toc37689754"/>
      <w:r>
        <w:rPr>
          <w:b/>
          <w:bCs w:val="0"/>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t xml:space="preserve">  一 般 规 定</w:t>
      </w:r>
      <w:bookmarkEnd w:id="76"/>
    </w:p>
    <w:p w14:paraId="0D2BF377">
      <w:pPr>
        <w:pStyle w:val="5"/>
        <w:rPr>
          <w:highlight w:val="none"/>
          <w:u w:val="none"/>
        </w:rPr>
      </w:pPr>
      <w:r>
        <w:rPr>
          <w:b/>
          <w:highlight w:val="none"/>
          <w:u w:val="none"/>
        </w:rPr>
        <w:t>9.1.1</w:t>
      </w:r>
      <w:r>
        <w:rPr>
          <w:highlight w:val="none"/>
          <w:u w:val="none"/>
        </w:rPr>
        <w:t xml:space="preserve">  </w:t>
      </w:r>
      <w:r>
        <w:rPr>
          <w:rFonts w:hint="eastAsia"/>
          <w:highlight w:val="none"/>
          <w:u w:val="none"/>
        </w:rPr>
        <w:t>管线设计</w:t>
      </w:r>
      <w:r>
        <w:rPr>
          <w:highlight w:val="none"/>
          <w:u w:val="none"/>
        </w:rPr>
        <w:t>应与总体设计协调。</w:t>
      </w:r>
    </w:p>
    <w:p w14:paraId="299A3C27">
      <w:pPr>
        <w:pStyle w:val="5"/>
        <w:rPr>
          <w:highlight w:val="none"/>
        </w:rPr>
      </w:pPr>
      <w:r>
        <w:rPr>
          <w:b/>
          <w:highlight w:val="none"/>
        </w:rPr>
        <w:t>9.1.2</w:t>
      </w:r>
      <w:r>
        <w:rPr>
          <w:highlight w:val="none"/>
        </w:rPr>
        <w:t xml:space="preserve">  各入廊管线专项设计需充分考虑廊内环境条件、运行工况、维修抢险等特殊性要求。</w:t>
      </w:r>
    </w:p>
    <w:p w14:paraId="7FDD501B">
      <w:pPr>
        <w:pStyle w:val="5"/>
        <w:rPr>
          <w:highlight w:val="none"/>
        </w:rPr>
      </w:pPr>
      <w:r>
        <w:rPr>
          <w:b/>
          <w:highlight w:val="none"/>
        </w:rPr>
        <w:t>9.1.3</w:t>
      </w:r>
      <w:r>
        <w:rPr>
          <w:highlight w:val="none"/>
        </w:rPr>
        <w:t xml:space="preserve">  管线配套检测设备、控制执行机构或监控系统应设置与综合管廊监控与报警系统联通的信号传输接口。</w:t>
      </w:r>
    </w:p>
    <w:p w14:paraId="728F5D2D">
      <w:pPr>
        <w:pStyle w:val="5"/>
        <w:rPr>
          <w:highlight w:val="none"/>
        </w:rPr>
      </w:pPr>
      <w:r>
        <w:rPr>
          <w:b/>
          <w:highlight w:val="none"/>
        </w:rPr>
        <w:t>9.1.4</w:t>
      </w:r>
      <w:r>
        <w:rPr>
          <w:highlight w:val="none"/>
        </w:rPr>
        <w:t xml:space="preserve">  纳入综合管廊的管道应采用符合管道安全运行的物理性能和便于运输、安装的材质。</w:t>
      </w:r>
    </w:p>
    <w:p w14:paraId="0BD22886">
      <w:pPr>
        <w:pStyle w:val="5"/>
        <w:rPr>
          <w:highlight w:val="none"/>
        </w:rPr>
      </w:pPr>
      <w:r>
        <w:rPr>
          <w:b/>
          <w:highlight w:val="none"/>
        </w:rPr>
        <w:t>9.1.5</w:t>
      </w:r>
      <w:r>
        <w:rPr>
          <w:highlight w:val="none"/>
        </w:rPr>
        <w:t xml:space="preserve">  管道进出综合管廊时，应采用防水套管、密封件或其他防水措施。</w:t>
      </w:r>
    </w:p>
    <w:p w14:paraId="1B828837">
      <w:pPr>
        <w:pStyle w:val="5"/>
        <w:rPr>
          <w:highlight w:val="none"/>
        </w:rPr>
      </w:pPr>
      <w:r>
        <w:rPr>
          <w:b/>
          <w:highlight w:val="none"/>
        </w:rPr>
        <w:t>9.1.6</w:t>
      </w:r>
      <w:r>
        <w:rPr>
          <w:highlight w:val="none"/>
        </w:rPr>
        <w:t xml:space="preserve">  综合管廊内用于支承管道的支（吊）架、桥架及支墩应符合下列规定：</w:t>
      </w:r>
    </w:p>
    <w:p w14:paraId="2A440AE5">
      <w:pPr>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应根据管道类型、管道参数及工作条件等，经计算分析后确定。应具有足够的刚度和强度；</w:t>
      </w:r>
    </w:p>
    <w:p w14:paraId="0F62AF83">
      <w:pPr>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应进行防锈防腐设计或采用耐腐蚀材质制作；</w:t>
      </w:r>
    </w:p>
    <w:p w14:paraId="50DE0C19">
      <w:pPr>
        <w:overflowPunct w:val="0"/>
        <w:spacing w:line="348" w:lineRule="exact"/>
        <w:ind w:firstLine="316" w:firstLineChars="150"/>
        <w:rPr>
          <w:rFonts w:ascii="Times New Roman" w:hAnsi="Times New Roman" w:eastAsia="方正书宋简体" w:cs="Times New Roman"/>
          <w:b/>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3  </w:t>
      </w:r>
      <w:r>
        <w:rPr>
          <w:rFonts w:ascii="Times New Roman" w:hAnsi="Times New Roman" w:eastAsia="方正书宋简体" w:cs="Times New Roman"/>
          <w:color w:val="000000" w:themeColor="text1"/>
          <w:highlight w:val="none"/>
          <w:u w:val="none"/>
          <w14:textFill>
            <w14:solidFill>
              <w14:schemeClr w14:val="tx1"/>
            </w14:solidFill>
          </w14:textFill>
        </w:rPr>
        <w:t>管道固定支（吊）架或支墩不得影响其他管线敷设，占用综合管廊检修空间。</w:t>
      </w:r>
    </w:p>
    <w:p w14:paraId="445F773C">
      <w:pPr>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其与主体结构应有可靠的连接和锚固，应确保管线在遭遇本区域设防烈度地震影响后能迅速恢复运转。</w:t>
      </w:r>
    </w:p>
    <w:p w14:paraId="00180014">
      <w:pPr>
        <w:pStyle w:val="5"/>
        <w:rPr>
          <w:highlight w:val="none"/>
        </w:rPr>
      </w:pPr>
      <w:r>
        <w:rPr>
          <w:b/>
          <w:highlight w:val="none"/>
        </w:rPr>
        <w:t>9.1.7</w:t>
      </w:r>
      <w:r>
        <w:rPr>
          <w:highlight w:val="none"/>
        </w:rPr>
        <w:t xml:space="preserve">  介质输送管道接口宜采用防渗漏的刚性连接，不得采用承插连接。</w:t>
      </w:r>
    </w:p>
    <w:p w14:paraId="0D270B76">
      <w:pPr>
        <w:pStyle w:val="5"/>
        <w:rPr>
          <w:highlight w:val="none"/>
        </w:rPr>
      </w:pPr>
      <w:r>
        <w:rPr>
          <w:b/>
          <w:highlight w:val="none"/>
        </w:rPr>
        <w:t>9.1.8</w:t>
      </w:r>
      <w:r>
        <w:rPr>
          <w:highlight w:val="none"/>
        </w:rPr>
        <w:t xml:space="preserve">  综合管廊内管线布置应满足运输、安装、检修及吊装等要求。</w:t>
      </w:r>
    </w:p>
    <w:p w14:paraId="54E62E16">
      <w:pPr>
        <w:pStyle w:val="5"/>
        <w:rPr>
          <w:highlight w:val="none"/>
        </w:rPr>
      </w:pPr>
      <w:r>
        <w:rPr>
          <w:b/>
          <w:highlight w:val="none"/>
        </w:rPr>
        <w:t>9.1.9</w:t>
      </w:r>
      <w:r>
        <w:rPr>
          <w:highlight w:val="none"/>
        </w:rPr>
        <w:t xml:space="preserve">  综合管廊内管道与外部管道连接处，应采取密封和防止差异沉降的措施。</w:t>
      </w:r>
    </w:p>
    <w:p w14:paraId="4196FC46">
      <w:pPr>
        <w:pStyle w:val="5"/>
        <w:rPr>
          <w:highlight w:val="none"/>
        </w:rPr>
      </w:pPr>
      <w:r>
        <w:rPr>
          <w:b/>
          <w:highlight w:val="none"/>
        </w:rPr>
        <w:t>9.1.10</w:t>
      </w:r>
      <w:r>
        <w:rPr>
          <w:highlight w:val="none"/>
        </w:rPr>
        <w:t xml:space="preserve">  主干管道在进出管廊时，应在管廊外部设置阀门井。</w:t>
      </w:r>
    </w:p>
    <w:p w14:paraId="6467277F">
      <w:pPr>
        <w:pStyle w:val="5"/>
        <w:rPr>
          <w:highlight w:val="none"/>
        </w:rPr>
      </w:pPr>
      <w:r>
        <w:rPr>
          <w:b/>
          <w:highlight w:val="none"/>
        </w:rPr>
        <w:t>9.1.11</w:t>
      </w:r>
      <w:r>
        <w:rPr>
          <w:highlight w:val="none"/>
        </w:rPr>
        <w:t xml:space="preserve">  管道在管廊内敷设时，应考虑管道的排气阀、排水阀、伸缩补偿器、阀门等配件安装、维护的作业空间。</w:t>
      </w:r>
    </w:p>
    <w:p w14:paraId="4973C7C8">
      <w:pPr>
        <w:pStyle w:val="5"/>
        <w:rPr>
          <w:highlight w:val="none"/>
        </w:rPr>
      </w:pPr>
      <w:bookmarkStart w:id="77" w:name="_Toc37689755"/>
      <w:bookmarkStart w:id="78" w:name="_Hlk16349797"/>
      <w:r>
        <w:rPr>
          <w:b/>
          <w:highlight w:val="none"/>
        </w:rPr>
        <w:t>9.1.12</w:t>
      </w:r>
      <w:r>
        <w:rPr>
          <w:highlight w:val="none"/>
        </w:rPr>
        <w:t xml:space="preserve">  纳入综合管廊的金属管道应进行防腐设计和抗震设计。</w:t>
      </w:r>
    </w:p>
    <w:p w14:paraId="08287E46">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t xml:space="preserve">  给水、再生水管道</w:t>
      </w:r>
      <w:bookmarkEnd w:id="77"/>
    </w:p>
    <w:bookmarkEnd w:id="78"/>
    <w:p w14:paraId="747B597F">
      <w:pPr>
        <w:pStyle w:val="5"/>
        <w:rPr>
          <w:highlight w:val="none"/>
        </w:rPr>
      </w:pPr>
      <w:r>
        <w:rPr>
          <w:b/>
          <w:highlight w:val="none"/>
        </w:rPr>
        <w:t>9.2.1</w:t>
      </w:r>
      <w:r>
        <w:rPr>
          <w:highlight w:val="none"/>
        </w:rPr>
        <w:t xml:space="preserve">  给水、再生水管道设计应符合现行国家标准</w:t>
      </w:r>
      <w:bookmarkStart w:id="79" w:name="_Hlk18345250"/>
      <w:r>
        <w:rPr>
          <w:highlight w:val="none"/>
          <w:u w:val="none"/>
        </w:rPr>
        <w:t>《室外给水设计标准》</w:t>
      </w:r>
      <w:r>
        <w:rPr>
          <w:highlight w:val="none"/>
        </w:rPr>
        <w:t>GB 50013和《城镇污水再生利用工程设计规范》GB 50335</w:t>
      </w:r>
      <w:bookmarkEnd w:id="79"/>
      <w:r>
        <w:rPr>
          <w:highlight w:val="none"/>
        </w:rPr>
        <w:t>的有关规定。</w:t>
      </w:r>
    </w:p>
    <w:p w14:paraId="1F365580">
      <w:pPr>
        <w:pStyle w:val="5"/>
        <w:rPr>
          <w:highlight w:val="none"/>
        </w:rPr>
      </w:pPr>
      <w:r>
        <w:rPr>
          <w:b/>
          <w:highlight w:val="none"/>
        </w:rPr>
        <w:t>9.2.2</w:t>
      </w:r>
      <w:r>
        <w:rPr>
          <w:highlight w:val="none"/>
        </w:rPr>
        <w:t xml:space="preserve">  给水、再生水管道可选用钢管、球墨铸铁管、塑料管等。接口宜采用刚性连接，钢管可采用沟槽式连接。</w:t>
      </w:r>
    </w:p>
    <w:p w14:paraId="3A886324">
      <w:pPr>
        <w:pStyle w:val="5"/>
        <w:rPr>
          <w:highlight w:val="none"/>
        </w:rPr>
      </w:pPr>
      <w:r>
        <w:rPr>
          <w:b/>
          <w:highlight w:val="none"/>
        </w:rPr>
        <w:t>9.2.3</w:t>
      </w:r>
      <w:r>
        <w:rPr>
          <w:highlight w:val="none"/>
        </w:rPr>
        <w:t xml:space="preserve">  管道支撑的形式、间距、固定方式应通过计算确定，并应符合现行国家标准</w:t>
      </w:r>
      <w:bookmarkStart w:id="80" w:name="_Hlk18345274"/>
      <w:r>
        <w:rPr>
          <w:highlight w:val="none"/>
        </w:rPr>
        <w:t>《给水排水工程管道结构设计规范》GB 50332</w:t>
      </w:r>
      <w:bookmarkEnd w:id="80"/>
      <w:r>
        <w:rPr>
          <w:highlight w:val="none"/>
        </w:rPr>
        <w:t>的有关规定。</w:t>
      </w:r>
    </w:p>
    <w:p w14:paraId="2676E079">
      <w:pPr>
        <w:pStyle w:val="5"/>
        <w:rPr>
          <w:highlight w:val="none"/>
        </w:rPr>
      </w:pPr>
      <w:r>
        <w:rPr>
          <w:b/>
          <w:highlight w:val="none"/>
        </w:rPr>
        <w:t>9.2.4</w:t>
      </w:r>
      <w:r>
        <w:rPr>
          <w:highlight w:val="none"/>
        </w:rPr>
        <w:t xml:space="preserve">  给水管道上的阀门工作压力等级，应大于管道工作压力。阀门材质必须耐腐蚀，经久耐用。</w:t>
      </w:r>
    </w:p>
    <w:p w14:paraId="248FBC5A">
      <w:pPr>
        <w:pStyle w:val="5"/>
        <w:rPr>
          <w:highlight w:val="none"/>
        </w:rPr>
      </w:pPr>
      <w:r>
        <w:rPr>
          <w:b/>
          <w:highlight w:val="none"/>
        </w:rPr>
        <w:t>9.2.5</w:t>
      </w:r>
      <w:r>
        <w:rPr>
          <w:highlight w:val="none"/>
        </w:rPr>
        <w:t xml:space="preserve">  给水支管不应穿越管廊设备层的配电房。且应避免穿越人防地下室，必须穿越时应设置防护措施。</w:t>
      </w:r>
    </w:p>
    <w:p w14:paraId="72C13794">
      <w:pPr>
        <w:pStyle w:val="5"/>
        <w:rPr>
          <w:highlight w:val="none"/>
        </w:rPr>
      </w:pPr>
      <w:r>
        <w:rPr>
          <w:b/>
          <w:highlight w:val="none"/>
        </w:rPr>
        <w:t>9.2.6</w:t>
      </w:r>
      <w:r>
        <w:rPr>
          <w:highlight w:val="none"/>
        </w:rPr>
        <w:t xml:space="preserve">  管廊内给水管道宜设置保温层或防潮层，保温层或防潮层材料应采用不燃材料。</w:t>
      </w:r>
    </w:p>
    <w:p w14:paraId="74A969DC">
      <w:pPr>
        <w:pStyle w:val="5"/>
        <w:rPr>
          <w:highlight w:val="none"/>
        </w:rPr>
      </w:pPr>
      <w:r>
        <w:rPr>
          <w:b/>
          <w:highlight w:val="none"/>
        </w:rPr>
        <w:t>9.2.7</w:t>
      </w:r>
      <w:r>
        <w:rPr>
          <w:highlight w:val="none"/>
        </w:rPr>
        <w:t xml:space="preserve">  再生水管道宜与给水管道分别设计在管廊两侧。再生水管道应采取下列防止误接、误用、误饮的措施：</w:t>
      </w:r>
    </w:p>
    <w:p w14:paraId="6F145D7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再生水管道外壁应按有关标准的规定涂色和标志；</w:t>
      </w:r>
    </w:p>
    <w:p w14:paraId="7B519F99">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阀门、水表及给水栓、取水口均应有明显的“再生水”标志；</w:t>
      </w:r>
    </w:p>
    <w:p w14:paraId="0564B1FD">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 xml:space="preserve">  再生水取水口应设带锁装置；</w:t>
      </w:r>
    </w:p>
    <w:p w14:paraId="030CDEB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工程验收时应逐段进行检查，防止误接。</w:t>
      </w:r>
    </w:p>
    <w:p w14:paraId="4EB2F6AB">
      <w:pPr>
        <w:pStyle w:val="5"/>
        <w:rPr>
          <w:highlight w:val="none"/>
        </w:rPr>
      </w:pPr>
      <w:r>
        <w:rPr>
          <w:b/>
          <w:highlight w:val="none"/>
        </w:rPr>
        <w:t>9.2.8</w:t>
      </w:r>
      <w:r>
        <w:rPr>
          <w:highlight w:val="none"/>
        </w:rPr>
        <w:t xml:space="preserve">  给水、再生水管道的控制阀门应具有远程开闭功能；并应设置压力、渗漏监测系统。</w:t>
      </w:r>
    </w:p>
    <w:p w14:paraId="2090BD92">
      <w:pPr>
        <w:pStyle w:val="5"/>
        <w:rPr>
          <w:highlight w:val="none"/>
        </w:rPr>
      </w:pPr>
      <w:r>
        <w:rPr>
          <w:b/>
          <w:highlight w:val="none"/>
        </w:rPr>
        <w:t>9.2.9</w:t>
      </w:r>
      <w:r>
        <w:rPr>
          <w:highlight w:val="none"/>
        </w:rPr>
        <w:t xml:space="preserve">  当发生爆管事故时，可远程关闭事故管段的相邻分段阀，减少事故排出水量。当管道出现压力突变、渗漏情况时，监测系统报警提醒管理人员报修。</w:t>
      </w:r>
    </w:p>
    <w:p w14:paraId="0A0954CA">
      <w:pPr>
        <w:pStyle w:val="5"/>
        <w:rPr>
          <w:highlight w:val="none"/>
        </w:rPr>
      </w:pPr>
      <w:r>
        <w:rPr>
          <w:b/>
          <w:highlight w:val="none"/>
        </w:rPr>
        <w:t>9.2.10</w:t>
      </w:r>
      <w:r>
        <w:rPr>
          <w:highlight w:val="none"/>
        </w:rPr>
        <w:t xml:space="preserve">  给水、再生水管道泄压泄水装置宜靠近综合管廊集水坑布置。</w:t>
      </w:r>
    </w:p>
    <w:p w14:paraId="4DCAF4BF">
      <w:pPr>
        <w:pStyle w:val="5"/>
        <w:rPr>
          <w:highlight w:val="none"/>
        </w:rPr>
      </w:pPr>
      <w:bookmarkStart w:id="81" w:name="_Toc37689756"/>
      <w:bookmarkStart w:id="82" w:name="_Hlk16350094"/>
      <w:r>
        <w:rPr>
          <w:b/>
          <w:highlight w:val="none"/>
        </w:rPr>
        <w:t>9.2.11</w:t>
      </w:r>
      <w:r>
        <w:rPr>
          <w:highlight w:val="none"/>
        </w:rPr>
        <w:t xml:space="preserve">  管道应在隆起点设置排气阀，管线竖向布置平缓时，宜分段设置排气阀；排气阀可设置在管廊内。</w:t>
      </w:r>
    </w:p>
    <w:p w14:paraId="3EDBDDB0">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t xml:space="preserve">  排 水 管 渠</w:t>
      </w:r>
      <w:bookmarkEnd w:id="81"/>
    </w:p>
    <w:bookmarkEnd w:id="82"/>
    <w:p w14:paraId="15E51F67">
      <w:pPr>
        <w:pStyle w:val="5"/>
        <w:rPr>
          <w:highlight w:val="none"/>
        </w:rPr>
      </w:pPr>
      <w:r>
        <w:rPr>
          <w:b/>
          <w:highlight w:val="none"/>
        </w:rPr>
        <w:t>9.3.1</w:t>
      </w:r>
      <w:r>
        <w:rPr>
          <w:highlight w:val="none"/>
        </w:rPr>
        <w:t xml:space="preserve">  雨水管渠、污水管道设计应符合现行国家标准</w:t>
      </w:r>
      <w:bookmarkStart w:id="83" w:name="_Hlk18345294"/>
      <w:r>
        <w:rPr>
          <w:highlight w:val="none"/>
          <w:u w:val="none"/>
        </w:rPr>
        <w:t>《室外排水设计标准》</w:t>
      </w:r>
      <w:r>
        <w:rPr>
          <w:highlight w:val="none"/>
        </w:rPr>
        <w:t>GB 50014</w:t>
      </w:r>
      <w:bookmarkEnd w:id="83"/>
      <w:r>
        <w:rPr>
          <w:highlight w:val="none"/>
        </w:rPr>
        <w:t>的有关规定。</w:t>
      </w:r>
    </w:p>
    <w:p w14:paraId="1D133EA8">
      <w:pPr>
        <w:pStyle w:val="5"/>
        <w:rPr>
          <w:highlight w:val="none"/>
        </w:rPr>
      </w:pPr>
      <w:r>
        <w:rPr>
          <w:b/>
          <w:highlight w:val="none"/>
        </w:rPr>
        <w:t>9.3.2</w:t>
      </w:r>
      <w:r>
        <w:rPr>
          <w:highlight w:val="none"/>
        </w:rPr>
        <w:t xml:space="preserve">  排水管渠进入综合管廊前，应设置检修闸门或闸槽。</w:t>
      </w:r>
    </w:p>
    <w:p w14:paraId="64268253">
      <w:pPr>
        <w:pStyle w:val="5"/>
        <w:rPr>
          <w:highlight w:val="none"/>
        </w:rPr>
      </w:pPr>
      <w:r>
        <w:rPr>
          <w:b/>
          <w:highlight w:val="none"/>
        </w:rPr>
        <w:t>9.3.3</w:t>
      </w:r>
      <w:r>
        <w:rPr>
          <w:highlight w:val="none"/>
        </w:rPr>
        <w:t xml:space="preserve">  雨水、污水管道可选用钢管、球墨铸铁管、塑料管等。压力管道宜采用刚性接口，钢管可采用沟槽式连接。</w:t>
      </w:r>
    </w:p>
    <w:p w14:paraId="45C152AA">
      <w:pPr>
        <w:pStyle w:val="5"/>
        <w:rPr>
          <w:highlight w:val="none"/>
        </w:rPr>
      </w:pPr>
      <w:r>
        <w:rPr>
          <w:b/>
          <w:highlight w:val="none"/>
        </w:rPr>
        <w:t>9.3.4</w:t>
      </w:r>
      <w:r>
        <w:rPr>
          <w:highlight w:val="none"/>
        </w:rPr>
        <w:t xml:space="preserve">  综合管廊内污水管道竖向布置应根据规划管道标高、管廊竖向设计确定，可布置在管廊内的底部或顶部。</w:t>
      </w:r>
    </w:p>
    <w:p w14:paraId="55CEFB94">
      <w:pPr>
        <w:pStyle w:val="5"/>
        <w:rPr>
          <w:highlight w:val="none"/>
        </w:rPr>
      </w:pPr>
      <w:r>
        <w:rPr>
          <w:b/>
          <w:highlight w:val="none"/>
        </w:rPr>
        <w:t>9.3.5</w:t>
      </w:r>
      <w:r>
        <w:rPr>
          <w:highlight w:val="none"/>
        </w:rPr>
        <w:t xml:space="preserve">  雨水、污水管道支撑的形式、间距、固定方式应通过计算确定，并应符合现行国家标准《给水排水工程管道结构设计规范》GB 50332的有关规定。</w:t>
      </w:r>
    </w:p>
    <w:p w14:paraId="20600B76">
      <w:pPr>
        <w:pStyle w:val="5"/>
        <w:rPr>
          <w:highlight w:val="none"/>
        </w:rPr>
      </w:pPr>
      <w:r>
        <w:rPr>
          <w:b/>
          <w:highlight w:val="none"/>
        </w:rPr>
        <w:t>9.3.6</w:t>
      </w:r>
      <w:r>
        <w:rPr>
          <w:highlight w:val="none"/>
        </w:rPr>
        <w:t xml:space="preserve">  雨水、污水管道的通气装置应直接引至综合管廊外部安全空间，并应与周边环境相协调。</w:t>
      </w:r>
    </w:p>
    <w:p w14:paraId="03E05FFC">
      <w:pPr>
        <w:pStyle w:val="5"/>
        <w:rPr>
          <w:highlight w:val="none"/>
        </w:rPr>
      </w:pPr>
      <w:r>
        <w:rPr>
          <w:b/>
          <w:highlight w:val="none"/>
        </w:rPr>
        <w:t>9.3.7</w:t>
      </w:r>
      <w:r>
        <w:rPr>
          <w:highlight w:val="none"/>
        </w:rPr>
        <w:t xml:space="preserve">  雨水、污水管道的检查及清通设施应满足管道安装、检修、运行和维护的要求。重力流管道并应考虑外部排水系统水位变化、冲击负荷等情况对综合管廊内管道运行安全的影响。</w:t>
      </w:r>
    </w:p>
    <w:p w14:paraId="0E5E82A4">
      <w:pPr>
        <w:pStyle w:val="5"/>
        <w:rPr>
          <w:highlight w:val="none"/>
        </w:rPr>
      </w:pPr>
      <w:r>
        <w:rPr>
          <w:b/>
          <w:highlight w:val="none"/>
        </w:rPr>
        <w:t>9.3.8</w:t>
      </w:r>
      <w:r>
        <w:rPr>
          <w:highlight w:val="none"/>
        </w:rPr>
        <w:t xml:space="preserve">  综合管廊内污水管道预留分支口不宜超过120</w:t>
      </w:r>
      <w:r>
        <w:rPr>
          <w:rFonts w:hint="eastAsia"/>
          <w:highlight w:val="none"/>
        </w:rPr>
        <w:t>m</w:t>
      </w:r>
      <w:r>
        <w:rPr>
          <w:highlight w:val="none"/>
        </w:rPr>
        <w:t>，并应设置升顶井，井筒直径不宜小于1.0m。</w:t>
      </w:r>
    </w:p>
    <w:p w14:paraId="0D7F9A2F">
      <w:pPr>
        <w:pStyle w:val="5"/>
        <w:rPr>
          <w:highlight w:val="none"/>
        </w:rPr>
      </w:pPr>
      <w:r>
        <w:rPr>
          <w:b/>
          <w:highlight w:val="none"/>
        </w:rPr>
        <w:t>9.3.9</w:t>
      </w:r>
      <w:r>
        <w:rPr>
          <w:highlight w:val="none"/>
        </w:rPr>
        <w:t xml:space="preserve">  压力污水管道的排气阀、排泥节点应设置在综合管廊外。</w:t>
      </w:r>
    </w:p>
    <w:p w14:paraId="11B7962B">
      <w:pPr>
        <w:pStyle w:val="5"/>
        <w:rPr>
          <w:highlight w:val="none"/>
        </w:rPr>
      </w:pPr>
      <w:bookmarkStart w:id="84" w:name="_Toc37689757"/>
      <w:r>
        <w:rPr>
          <w:b/>
          <w:highlight w:val="none"/>
        </w:rPr>
        <w:t xml:space="preserve">9.3.10 </w:t>
      </w:r>
      <w:r>
        <w:rPr>
          <w:highlight w:val="none"/>
        </w:rPr>
        <w:t xml:space="preserve"> 利用综合管廊结构本体排除雨水时，雨水舱结构空间应完全独立和严密，并应采取防止雨水倒灌或渗漏至其他舱室的措施。</w:t>
      </w:r>
    </w:p>
    <w:p w14:paraId="7F010266">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t xml:space="preserve">  天然气管道</w:t>
      </w:r>
      <w:bookmarkEnd w:id="84"/>
    </w:p>
    <w:p w14:paraId="25600804">
      <w:pPr>
        <w:pStyle w:val="5"/>
        <w:rPr>
          <w:highlight w:val="none"/>
        </w:rPr>
      </w:pPr>
      <w:r>
        <w:rPr>
          <w:b/>
          <w:highlight w:val="none"/>
        </w:rPr>
        <w:t>9.4.1</w:t>
      </w:r>
      <w:r>
        <w:rPr>
          <w:highlight w:val="none"/>
        </w:rPr>
        <w:t xml:space="preserve">  天然气管道设计应符合现行国家标准《城镇燃气设计规范》GB 50028的有关规定。</w:t>
      </w:r>
    </w:p>
    <w:p w14:paraId="70DD6384">
      <w:pPr>
        <w:pStyle w:val="5"/>
        <w:rPr>
          <w:highlight w:val="none"/>
        </w:rPr>
      </w:pPr>
      <w:r>
        <w:rPr>
          <w:b/>
          <w:highlight w:val="none"/>
        </w:rPr>
        <w:t>9.4.2</w:t>
      </w:r>
      <w:r>
        <w:rPr>
          <w:highlight w:val="none"/>
        </w:rPr>
        <w:t xml:space="preserve">  敷设于综合管廊内的天然气管道应采用钢管，管道附件应与管道同材质，管道连接应采用焊接，并应符合现行国家标准《城镇燃气设计规范》GB</w:t>
      </w:r>
      <w:r>
        <w:rPr>
          <w:rFonts w:hint="eastAsia"/>
          <w:highlight w:val="none"/>
        </w:rPr>
        <w:t xml:space="preserve"> </w:t>
      </w:r>
      <w:r>
        <w:rPr>
          <w:highlight w:val="none"/>
        </w:rPr>
        <w:t>50028的有关规定。</w:t>
      </w:r>
    </w:p>
    <w:p w14:paraId="4F588914">
      <w:pPr>
        <w:pStyle w:val="5"/>
        <w:rPr>
          <w:highlight w:val="none"/>
        </w:rPr>
      </w:pPr>
      <w:r>
        <w:rPr>
          <w:b/>
          <w:highlight w:val="none"/>
        </w:rPr>
        <w:t>9.4.3</w:t>
      </w:r>
      <w:r>
        <w:rPr>
          <w:highlight w:val="none"/>
        </w:rPr>
        <w:t xml:space="preserve">  天然气管道的连接应采用焊接，焊缝检测要求应符合表</w:t>
      </w:r>
      <w:r>
        <w:rPr>
          <w:rFonts w:hint="eastAsia"/>
          <w:highlight w:val="none"/>
        </w:rPr>
        <w:t>9</w:t>
      </w:r>
      <w:r>
        <w:rPr>
          <w:highlight w:val="none"/>
        </w:rPr>
        <w:t>.4.3的规定。</w:t>
      </w:r>
    </w:p>
    <w:p w14:paraId="42047364">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 xml:space="preserve">9.4.3 </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焊缝检测要求</w:t>
      </w:r>
    </w:p>
    <w:tbl>
      <w:tblPr>
        <w:tblStyle w:val="27"/>
        <w:tblW w:w="5000" w:type="pct"/>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autofit"/>
        <w:tblCellMar>
          <w:top w:w="0" w:type="dxa"/>
          <w:left w:w="28" w:type="dxa"/>
          <w:bottom w:w="0" w:type="dxa"/>
          <w:right w:w="28" w:type="dxa"/>
        </w:tblCellMar>
      </w:tblPr>
      <w:tblGrid>
        <w:gridCol w:w="1981"/>
        <w:gridCol w:w="2625"/>
        <w:gridCol w:w="1573"/>
      </w:tblGrid>
      <w:tr w14:paraId="7918BF67">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603" w:type="pct"/>
            <w:tcBorders>
              <w:bottom w:val="single" w:color="000000" w:sz="4" w:space="0"/>
              <w:right w:val="single" w:color="000000" w:sz="4" w:space="0"/>
            </w:tcBorders>
            <w:vAlign w:val="center"/>
          </w:tcPr>
          <w:p w14:paraId="3FCBA63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压力级别（MPa）</w:t>
            </w:r>
          </w:p>
        </w:tc>
        <w:tc>
          <w:tcPr>
            <w:tcW w:w="3396" w:type="pct"/>
            <w:gridSpan w:val="2"/>
            <w:tcBorders>
              <w:left w:val="single" w:color="000000" w:sz="4" w:space="0"/>
              <w:bottom w:val="single" w:color="000000" w:sz="4" w:space="0"/>
            </w:tcBorders>
            <w:vAlign w:val="center"/>
          </w:tcPr>
          <w:p w14:paraId="02B51CA6">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环焊缝无损检测比例</w:t>
            </w:r>
          </w:p>
        </w:tc>
      </w:tr>
      <w:tr w14:paraId="2CFF2092">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603" w:type="pct"/>
            <w:tcBorders>
              <w:top w:val="single" w:color="000000" w:sz="4" w:space="0"/>
              <w:bottom w:val="single" w:color="000000" w:sz="4" w:space="0"/>
              <w:right w:val="single" w:color="000000" w:sz="4" w:space="0"/>
            </w:tcBorders>
            <w:vAlign w:val="center"/>
          </w:tcPr>
          <w:p w14:paraId="4573CDF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0.8＜P≤1.6</w:t>
            </w:r>
          </w:p>
        </w:tc>
        <w:tc>
          <w:tcPr>
            <w:tcW w:w="2124" w:type="pct"/>
            <w:tcBorders>
              <w:top w:val="single" w:color="000000" w:sz="4" w:space="0"/>
              <w:left w:val="single" w:color="000000" w:sz="4" w:space="0"/>
              <w:bottom w:val="single" w:color="000000" w:sz="4" w:space="0"/>
              <w:right w:val="single" w:color="auto" w:sz="4" w:space="0"/>
            </w:tcBorders>
            <w:vAlign w:val="center"/>
          </w:tcPr>
          <w:p w14:paraId="06B1CE75">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100%射线检验</w:t>
            </w:r>
          </w:p>
        </w:tc>
        <w:tc>
          <w:tcPr>
            <w:tcW w:w="1272" w:type="pct"/>
            <w:tcBorders>
              <w:top w:val="single" w:color="000000" w:sz="4" w:space="0"/>
              <w:left w:val="single" w:color="auto" w:sz="4" w:space="0"/>
              <w:bottom w:val="single" w:color="000000" w:sz="4" w:space="0"/>
            </w:tcBorders>
            <w:vAlign w:val="center"/>
          </w:tcPr>
          <w:p w14:paraId="6E4A21C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100%超声波检验</w:t>
            </w:r>
          </w:p>
        </w:tc>
      </w:tr>
      <w:tr w14:paraId="005263D7">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603" w:type="pct"/>
            <w:tcBorders>
              <w:top w:val="single" w:color="000000" w:sz="4" w:space="0"/>
              <w:bottom w:val="single" w:color="000000" w:sz="4" w:space="0"/>
              <w:right w:val="single" w:color="000000" w:sz="4" w:space="0"/>
            </w:tcBorders>
            <w:vAlign w:val="center"/>
          </w:tcPr>
          <w:p w14:paraId="529140F4">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0.4＜P≤0.8</w:t>
            </w:r>
          </w:p>
        </w:tc>
        <w:tc>
          <w:tcPr>
            <w:tcW w:w="2124" w:type="pct"/>
            <w:tcBorders>
              <w:top w:val="single" w:color="000000" w:sz="4" w:space="0"/>
              <w:left w:val="single" w:color="000000" w:sz="4" w:space="0"/>
              <w:bottom w:val="single" w:color="000000" w:sz="4" w:space="0"/>
              <w:right w:val="single" w:color="auto" w:sz="4" w:space="0"/>
            </w:tcBorders>
            <w:vAlign w:val="center"/>
          </w:tcPr>
          <w:p w14:paraId="2975A82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100%射线检验</w:t>
            </w:r>
          </w:p>
        </w:tc>
        <w:tc>
          <w:tcPr>
            <w:tcW w:w="1272" w:type="pct"/>
            <w:tcBorders>
              <w:top w:val="single" w:color="000000" w:sz="4" w:space="0"/>
              <w:left w:val="single" w:color="auto" w:sz="4" w:space="0"/>
              <w:bottom w:val="single" w:color="000000" w:sz="4" w:space="0"/>
            </w:tcBorders>
            <w:vAlign w:val="center"/>
          </w:tcPr>
          <w:p w14:paraId="21C0E65E">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100%超声波检验</w:t>
            </w:r>
          </w:p>
        </w:tc>
      </w:tr>
      <w:tr w14:paraId="036040A5">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603" w:type="pct"/>
            <w:tcBorders>
              <w:top w:val="single" w:color="000000" w:sz="4" w:space="0"/>
              <w:bottom w:val="single" w:color="000000" w:sz="4" w:space="0"/>
              <w:right w:val="single" w:color="000000" w:sz="4" w:space="0"/>
            </w:tcBorders>
            <w:vAlign w:val="center"/>
          </w:tcPr>
          <w:p w14:paraId="73CCF1B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0.01＜P≤0.4</w:t>
            </w:r>
          </w:p>
        </w:tc>
        <w:tc>
          <w:tcPr>
            <w:tcW w:w="2124" w:type="pct"/>
            <w:tcBorders>
              <w:top w:val="single" w:color="000000" w:sz="4" w:space="0"/>
              <w:left w:val="single" w:color="000000" w:sz="4" w:space="0"/>
              <w:bottom w:val="single" w:color="000000" w:sz="4" w:space="0"/>
              <w:right w:val="single" w:color="auto" w:sz="4" w:space="0"/>
            </w:tcBorders>
            <w:vAlign w:val="center"/>
          </w:tcPr>
          <w:p w14:paraId="1861E5AE">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100%射线或100%超声波检验</w:t>
            </w:r>
          </w:p>
        </w:tc>
        <w:tc>
          <w:tcPr>
            <w:tcW w:w="1272" w:type="pct"/>
            <w:tcBorders>
              <w:top w:val="single" w:color="000000" w:sz="4" w:space="0"/>
              <w:left w:val="single" w:color="auto" w:sz="4" w:space="0"/>
              <w:bottom w:val="single" w:color="000000" w:sz="4" w:space="0"/>
            </w:tcBorders>
            <w:vAlign w:val="center"/>
          </w:tcPr>
          <w:p w14:paraId="7EB5112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r w14:paraId="48D3FF9D">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340" w:hRule="atLeast"/>
          <w:jc w:val="center"/>
        </w:trPr>
        <w:tc>
          <w:tcPr>
            <w:tcW w:w="1603" w:type="pct"/>
            <w:tcBorders>
              <w:top w:val="single" w:color="000000" w:sz="4" w:space="0"/>
              <w:right w:val="single" w:color="000000" w:sz="4" w:space="0"/>
            </w:tcBorders>
            <w:vAlign w:val="center"/>
          </w:tcPr>
          <w:p w14:paraId="1E9C990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P≤0.01</w:t>
            </w:r>
          </w:p>
        </w:tc>
        <w:tc>
          <w:tcPr>
            <w:tcW w:w="2124" w:type="pct"/>
            <w:tcBorders>
              <w:top w:val="single" w:color="000000" w:sz="4" w:space="0"/>
              <w:left w:val="single" w:color="000000" w:sz="4" w:space="0"/>
              <w:right w:val="single" w:color="auto" w:sz="4" w:space="0"/>
            </w:tcBorders>
            <w:vAlign w:val="center"/>
          </w:tcPr>
          <w:p w14:paraId="78A7D6B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100%射线或100%超声波检验</w:t>
            </w:r>
          </w:p>
        </w:tc>
        <w:tc>
          <w:tcPr>
            <w:tcW w:w="1272" w:type="pct"/>
            <w:tcBorders>
              <w:top w:val="single" w:color="000000" w:sz="4" w:space="0"/>
              <w:left w:val="single" w:color="auto" w:sz="4" w:space="0"/>
            </w:tcBorders>
            <w:vAlign w:val="center"/>
          </w:tcPr>
          <w:p w14:paraId="59E532A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bl>
    <w:p w14:paraId="0801FB90">
      <w:pPr>
        <w:pStyle w:val="62"/>
        <w:overflowPunct w:val="0"/>
        <w:spacing w:line="348" w:lineRule="exact"/>
        <w:ind w:left="844" w:leftChars="100" w:right="211" w:rightChars="100" w:hanging="633" w:hangingChars="350"/>
        <w:rPr>
          <w:rFonts w:ascii="Times New Roman" w:hAnsi="Times New Roman" w:eastAsia="方正书宋简体" w:cs="Times New Roman"/>
          <w:color w:val="000000" w:themeColor="text1"/>
          <w:sz w:val="18"/>
          <w:szCs w:val="18"/>
          <w:highlight w:val="none"/>
          <w14:textFill>
            <w14:solidFill>
              <w14:schemeClr w14:val="tx1"/>
            </w14:solidFill>
          </w14:textFill>
        </w:rPr>
      </w:pPr>
      <w:r>
        <w:rPr>
          <w:rFonts w:ascii="Times New Roman" w:hAnsi="Times New Roman" w:eastAsia="方正书宋简体" w:cs="Times New Roman"/>
          <w:color w:val="000000" w:themeColor="text1"/>
          <w:sz w:val="18"/>
          <w:szCs w:val="18"/>
          <w:highlight w:val="none"/>
          <w14:textFill>
            <w14:solidFill>
              <w14:schemeClr w14:val="tx1"/>
            </w14:solidFill>
          </w14:textFill>
        </w:rPr>
        <w:t>注：1  射线检验符合现行行业标准《承压设备无损检测 第2部分：射线检测》NB/T 47013.2 规定的Ⅱ级（AB 级）为合格。</w:t>
      </w:r>
    </w:p>
    <w:p w14:paraId="4F1C6867">
      <w:pPr>
        <w:pStyle w:val="62"/>
        <w:overflowPunct w:val="0"/>
        <w:spacing w:line="348" w:lineRule="exact"/>
        <w:ind w:left="840" w:leftChars="270" w:right="211" w:rightChars="100" w:hanging="271" w:hangingChars="150"/>
        <w:rPr>
          <w:rFonts w:ascii="Times New Roman" w:hAnsi="Times New Roman" w:eastAsia="方正书宋简体" w:cs="Times New Roman"/>
          <w:b/>
          <w:color w:val="000000" w:themeColor="text1"/>
          <w:sz w:val="18"/>
          <w:szCs w:val="18"/>
          <w:highlight w:val="none"/>
          <w:u w:val="single"/>
          <w14:textFill>
            <w14:solidFill>
              <w14:schemeClr w14:val="tx1"/>
            </w14:solidFill>
          </w14:textFill>
        </w:rPr>
      </w:pPr>
      <w:r>
        <w:rPr>
          <w:rFonts w:ascii="Times New Roman" w:hAnsi="Times New Roman" w:eastAsia="方正书宋简体" w:cs="Times New Roman"/>
          <w:color w:val="000000" w:themeColor="text1"/>
          <w:sz w:val="18"/>
          <w:szCs w:val="18"/>
          <w:highlight w:val="none"/>
          <w14:textFill>
            <w14:solidFill>
              <w14:schemeClr w14:val="tx1"/>
            </w14:solidFill>
          </w14:textFill>
        </w:rPr>
        <w:t>2  超声波检验符合现行行业标准《承压设备无损检测 第3部分：超声检测》NB/T47013.3 规定的Ⅰ级为合格。</w:t>
      </w:r>
    </w:p>
    <w:p w14:paraId="29F38C05">
      <w:pPr>
        <w:pStyle w:val="5"/>
        <w:rPr>
          <w:highlight w:val="none"/>
        </w:rPr>
      </w:pPr>
      <w:r>
        <w:rPr>
          <w:b/>
          <w:highlight w:val="none"/>
        </w:rPr>
        <w:t>9.4.4</w:t>
      </w:r>
      <w:r>
        <w:rPr>
          <w:highlight w:val="none"/>
        </w:rPr>
        <w:t xml:space="preserve">  天然气管道支撑的形式、间距、固定方式应通过计算确定，且应进行抗震设计，并应符合现行国家标准《城镇燃气设计规范》GB 50028的有关规定。</w:t>
      </w:r>
    </w:p>
    <w:p w14:paraId="3A59469C">
      <w:pPr>
        <w:pStyle w:val="5"/>
        <w:rPr>
          <w:highlight w:val="none"/>
        </w:rPr>
      </w:pPr>
      <w:r>
        <w:rPr>
          <w:b/>
          <w:highlight w:val="none"/>
        </w:rPr>
        <w:t>9.4.5</w:t>
      </w:r>
      <w:r>
        <w:rPr>
          <w:highlight w:val="none"/>
        </w:rPr>
        <w:t xml:space="preserve">  综合管廊内天然气管道的阀门、阀件应按其最高工作压力提高一个压力等级设计选型。</w:t>
      </w:r>
    </w:p>
    <w:p w14:paraId="20B433E2">
      <w:pPr>
        <w:pStyle w:val="5"/>
        <w:rPr>
          <w:highlight w:val="none"/>
        </w:rPr>
      </w:pPr>
      <w:r>
        <w:rPr>
          <w:b/>
          <w:highlight w:val="none"/>
        </w:rPr>
        <w:t xml:space="preserve">9.4.6 </w:t>
      </w:r>
      <w:r>
        <w:rPr>
          <w:highlight w:val="none"/>
        </w:rPr>
        <w:t xml:space="preserve"> 天然气调压设施应设置在综合管廊外部，且应符合现行工程建设强制性国家规范《燃气工程项目规范》GB</w:t>
      </w:r>
      <w:r>
        <w:rPr>
          <w:rFonts w:hint="eastAsia"/>
          <w:highlight w:val="none"/>
        </w:rPr>
        <w:t xml:space="preserve"> </w:t>
      </w:r>
      <w:r>
        <w:rPr>
          <w:highlight w:val="none"/>
        </w:rPr>
        <w:t>55009的有关规定。</w:t>
      </w:r>
    </w:p>
    <w:p w14:paraId="29F27B7D">
      <w:pPr>
        <w:pStyle w:val="5"/>
        <w:rPr>
          <w:highlight w:val="none"/>
        </w:rPr>
      </w:pPr>
      <w:r>
        <w:rPr>
          <w:b/>
          <w:highlight w:val="none"/>
        </w:rPr>
        <w:t xml:space="preserve">9.4.7 </w:t>
      </w:r>
      <w:r>
        <w:rPr>
          <w:highlight w:val="none"/>
        </w:rPr>
        <w:t xml:space="preserve"> 天然气管道分段阀宜设置在综合管廊外部。当分段阀设置在综合管廊内部时，应具有远程关闭功能。</w:t>
      </w:r>
    </w:p>
    <w:p w14:paraId="5F2CB96E">
      <w:pPr>
        <w:pStyle w:val="5"/>
        <w:rPr>
          <w:highlight w:val="none"/>
        </w:rPr>
      </w:pPr>
      <w:r>
        <w:rPr>
          <w:b/>
          <w:highlight w:val="none"/>
        </w:rPr>
        <w:t>9.4.8</w:t>
      </w:r>
      <w:r>
        <w:rPr>
          <w:highlight w:val="none"/>
        </w:rPr>
        <w:t xml:space="preserve">  天然气管道进出综合管廊时应设置具有远程关闭功能的紧急切断阀。</w:t>
      </w:r>
    </w:p>
    <w:p w14:paraId="15A50654">
      <w:pPr>
        <w:pStyle w:val="5"/>
        <w:rPr>
          <w:highlight w:val="none"/>
        </w:rPr>
      </w:pPr>
      <w:r>
        <w:rPr>
          <w:b/>
          <w:highlight w:val="none"/>
        </w:rPr>
        <w:t>9.4.9</w:t>
      </w:r>
      <w:r>
        <w:rPr>
          <w:highlight w:val="none"/>
        </w:rPr>
        <w:t xml:space="preserve">  天然气管道进出综合管廊附近的埋地管线、放散管、天然气设备等均应满足防雷、防静电接地的要求。</w:t>
      </w:r>
    </w:p>
    <w:p w14:paraId="031B32BC">
      <w:pPr>
        <w:pStyle w:val="5"/>
        <w:rPr>
          <w:highlight w:val="none"/>
        </w:rPr>
      </w:pPr>
      <w:bookmarkStart w:id="85" w:name="_Hlk16351606"/>
      <w:r>
        <w:rPr>
          <w:b/>
          <w:highlight w:val="none"/>
        </w:rPr>
        <w:t>9.4.10</w:t>
      </w:r>
      <w:r>
        <w:rPr>
          <w:highlight w:val="none"/>
        </w:rPr>
        <w:t xml:space="preserve">  天然气管道进出综合管廊时应在综合管廊内外管道之间设置绝缘装置。</w:t>
      </w:r>
    </w:p>
    <w:bookmarkEnd w:id="85"/>
    <w:p w14:paraId="7D0B0142">
      <w:pPr>
        <w:pStyle w:val="5"/>
        <w:rPr>
          <w:highlight w:val="none"/>
        </w:rPr>
      </w:pPr>
      <w:r>
        <w:rPr>
          <w:b/>
          <w:highlight w:val="none"/>
        </w:rPr>
        <w:t>9.4.1</w:t>
      </w:r>
      <w:r>
        <w:rPr>
          <w:rFonts w:hint="eastAsia"/>
          <w:b/>
          <w:highlight w:val="none"/>
          <w:lang w:val="en-US" w:eastAsia="zh-CN"/>
        </w:rPr>
        <w:t>1</w:t>
      </w:r>
      <w:r>
        <w:rPr>
          <w:highlight w:val="none"/>
        </w:rPr>
        <w:t xml:space="preserve">  综合管廊内天然气管道阀门两侧应设置放散管，且放散管应引至综合管廊外部。</w:t>
      </w:r>
    </w:p>
    <w:p w14:paraId="64723552">
      <w:pPr>
        <w:pStyle w:val="5"/>
        <w:rPr>
          <w:highlight w:val="none"/>
        </w:rPr>
      </w:pPr>
      <w:bookmarkStart w:id="86" w:name="_Toc37689758"/>
      <w:bookmarkStart w:id="87" w:name="_Hlk16351973"/>
      <w:r>
        <w:rPr>
          <w:b/>
          <w:highlight w:val="none"/>
        </w:rPr>
        <w:t>9.4.1</w:t>
      </w:r>
      <w:r>
        <w:rPr>
          <w:rFonts w:hint="eastAsia"/>
          <w:b/>
          <w:highlight w:val="none"/>
          <w:lang w:val="en-US" w:eastAsia="zh-CN"/>
        </w:rPr>
        <w:t>2</w:t>
      </w:r>
      <w:r>
        <w:rPr>
          <w:highlight w:val="none"/>
        </w:rPr>
        <w:t xml:space="preserve">  综合管廊内敷设的天然气管道应根据实际情况计算热补偿量并采取合适的补偿措施。</w:t>
      </w:r>
    </w:p>
    <w:p w14:paraId="32435FB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t xml:space="preserve">  热 力 管 道</w:t>
      </w:r>
      <w:bookmarkEnd w:id="86"/>
    </w:p>
    <w:bookmarkEnd w:id="87"/>
    <w:p w14:paraId="6BB7BE74">
      <w:pPr>
        <w:pStyle w:val="5"/>
        <w:rPr>
          <w:highlight w:val="none"/>
        </w:rPr>
      </w:pPr>
      <w:r>
        <w:rPr>
          <w:b/>
          <w:highlight w:val="none"/>
        </w:rPr>
        <w:t>9.5.1</w:t>
      </w:r>
      <w:r>
        <w:rPr>
          <w:highlight w:val="none"/>
        </w:rPr>
        <w:t xml:space="preserve">  热力管道应采用钢管、保温层及外护管紧密结合成一体的预制管，并应符合国家现行标准《高密度聚乙烯外护管硬质聚氨酯泡沫塑料预制直埋保温管及管件》GB/T 29047和《玻璃纤维增强塑料外护层聚氨酯泡沫塑料预制直埋保温管》CJ/T 129的有关规定。</w:t>
      </w:r>
    </w:p>
    <w:p w14:paraId="744828FE">
      <w:pPr>
        <w:pStyle w:val="5"/>
        <w:rPr>
          <w:highlight w:val="none"/>
        </w:rPr>
      </w:pPr>
      <w:r>
        <w:rPr>
          <w:b/>
          <w:highlight w:val="none"/>
        </w:rPr>
        <w:t xml:space="preserve">9.5.2 </w:t>
      </w:r>
      <w:r>
        <w:rPr>
          <w:highlight w:val="none"/>
        </w:rPr>
        <w:t xml:space="preserve"> 热力管道的连接应采用焊接；管道与设备、阀门等连接应采用焊接；放气阀、泄水阀应采用焊接，不得采用螺纹连接，连接放气阀、泄水阀的管道应采用厚壁管。</w:t>
      </w:r>
    </w:p>
    <w:p w14:paraId="148DE355">
      <w:pPr>
        <w:pStyle w:val="5"/>
        <w:rPr>
          <w:highlight w:val="none"/>
          <w:bdr w:val="single" w:color="auto" w:sz="4" w:space="0"/>
        </w:rPr>
      </w:pPr>
      <w:r>
        <w:rPr>
          <w:b/>
          <w:highlight w:val="none"/>
        </w:rPr>
        <w:t>9.5.3</w:t>
      </w:r>
      <w:r>
        <w:rPr>
          <w:highlight w:val="none"/>
        </w:rPr>
        <w:t xml:space="preserve">  热力管道及蒸汽管道均应采用钢制阀门和附件。</w:t>
      </w:r>
    </w:p>
    <w:p w14:paraId="2108A856">
      <w:pPr>
        <w:pStyle w:val="5"/>
        <w:rPr>
          <w:highlight w:val="none"/>
        </w:rPr>
      </w:pPr>
      <w:r>
        <w:rPr>
          <w:b/>
          <w:highlight w:val="none"/>
        </w:rPr>
        <w:t>9.5.4</w:t>
      </w:r>
      <w:r>
        <w:rPr>
          <w:highlight w:val="none"/>
        </w:rPr>
        <w:t xml:space="preserve">  敷设在综合管廊内的热力管道应符合下列规定：</w:t>
      </w:r>
    </w:p>
    <w:p w14:paraId="642EA7B5">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热水介质设计温度应小于或等于200℃，蒸汽介质设计温度应小于或等于350℃；</w:t>
      </w:r>
    </w:p>
    <w:p w14:paraId="6CE4BAFE">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设计压力应小于或等于</w:t>
      </w:r>
      <w:r>
        <w:rPr>
          <w:rFonts w:hint="eastAsia"/>
          <w:color w:val="000000" w:themeColor="text1"/>
          <w:highlight w:val="none"/>
          <w:u w:val="none"/>
          <w14:textFill>
            <w14:solidFill>
              <w14:schemeClr w14:val="tx1"/>
            </w14:solidFill>
          </w14:textFill>
        </w:rPr>
        <w:t>2.5</w:t>
      </w:r>
      <w:r>
        <w:rPr>
          <w:color w:val="000000" w:themeColor="text1"/>
          <w:highlight w:val="none"/>
          <w:u w:val="none"/>
          <w14:textFill>
            <w14:solidFill>
              <w14:schemeClr w14:val="tx1"/>
            </w14:solidFill>
          </w14:textFill>
        </w:rPr>
        <w:t>MPa；</w:t>
      </w:r>
    </w:p>
    <w:p w14:paraId="54F12760">
      <w:pPr>
        <w:pStyle w:val="59"/>
        <w:ind w:firstLine="316" w:firstLineChars="150"/>
        <w:rPr>
          <w:rFonts w:hint="eastAsia" w:eastAsia="方正书宋简体"/>
          <w:color w:val="000000" w:themeColor="text1"/>
          <w:highlight w:val="none"/>
          <w:u w:val="none"/>
          <w:lang w:eastAsia="zh-CN"/>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eastAsia="zh"/>
          <w14:textFill>
            <w14:solidFill>
              <w14:schemeClr w14:val="tx1"/>
            </w14:solidFill>
          </w14:textFill>
        </w:rPr>
        <w:t>在设计工况下管道及附件保温结构的外表面计算温度不应超过50℃，其中热水管道计算温度降不应大于0.1℃/Km，蒸汽管道计算温度降不应大于10℃/Km</w:t>
      </w:r>
      <w:r>
        <w:rPr>
          <w:rFonts w:hint="eastAsia"/>
          <w:color w:val="000000" w:themeColor="text1"/>
          <w:highlight w:val="none"/>
          <w:u w:val="none"/>
          <w:lang w:eastAsia="zh-CN"/>
          <w14:textFill>
            <w14:solidFill>
              <w14:schemeClr w14:val="tx1"/>
            </w14:solidFill>
          </w14:textFill>
        </w:rPr>
        <w:t>；</w:t>
      </w:r>
    </w:p>
    <w:p w14:paraId="04215E71">
      <w:pPr>
        <w:pStyle w:val="59"/>
        <w:ind w:firstLine="316" w:firstLineChars="150"/>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保温设计应符合现行国家标准《设备及管道绝热技术通则》GB/T 4272、《设备及管道绝热设计导则》GB/T 8175和《工业设备及管道绝热工程设计规范》GB 50264的有关规定</w:t>
      </w:r>
      <w:r>
        <w:rPr>
          <w:rFonts w:hint="eastAsia"/>
          <w:color w:val="000000" w:themeColor="text1"/>
          <w:highlight w:val="none"/>
          <w:u w:val="none"/>
          <w14:textFill>
            <w14:solidFill>
              <w14:schemeClr w14:val="tx1"/>
            </w14:solidFill>
          </w14:textFill>
        </w:rPr>
        <w:t>。</w:t>
      </w:r>
    </w:p>
    <w:p w14:paraId="7D7762E3">
      <w:pPr>
        <w:pStyle w:val="5"/>
        <w:rPr>
          <w:highlight w:val="none"/>
        </w:rPr>
      </w:pPr>
      <w:r>
        <w:rPr>
          <w:b/>
          <w:highlight w:val="none"/>
        </w:rPr>
        <w:t xml:space="preserve">9.5.5 </w:t>
      </w:r>
      <w:r>
        <w:rPr>
          <w:highlight w:val="none"/>
        </w:rPr>
        <w:t xml:space="preserve"> 热力管道与其他管线同舱敷设时，当其他管线有正常运行所需环境温度限制要求时，应按舱内温度限定条件校核保温层厚度。</w:t>
      </w:r>
    </w:p>
    <w:p w14:paraId="3A19B598">
      <w:pPr>
        <w:pStyle w:val="5"/>
        <w:rPr>
          <w:highlight w:val="none"/>
        </w:rPr>
      </w:pPr>
      <w:r>
        <w:rPr>
          <w:b/>
          <w:highlight w:val="none"/>
        </w:rPr>
        <w:t>9.5.6</w:t>
      </w:r>
      <w:r>
        <w:rPr>
          <w:highlight w:val="none"/>
        </w:rPr>
        <w:t xml:space="preserve">  热力管道及配件保温材料应采用难燃材料或不燃材料。</w:t>
      </w:r>
    </w:p>
    <w:p w14:paraId="65A54063">
      <w:pPr>
        <w:pStyle w:val="5"/>
        <w:rPr>
          <w:highlight w:val="none"/>
        </w:rPr>
      </w:pPr>
      <w:r>
        <w:rPr>
          <w:b/>
          <w:highlight w:val="none"/>
        </w:rPr>
        <w:t>9.5.7</w:t>
      </w:r>
      <w:r>
        <w:rPr>
          <w:highlight w:val="none"/>
        </w:rPr>
        <w:t xml:space="preserve">  热力管道进出综合管廊时，应在综合管廊外部设置阀门。</w:t>
      </w:r>
    </w:p>
    <w:p w14:paraId="67078A36">
      <w:pPr>
        <w:pStyle w:val="5"/>
        <w:rPr>
          <w:highlight w:val="none"/>
        </w:rPr>
      </w:pPr>
      <w:r>
        <w:rPr>
          <w:b/>
          <w:highlight w:val="none"/>
        </w:rPr>
        <w:t>9.5.8</w:t>
      </w:r>
      <w:r>
        <w:rPr>
          <w:highlight w:val="none"/>
        </w:rPr>
        <w:t xml:space="preserve">  热力管道放气装置应设置在综合管廊外部安全空间，且应设置防止人员接近的隔离设施。</w:t>
      </w:r>
    </w:p>
    <w:p w14:paraId="008B7221">
      <w:pPr>
        <w:pStyle w:val="5"/>
        <w:rPr>
          <w:highlight w:val="none"/>
        </w:rPr>
      </w:pPr>
      <w:r>
        <w:rPr>
          <w:b/>
          <w:highlight w:val="none"/>
        </w:rPr>
        <w:t>9.5.9</w:t>
      </w:r>
      <w:r>
        <w:rPr>
          <w:highlight w:val="none"/>
        </w:rPr>
        <w:t xml:space="preserve">  热力管道采用热水介质时，应在高点设置放气阀，低点设置泄水阀，排入集水坑，排水管道应设置防倒流装置。</w:t>
      </w:r>
    </w:p>
    <w:p w14:paraId="7F07EA40">
      <w:pPr>
        <w:pStyle w:val="5"/>
        <w:rPr>
          <w:highlight w:val="none"/>
        </w:rPr>
      </w:pPr>
      <w:r>
        <w:rPr>
          <w:b/>
          <w:highlight w:val="none"/>
        </w:rPr>
        <w:t xml:space="preserve">9.5.10 </w:t>
      </w:r>
      <w:r>
        <w:rPr>
          <w:highlight w:val="none"/>
        </w:rPr>
        <w:t xml:space="preserve"> 热力管道的设计应符合现行行业标准</w:t>
      </w:r>
      <w:bookmarkStart w:id="88" w:name="_Hlk18345408"/>
      <w:r>
        <w:rPr>
          <w:highlight w:val="none"/>
          <w:u w:val="none"/>
        </w:rPr>
        <w:t>《城镇供热管网设</w:t>
      </w:r>
      <w:r>
        <w:rPr>
          <w:spacing w:val="2"/>
          <w:highlight w:val="none"/>
          <w:u w:val="none"/>
        </w:rPr>
        <w:t>计</w:t>
      </w:r>
      <w:r>
        <w:rPr>
          <w:rFonts w:eastAsia="宋体"/>
          <w:spacing w:val="2"/>
          <w:highlight w:val="none"/>
          <w:u w:val="none"/>
        </w:rPr>
        <w:t>标准</w:t>
      </w:r>
      <w:r>
        <w:rPr>
          <w:spacing w:val="2"/>
          <w:highlight w:val="none"/>
          <w:u w:val="none"/>
        </w:rPr>
        <w:t>》</w:t>
      </w:r>
      <w:r>
        <w:rPr>
          <w:rFonts w:eastAsia="Times New Roman"/>
          <w:highlight w:val="none"/>
          <w:u w:val="none"/>
        </w:rPr>
        <w:t>CJJ</w:t>
      </w:r>
      <w:r>
        <w:rPr>
          <w:rFonts w:eastAsia="宋体"/>
          <w:highlight w:val="none"/>
          <w:u w:val="none"/>
        </w:rPr>
        <w:t>/T</w:t>
      </w:r>
      <w:r>
        <w:rPr>
          <w:rFonts w:eastAsia="Times New Roman"/>
          <w:spacing w:val="2"/>
          <w:highlight w:val="none"/>
          <w:u w:val="none"/>
        </w:rPr>
        <w:t xml:space="preserve"> 34</w:t>
      </w:r>
      <w:r>
        <w:rPr>
          <w:highlight w:val="none"/>
          <w:u w:val="none"/>
        </w:rPr>
        <w:t>和</w:t>
      </w:r>
      <w:r>
        <w:rPr>
          <w:highlight w:val="none"/>
        </w:rPr>
        <w:t>《城镇供热管网结构设计规范》CJJ 105</w:t>
      </w:r>
      <w:bookmarkEnd w:id="88"/>
      <w:r>
        <w:rPr>
          <w:highlight w:val="none"/>
        </w:rPr>
        <w:t>的有关规定。</w:t>
      </w:r>
    </w:p>
    <w:p w14:paraId="193D94F7">
      <w:pPr>
        <w:pStyle w:val="4"/>
        <w:spacing w:before="156" w:after="156"/>
        <w:rPr>
          <w:color w:val="000000" w:themeColor="text1"/>
          <w:highlight w:val="none"/>
          <w14:textFill>
            <w14:solidFill>
              <w14:schemeClr w14:val="tx1"/>
            </w14:solidFill>
          </w14:textFill>
        </w:rPr>
      </w:pPr>
      <w:bookmarkStart w:id="89" w:name="_Toc37689759"/>
      <w:bookmarkStart w:id="90" w:name="_Hlk16352104"/>
      <w:r>
        <w:rPr>
          <w:b/>
          <w:bCs w:val="0"/>
          <w:color w:val="000000" w:themeColor="text1"/>
          <w:highlight w:val="none"/>
          <w14:textFill>
            <w14:solidFill>
              <w14:schemeClr w14:val="tx1"/>
            </w14:solidFill>
          </w14:textFill>
        </w:rPr>
        <w:t>9.6</w:t>
      </w:r>
      <w:r>
        <w:rPr>
          <w:color w:val="000000" w:themeColor="text1"/>
          <w:highlight w:val="none"/>
          <w14:textFill>
            <w14:solidFill>
              <w14:schemeClr w14:val="tx1"/>
            </w14:solidFill>
          </w14:textFill>
        </w:rPr>
        <w:t xml:space="preserve">  电 力 电 缆</w:t>
      </w:r>
      <w:bookmarkEnd w:id="89"/>
    </w:p>
    <w:bookmarkEnd w:id="90"/>
    <w:p w14:paraId="5D30BC04">
      <w:pPr>
        <w:pStyle w:val="5"/>
        <w:rPr>
          <w:highlight w:val="none"/>
          <w:u w:val="none"/>
        </w:rPr>
      </w:pPr>
      <w:r>
        <w:rPr>
          <w:b/>
          <w:highlight w:val="none"/>
        </w:rPr>
        <w:t>9.6.1</w:t>
      </w:r>
      <w:r>
        <w:rPr>
          <w:highlight w:val="none"/>
        </w:rPr>
        <w:t xml:space="preserve">  电力电缆应采用阻燃电缆或不燃电缆</w:t>
      </w:r>
      <w:r>
        <w:rPr>
          <w:highlight w:val="none"/>
          <w:u w:val="none"/>
        </w:rPr>
        <w:t>，燃烧性能不低于B1级。</w:t>
      </w:r>
    </w:p>
    <w:p w14:paraId="59D9FDDF">
      <w:pPr>
        <w:pStyle w:val="5"/>
        <w:rPr>
          <w:highlight w:val="none"/>
        </w:rPr>
      </w:pPr>
      <w:r>
        <w:rPr>
          <w:b/>
          <w:highlight w:val="none"/>
        </w:rPr>
        <w:t>9.6.2</w:t>
      </w:r>
      <w:r>
        <w:rPr>
          <w:highlight w:val="none"/>
        </w:rPr>
        <w:t xml:space="preserve">  应对综合管廊内的电力电缆设置电气火灾监控系统。在电缆接头处应设置自动灭火装置。</w:t>
      </w:r>
    </w:p>
    <w:p w14:paraId="19F61F7F">
      <w:pPr>
        <w:pStyle w:val="5"/>
        <w:rPr>
          <w:highlight w:val="none"/>
        </w:rPr>
      </w:pPr>
      <w:r>
        <w:rPr>
          <w:b/>
          <w:highlight w:val="none"/>
        </w:rPr>
        <w:t xml:space="preserve">9.6.3 </w:t>
      </w:r>
      <w:r>
        <w:rPr>
          <w:highlight w:val="none"/>
        </w:rPr>
        <w:t xml:space="preserve"> 电力电缆敷设安装应按支架形式设计，并应符合现行国家标准《电力工程电缆设计标准》GB 50217的有关规定，同时应符合下列规定：</w:t>
      </w:r>
    </w:p>
    <w:p w14:paraId="2F6AFD13">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管廊内电缆支架宜根据“同一电压等级的电缆通用同一尺寸的支架”的原则进行设计；</w:t>
      </w:r>
    </w:p>
    <w:p w14:paraId="367B91B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电缆支架的层间垂直距离应满足电力电缆及其固定、安装接头的要求，同时应满足电缆纵向蛇形敷设幅宽及温度升高所产生的变形量要求；</w:t>
      </w:r>
    </w:p>
    <w:p w14:paraId="3D916B07">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管廊内需要布置电缆接头时，电缆支架层间布置应满足电缆接头的放置要求；</w:t>
      </w:r>
    </w:p>
    <w:p w14:paraId="0EC3ADB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电缆支架的长度除应满足电缆及其固定装置的要求外，宜在满足电缆弯曲、水平蛇形和温度升高所产生的变形量基础上，增加50mm~100mm；</w:t>
      </w:r>
    </w:p>
    <w:p w14:paraId="03EBBB2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5</w:t>
      </w:r>
      <w:r>
        <w:rPr>
          <w:rFonts w:ascii="Times New Roman" w:hAnsi="Times New Roman" w:eastAsia="方正书宋简体" w:cs="Times New Roman"/>
          <w:bCs/>
          <w:color w:val="000000" w:themeColor="text1"/>
          <w:highlight w:val="none"/>
          <w14:textFill>
            <w14:solidFill>
              <w14:schemeClr w14:val="tx1"/>
            </w14:solidFill>
          </w14:textFill>
        </w:rPr>
        <w:t xml:space="preserve">  水平电缆支架在安装前，宜根据计算挠度及安装可能产生的误差，设置预起拱值及预偏量。</w:t>
      </w:r>
    </w:p>
    <w:p w14:paraId="05772B60">
      <w:pPr>
        <w:pStyle w:val="4"/>
        <w:spacing w:before="156" w:after="156"/>
        <w:rPr>
          <w:b/>
          <w:color w:val="000000" w:themeColor="text1"/>
          <w:highlight w:val="none"/>
          <w14:textFill>
            <w14:solidFill>
              <w14:schemeClr w14:val="tx1"/>
            </w14:solidFill>
          </w14:textFill>
        </w:rPr>
      </w:pPr>
      <w:bookmarkStart w:id="91" w:name="_Toc37689760"/>
      <w:r>
        <w:rPr>
          <w:b/>
          <w:bCs w:val="0"/>
          <w:color w:val="000000" w:themeColor="text1"/>
          <w:highlight w:val="none"/>
          <w14:textFill>
            <w14:solidFill>
              <w14:schemeClr w14:val="tx1"/>
            </w14:solidFill>
          </w14:textFill>
        </w:rPr>
        <w:t>9.7</w:t>
      </w:r>
      <w:r>
        <w:rPr>
          <w:color w:val="000000" w:themeColor="text1"/>
          <w:highlight w:val="none"/>
          <w14:textFill>
            <w14:solidFill>
              <w14:schemeClr w14:val="tx1"/>
            </w14:solidFill>
          </w14:textFill>
        </w:rPr>
        <w:t xml:space="preserve">  通 信 线 缆</w:t>
      </w:r>
      <w:bookmarkEnd w:id="91"/>
    </w:p>
    <w:p w14:paraId="65E1A3EF">
      <w:pPr>
        <w:pStyle w:val="5"/>
        <w:rPr>
          <w:highlight w:val="none"/>
        </w:rPr>
      </w:pPr>
      <w:r>
        <w:rPr>
          <w:b/>
          <w:highlight w:val="none"/>
        </w:rPr>
        <w:t>9.7.1</w:t>
      </w:r>
      <w:r>
        <w:rPr>
          <w:highlight w:val="none"/>
        </w:rPr>
        <w:t xml:space="preserve">  通信线缆应采用阻燃线缆。</w:t>
      </w:r>
    </w:p>
    <w:p w14:paraId="69E2B6A3">
      <w:pPr>
        <w:pStyle w:val="5"/>
        <w:rPr>
          <w:highlight w:val="none"/>
        </w:rPr>
      </w:pPr>
      <w:r>
        <w:rPr>
          <w:b/>
          <w:highlight w:val="none"/>
        </w:rPr>
        <w:t xml:space="preserve">9.7.2 </w:t>
      </w:r>
      <w:r>
        <w:rPr>
          <w:highlight w:val="none"/>
        </w:rPr>
        <w:t xml:space="preserve"> 电力电缆、通信线缆敷设于同一舱室时，通信线缆宜采用具有防电磁干扰特性的缆线，如光缆等。</w:t>
      </w:r>
    </w:p>
    <w:p w14:paraId="512311FC">
      <w:pPr>
        <w:pStyle w:val="5"/>
        <w:bidi w:val="0"/>
        <w:rPr>
          <w:highlight w:val="none"/>
        </w:rPr>
      </w:pPr>
      <w:bookmarkStart w:id="92" w:name="_Hlk16352517"/>
      <w:bookmarkStart w:id="93" w:name="_Toc37689761"/>
      <w:r>
        <w:rPr>
          <w:b/>
          <w:bCs/>
          <w:highlight w:val="none"/>
        </w:rPr>
        <w:t>9.7.3</w:t>
      </w:r>
      <w:r>
        <w:rPr>
          <w:highlight w:val="none"/>
        </w:rPr>
        <w:t xml:space="preserve">  通信线缆敷设安装应按桥架形式设计，并应符合现行国家标准</w:t>
      </w:r>
      <w:bookmarkStart w:id="94" w:name="_Hlk18345487"/>
      <w:r>
        <w:rPr>
          <w:highlight w:val="none"/>
        </w:rPr>
        <w:t>《综合布线系统工程设计规范》GB 50311和通信行业标准《光缆进线室设计规范》YD/T 5151</w:t>
      </w:r>
      <w:bookmarkEnd w:id="94"/>
      <w:r>
        <w:rPr>
          <w:highlight w:val="none"/>
        </w:rPr>
        <w:t>的有关规定。</w:t>
      </w:r>
    </w:p>
    <w:bookmarkEnd w:id="92"/>
    <w:bookmarkEnd w:id="93"/>
    <w:p w14:paraId="03FA42B9">
      <w:pPr>
        <w:pStyle w:val="5"/>
        <w:rPr>
          <w:highlight w:val="none"/>
        </w:rPr>
      </w:pPr>
      <w:r>
        <w:rPr>
          <w:highlight w:val="none"/>
        </w:rPr>
        <w:br w:type="page"/>
      </w:r>
    </w:p>
    <w:p w14:paraId="2988258F">
      <w:pPr>
        <w:pStyle w:val="2"/>
        <w:rPr>
          <w:color w:val="000000" w:themeColor="text1"/>
          <w:highlight w:val="none"/>
          <w14:textFill>
            <w14:solidFill>
              <w14:schemeClr w14:val="tx1"/>
            </w14:solidFill>
          </w14:textFill>
        </w:rPr>
      </w:pPr>
      <w:bookmarkStart w:id="95" w:name="_Toc37689771"/>
      <w:bookmarkStart w:id="96" w:name="_Hlk3279526"/>
      <w:bookmarkStart w:id="97" w:name="_Toc37689811"/>
      <w:r>
        <w:rPr>
          <w:color w:val="000000" w:themeColor="text1"/>
          <w:highlight w:val="none"/>
          <w14:textFill>
            <w14:solidFill>
              <w14:schemeClr w14:val="tx1"/>
            </w14:solidFill>
          </w14:textFill>
        </w:rPr>
        <w:t xml:space="preserve">10  </w:t>
      </w:r>
      <w:r>
        <w:rPr>
          <w:b w:val="0"/>
          <w:bCs w:val="0"/>
          <w:color w:val="000000" w:themeColor="text1"/>
          <w:highlight w:val="none"/>
          <w14:textFill>
            <w14:solidFill>
              <w14:schemeClr w14:val="tx1"/>
            </w14:solidFill>
          </w14:textFill>
        </w:rPr>
        <w:t>结构施工</w:t>
      </w:r>
      <w:bookmarkEnd w:id="95"/>
    </w:p>
    <w:p w14:paraId="65D87D32">
      <w:pPr>
        <w:pStyle w:val="4"/>
        <w:spacing w:before="156" w:after="156"/>
        <w:rPr>
          <w:color w:val="000000" w:themeColor="text1"/>
          <w:highlight w:val="none"/>
          <w14:textFill>
            <w14:solidFill>
              <w14:schemeClr w14:val="tx1"/>
            </w14:solidFill>
          </w14:textFill>
        </w:rPr>
      </w:pPr>
      <w:bookmarkStart w:id="98" w:name="_Toc37689772"/>
      <w:r>
        <w:rPr>
          <w:b/>
          <w:bCs w:val="0"/>
          <w:color w:val="000000" w:themeColor="text1"/>
          <w:highlight w:val="none"/>
          <w14:textFill>
            <w14:solidFill>
              <w14:schemeClr w14:val="tx1"/>
            </w14:solidFill>
          </w14:textFill>
        </w:rPr>
        <w:t>10.1</w:t>
      </w:r>
      <w:r>
        <w:rPr>
          <w:color w:val="000000" w:themeColor="text1"/>
          <w:highlight w:val="none"/>
          <w14:textFill>
            <w14:solidFill>
              <w14:schemeClr w14:val="tx1"/>
            </w14:solidFill>
          </w14:textFill>
        </w:rPr>
        <w:t xml:space="preserve">  一 般 规 定</w:t>
      </w:r>
      <w:bookmarkEnd w:id="98"/>
    </w:p>
    <w:bookmarkEnd w:id="96"/>
    <w:p w14:paraId="142FFFA5">
      <w:pPr>
        <w:pStyle w:val="5"/>
        <w:rPr>
          <w:highlight w:val="none"/>
        </w:rPr>
      </w:pPr>
      <w:r>
        <w:rPr>
          <w:rFonts w:eastAsia="方正黑体简体"/>
          <w:b/>
          <w:highlight w:val="none"/>
        </w:rPr>
        <w:t xml:space="preserve">10.1.1  </w:t>
      </w:r>
      <w:r>
        <w:rPr>
          <w:highlight w:val="none"/>
        </w:rPr>
        <w:t>工程施工前施工单位应进行工程踏勘、环境核查、仔细全面的熟悉设计图纸，对工程周边建（构）筑物、铁路、桥梁、高架线路、河流、地下建筑物、地下障碍物、人防工程、地下管线等做详细调查并</w:t>
      </w:r>
      <w:bookmarkStart w:id="99" w:name="_Hlk3279645"/>
      <w:r>
        <w:rPr>
          <w:highlight w:val="none"/>
        </w:rPr>
        <w:t>编制针对性强、操作性强的施工组织设计</w:t>
      </w:r>
      <w:bookmarkEnd w:id="99"/>
      <w:r>
        <w:rPr>
          <w:highlight w:val="none"/>
        </w:rPr>
        <w:t>。</w:t>
      </w:r>
    </w:p>
    <w:p w14:paraId="3ABFDD5C">
      <w:pPr>
        <w:pStyle w:val="5"/>
        <w:rPr>
          <w:highlight w:val="none"/>
        </w:rPr>
      </w:pPr>
      <w:r>
        <w:rPr>
          <w:b/>
          <w:highlight w:val="none"/>
        </w:rPr>
        <w:t>10.1.2</w:t>
      </w:r>
      <w:r>
        <w:rPr>
          <w:highlight w:val="none"/>
        </w:rPr>
        <w:t xml:space="preserve">  施工前应熟悉和审查施工图纸，掌握设计意图与要求，对设计有疑问或发现错误的应填写图纸会审记录。建设单位应组织设计、施工、监理等相关单位对设计文件进行交底，对施工单位提出的问题或错误进行明确答复并签字确认。</w:t>
      </w:r>
    </w:p>
    <w:p w14:paraId="19D28F9D">
      <w:pPr>
        <w:pStyle w:val="5"/>
        <w:rPr>
          <w:highlight w:val="none"/>
        </w:rPr>
      </w:pPr>
      <w:r>
        <w:rPr>
          <w:b/>
          <w:highlight w:val="none"/>
        </w:rPr>
        <w:t>10.1.3</w:t>
      </w:r>
      <w:r>
        <w:rPr>
          <w:highlight w:val="none"/>
        </w:rPr>
        <w:t xml:space="preserve">  施工单位应建立安全、质量、环境管理体系，制定相应的管理制度，落实安全、质量、环境保护责任，设立安全、质量、环境保护管理部门。建设单位办理完成质量监督手续和安全监督手续。</w:t>
      </w:r>
    </w:p>
    <w:p w14:paraId="7C9AE870">
      <w:pPr>
        <w:pStyle w:val="5"/>
        <w:rPr>
          <w:highlight w:val="none"/>
        </w:rPr>
      </w:pPr>
      <w:r>
        <w:rPr>
          <w:b/>
          <w:highlight w:val="none"/>
        </w:rPr>
        <w:t>10.1.4</w:t>
      </w:r>
      <w:r>
        <w:rPr>
          <w:highlight w:val="none"/>
        </w:rPr>
        <w:t xml:space="preserve">  施工单位应根据设计文件，经对现场施工环境和施工有关的情况进行充分调查后编制施工组织设计，经批准后指导施工。</w:t>
      </w:r>
    </w:p>
    <w:p w14:paraId="3DC68828">
      <w:pPr>
        <w:pStyle w:val="5"/>
        <w:rPr>
          <w:highlight w:val="none"/>
        </w:rPr>
      </w:pPr>
      <w:r>
        <w:rPr>
          <w:b/>
          <w:highlight w:val="none"/>
        </w:rPr>
        <w:t>10.1.5</w:t>
      </w:r>
      <w:r>
        <w:rPr>
          <w:highlight w:val="none"/>
        </w:rPr>
        <w:t xml:space="preserve">  施工单位应按照现行行业标准《建筑基坑支护技术规程》JGJ 120及山西省工程建设地方标准《建筑基坑工程技术规范》DBJ04/T 306的有关规定编制基坑（槽）支护、检测、监测方案并全程实施；建设单位应委托具备资质的第三方对基坑（槽）实施动态监测，监测项目及频率应符合现行国家标准《建筑基坑工程监测技术规范》GB 50497的有关规定。</w:t>
      </w:r>
    </w:p>
    <w:p w14:paraId="15DB0FCF">
      <w:pPr>
        <w:pStyle w:val="5"/>
        <w:rPr>
          <w:highlight w:val="none"/>
        </w:rPr>
      </w:pPr>
      <w:r>
        <w:rPr>
          <w:b/>
          <w:highlight w:val="none"/>
        </w:rPr>
        <w:t xml:space="preserve">10.1.6 </w:t>
      </w:r>
      <w:r>
        <w:rPr>
          <w:highlight w:val="none"/>
        </w:rPr>
        <w:t xml:space="preserve"> 施工现场及周边环境应保持清洁，减少对交通干扰，严格控制地面变形和环境污染，做到文明施工不扰民。</w:t>
      </w:r>
    </w:p>
    <w:p w14:paraId="7F7AB8E2">
      <w:pPr>
        <w:pStyle w:val="5"/>
        <w:rPr>
          <w:highlight w:val="none"/>
        </w:rPr>
      </w:pPr>
      <w:r>
        <w:rPr>
          <w:b/>
          <w:highlight w:val="none"/>
        </w:rPr>
        <w:t xml:space="preserve">10.1.7 </w:t>
      </w:r>
      <w:r>
        <w:rPr>
          <w:highlight w:val="none"/>
        </w:rPr>
        <w:t xml:space="preserve"> 综合管廊防水工程的施工及验收应按现行国家标准《地下防水工程质量验收规范》GB 50208的相关规定执行。</w:t>
      </w:r>
    </w:p>
    <w:p w14:paraId="5D9A8048">
      <w:pPr>
        <w:pStyle w:val="5"/>
        <w:rPr>
          <w:highlight w:val="none"/>
        </w:rPr>
      </w:pPr>
      <w:bookmarkStart w:id="100" w:name="_Hlk18159395"/>
      <w:r>
        <w:rPr>
          <w:b/>
          <w:highlight w:val="none"/>
        </w:rPr>
        <w:t>10.1.8</w:t>
      </w:r>
      <w:r>
        <w:rPr>
          <w:highlight w:val="none"/>
        </w:rPr>
        <w:t xml:space="preserve">  综合管廊工程应经过竣工验收合格后，方可投入使用。</w:t>
      </w:r>
    </w:p>
    <w:bookmarkEnd w:id="100"/>
    <w:p w14:paraId="059D25A5">
      <w:pPr>
        <w:pStyle w:val="5"/>
        <w:rPr>
          <w:highlight w:val="none"/>
        </w:rPr>
      </w:pPr>
      <w:bookmarkStart w:id="101" w:name="_Toc37689773"/>
      <w:bookmarkStart w:id="102" w:name="_Hlk3280098"/>
      <w:bookmarkStart w:id="103" w:name="_Hlk16441721"/>
      <w:r>
        <w:rPr>
          <w:b/>
          <w:highlight w:val="none"/>
        </w:rPr>
        <w:t>10.1.9</w:t>
      </w:r>
      <w:r>
        <w:rPr>
          <w:highlight w:val="none"/>
        </w:rPr>
        <w:t xml:space="preserve">  管廊主体结构的施工应采用BIM技术模拟建造，进行三维场地布置、虚拟漫游安全交底、施工物料的统计、工程进度4D管理、关键部位的质量控制。</w:t>
      </w:r>
    </w:p>
    <w:p w14:paraId="3825A576">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10.2</w:t>
      </w:r>
      <w:r>
        <w:rPr>
          <w:color w:val="000000" w:themeColor="text1"/>
          <w:highlight w:val="none"/>
          <w14:textFill>
            <w14:solidFill>
              <w14:schemeClr w14:val="tx1"/>
            </w14:solidFill>
          </w14:textFill>
        </w:rPr>
        <w:t xml:space="preserve">  施 工 测 量</w:t>
      </w:r>
      <w:bookmarkEnd w:id="101"/>
    </w:p>
    <w:bookmarkEnd w:id="102"/>
    <w:p w14:paraId="7EA221A2">
      <w:pPr>
        <w:pStyle w:val="5"/>
        <w:rPr>
          <w:highlight w:val="none"/>
        </w:rPr>
      </w:pPr>
      <w:bookmarkStart w:id="104" w:name="_Hlk16446767"/>
      <w:r>
        <w:rPr>
          <w:b/>
          <w:highlight w:val="none"/>
        </w:rPr>
        <w:t xml:space="preserve">10.2.1 </w:t>
      </w:r>
      <w:r>
        <w:rPr>
          <w:highlight w:val="none"/>
        </w:rPr>
        <w:t xml:space="preserve"> 地下综合管廊施工测量</w:t>
      </w:r>
      <w:bookmarkStart w:id="105" w:name="_Hlk16447200"/>
      <w:r>
        <w:rPr>
          <w:highlight w:val="none"/>
        </w:rPr>
        <w:t>包括平面控制、高程控制、沟槽（基坑）开挖施工、沟槽（基坑）围护结构施工、结构施工</w:t>
      </w:r>
      <w:r>
        <w:rPr>
          <w:rFonts w:hint="eastAsia"/>
          <w:highlight w:val="none"/>
          <w:lang w:val="en-US" w:eastAsia="zh-CN"/>
        </w:rPr>
        <w:t>及</w:t>
      </w:r>
      <w:r>
        <w:rPr>
          <w:highlight w:val="none"/>
        </w:rPr>
        <w:t>竣工测量。</w:t>
      </w:r>
      <w:bookmarkEnd w:id="105"/>
      <w:r>
        <w:rPr>
          <w:b/>
          <w:highlight w:val="none"/>
        </w:rPr>
        <w:t>10.2.2</w:t>
      </w:r>
      <w:r>
        <w:rPr>
          <w:highlight w:val="none"/>
        </w:rPr>
        <w:t xml:space="preserve">  测量前，应对施工现场进行踏勘，收集相关测量资料，办理测量资料交接手续，对控制点进行加密、复测，做好标记并进行保护，工期跨度一年以上的工程还应进行定期复测，遇特殊地质情况时，每半年进行一次平面及高程控制网复测。</w:t>
      </w:r>
    </w:p>
    <w:p w14:paraId="76A3FAF7">
      <w:pPr>
        <w:pStyle w:val="5"/>
        <w:rPr>
          <w:highlight w:val="none"/>
        </w:rPr>
      </w:pPr>
      <w:r>
        <w:rPr>
          <w:b/>
          <w:highlight w:val="none"/>
        </w:rPr>
        <w:t>10.2.3</w:t>
      </w:r>
      <w:r>
        <w:rPr>
          <w:highlight w:val="none"/>
        </w:rPr>
        <w:t xml:space="preserve">  施工前，根据设计要求、定位条件、现场地形和施工方案等因素，制定施工测量方案，包括测设方法、测设数据计算和检核、测设误差分析和调整、绘制测设略图等。</w:t>
      </w:r>
    </w:p>
    <w:p w14:paraId="5E1188E8">
      <w:pPr>
        <w:pStyle w:val="5"/>
        <w:rPr>
          <w:highlight w:val="none"/>
        </w:rPr>
      </w:pPr>
      <w:r>
        <w:rPr>
          <w:b/>
          <w:highlight w:val="none"/>
        </w:rPr>
        <w:t>10.2.4</w:t>
      </w:r>
      <w:r>
        <w:rPr>
          <w:highlight w:val="none"/>
        </w:rPr>
        <w:t xml:space="preserve">  平面控制测量应采用精密导线网测量方法施测，精密导线网应采用附合导线、闭合导线或节点导线网形式，沿管廊两侧布设，精密导线网测量和观测技术要求应达到《工程测量</w:t>
      </w:r>
      <w:r>
        <w:rPr>
          <w:highlight w:val="none"/>
          <w:u w:val="single"/>
        </w:rPr>
        <w:t>标准</w:t>
      </w:r>
      <w:r>
        <w:rPr>
          <w:highlight w:val="none"/>
        </w:rPr>
        <w:t>》GB 50026导线测量主要技术要求二级。地下综合管廊施工长度在5km以上时宜采用</w:t>
      </w:r>
      <w:r>
        <w:rPr>
          <w:rFonts w:hint="eastAsia"/>
          <w:highlight w:val="none"/>
        </w:rPr>
        <w:t>GNSS</w:t>
      </w:r>
      <w:r>
        <w:rPr>
          <w:highlight w:val="none"/>
        </w:rPr>
        <w:t>网，</w:t>
      </w:r>
      <w:r>
        <w:rPr>
          <w:rFonts w:hint="eastAsia"/>
          <w:highlight w:val="none"/>
        </w:rPr>
        <w:t>GNSS</w:t>
      </w:r>
      <w:r>
        <w:rPr>
          <w:highlight w:val="none"/>
        </w:rPr>
        <w:t>网的精度等级宜为D级，技术参数详见《</w:t>
      </w:r>
      <w:r>
        <w:rPr>
          <w:rFonts w:hint="eastAsia" w:ascii="方正书宋简体" w:hAnsi="方正书宋简体" w:cs="方正书宋简体"/>
          <w:highlight w:val="none"/>
          <w:shd w:val="clear" w:color="auto" w:fill="FFFFFF"/>
        </w:rPr>
        <w:t>全球导航卫星系统（GNSS）测量规范</w:t>
      </w:r>
      <w:r>
        <w:rPr>
          <w:highlight w:val="none"/>
        </w:rPr>
        <w:t>》GB/T</w:t>
      </w:r>
      <w:r>
        <w:rPr>
          <w:rFonts w:hint="eastAsia"/>
          <w:highlight w:val="none"/>
        </w:rPr>
        <w:t xml:space="preserve"> </w:t>
      </w:r>
      <w:r>
        <w:rPr>
          <w:highlight w:val="none"/>
        </w:rPr>
        <w:t>18314。</w:t>
      </w:r>
    </w:p>
    <w:p w14:paraId="672356E9">
      <w:pPr>
        <w:pStyle w:val="5"/>
        <w:rPr>
          <w:highlight w:val="none"/>
        </w:rPr>
      </w:pPr>
      <w:r>
        <w:rPr>
          <w:b/>
          <w:highlight w:val="none"/>
        </w:rPr>
        <w:t>10.2.5</w:t>
      </w:r>
      <w:r>
        <w:rPr>
          <w:highlight w:val="none"/>
        </w:rPr>
        <w:t xml:space="preserve">  高程控制网应布设成附合路线、节点网或闭合路线，全线高程控制网的精度不宜低于四等水准测量精度。</w:t>
      </w:r>
    </w:p>
    <w:p w14:paraId="687131C8">
      <w:pPr>
        <w:pStyle w:val="5"/>
        <w:rPr>
          <w:highlight w:val="none"/>
        </w:rPr>
      </w:pPr>
      <w:r>
        <w:rPr>
          <w:b/>
          <w:highlight w:val="none"/>
        </w:rPr>
        <w:t>10.2.7</w:t>
      </w:r>
      <w:r>
        <w:rPr>
          <w:highlight w:val="none"/>
        </w:rPr>
        <w:t xml:space="preserve">  沟槽（基坑）开挖施工测量可采用GPS-RTK进行单点放样。结构施工放样，平面位置放样宜采用全站仪坐标法设站＋极坐标法放点，高程放样宜采用水准测量方法。结构施工测量的偏差，应符合《工程</w:t>
      </w:r>
      <w:r>
        <w:rPr>
          <w:highlight w:val="none"/>
          <w:u w:val="none"/>
        </w:rPr>
        <w:t xml:space="preserve">测量标准》GB </w:t>
      </w:r>
      <w:r>
        <w:rPr>
          <w:highlight w:val="none"/>
        </w:rPr>
        <w:t>50026施工测量允许偏差值。</w:t>
      </w:r>
    </w:p>
    <w:p w14:paraId="27D4C054">
      <w:pPr>
        <w:pStyle w:val="5"/>
        <w:rPr>
          <w:highlight w:val="none"/>
        </w:rPr>
      </w:pPr>
      <w:r>
        <w:rPr>
          <w:b/>
          <w:highlight w:val="none"/>
        </w:rPr>
        <w:t>10.2.8</w:t>
      </w:r>
      <w:r>
        <w:rPr>
          <w:highlight w:val="none"/>
        </w:rPr>
        <w:t xml:space="preserve">  预制拼装综合管廊装配施工前，应按设计检查核对已施工完成的结构尺寸及安装位置，根据设计图纸在预制构件和已施工的现浇结构上进行测量放线并做好安装定位标志。</w:t>
      </w:r>
    </w:p>
    <w:bookmarkEnd w:id="103"/>
    <w:bookmarkEnd w:id="104"/>
    <w:p w14:paraId="2B66770A">
      <w:pPr>
        <w:pStyle w:val="5"/>
        <w:rPr>
          <w:highlight w:val="none"/>
        </w:rPr>
      </w:pPr>
      <w:bookmarkStart w:id="106" w:name="_Toc37689774"/>
      <w:bookmarkStart w:id="107" w:name="_Hlk16533479"/>
      <w:r>
        <w:rPr>
          <w:b/>
          <w:highlight w:val="none"/>
        </w:rPr>
        <w:t>10.2.9</w:t>
      </w:r>
      <w:r>
        <w:rPr>
          <w:highlight w:val="none"/>
        </w:rPr>
        <w:t xml:space="preserve">  竣工测量时进行中线测量，直线地段每50</w:t>
      </w:r>
      <w:r>
        <w:rPr>
          <w:rFonts w:hint="eastAsia"/>
          <w:highlight w:val="none"/>
        </w:rPr>
        <w:t>m</w:t>
      </w:r>
      <w:r>
        <w:rPr>
          <w:highlight w:val="none"/>
        </w:rPr>
        <w:t>，曲线地段每20</w:t>
      </w:r>
      <w:r>
        <w:rPr>
          <w:rFonts w:hint="eastAsia"/>
          <w:highlight w:val="none"/>
        </w:rPr>
        <w:t>m</w:t>
      </w:r>
      <w:r>
        <w:rPr>
          <w:highlight w:val="none"/>
        </w:rPr>
        <w:t>，以及管廊断面变换处，打临时中线桩并在侧墙加以标记，核对其里程、偏离中线的程度、实际净空，测量后列出实测成果，注明里程，作为竣工资料之一。在中线直线地段每200</w:t>
      </w:r>
      <w:r>
        <w:rPr>
          <w:rFonts w:hint="eastAsia"/>
          <w:highlight w:val="none"/>
        </w:rPr>
        <w:t>m</w:t>
      </w:r>
      <w:r>
        <w:rPr>
          <w:highlight w:val="none"/>
        </w:rPr>
        <w:t>埋设一个永久中线点，曲线地段在各转换点埋设永久中线点。</w:t>
      </w:r>
    </w:p>
    <w:p w14:paraId="2142115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t xml:space="preserve">  地基、</w:t>
      </w:r>
      <w:bookmarkStart w:id="108" w:name="_Hlk524180749"/>
      <w:r>
        <w:rPr>
          <w:color w:val="000000" w:themeColor="text1"/>
          <w:highlight w:val="none"/>
          <w14:textFill>
            <w14:solidFill>
              <w14:schemeClr w14:val="tx1"/>
            </w14:solidFill>
          </w14:textFill>
        </w:rPr>
        <w:t>沟槽（基坑）</w:t>
      </w:r>
      <w:bookmarkEnd w:id="106"/>
      <w:bookmarkEnd w:id="108"/>
    </w:p>
    <w:bookmarkEnd w:id="107"/>
    <w:p w14:paraId="52BC3087">
      <w:pPr>
        <w:pStyle w:val="5"/>
        <w:rPr>
          <w:highlight w:val="none"/>
        </w:rPr>
      </w:pPr>
      <w:r>
        <w:rPr>
          <w:b/>
          <w:highlight w:val="none"/>
        </w:rPr>
        <w:t>10.3.1</w:t>
      </w:r>
      <w:r>
        <w:rPr>
          <w:highlight w:val="none"/>
        </w:rPr>
        <w:t xml:space="preserve">  管廊沟槽（基坑）施工的程序，宜符合下列要求：</w:t>
      </w:r>
    </w:p>
    <w:p w14:paraId="5D668D1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统筹安排施工准备工作，根据施工组织设计的总平面图布置平整场地、修通道路和排水设施</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14F3337">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在管廊范围内填方整平或基坑开挖前，应对拟建管廊及其周围3m~5m范围内的地下坑穴进行探查与处理，并绘图和详细记录其位置、大小、形状和处理情况</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4CA4178">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根据开挖深度，按设计要求进行基坑支护、降水，施工应符合国家行业标准《建筑基坑支护技术规程》JGJ 120、《建筑深基坑工程施工安全技术规范》JGJ 311及山西省工程建设地方标准《建筑基坑工程技术规范》DBJ04/T 306的相关规定。</w:t>
      </w:r>
    </w:p>
    <w:p w14:paraId="538A6614">
      <w:pPr>
        <w:pStyle w:val="5"/>
        <w:rPr>
          <w:highlight w:val="none"/>
          <w:u w:val="single"/>
        </w:rPr>
      </w:pPr>
      <w:r>
        <w:rPr>
          <w:b/>
          <w:highlight w:val="none"/>
        </w:rPr>
        <w:t>10.3.2</w:t>
      </w:r>
      <w:r>
        <w:rPr>
          <w:highlight w:val="none"/>
        </w:rPr>
        <w:t xml:space="preserve">  在邻近既有建筑物修建管廊时，应采取有效措施，保证既有建筑物和管道系统安全使用，并对沟槽（基坑）工程进行监测，符合国家行业标准《建筑基坑工程监测技术规范》GB 50497及山西省工程建设地方标准《建筑基坑工程技术规范》DBJ04/T 306的相关规定。</w:t>
      </w:r>
    </w:p>
    <w:p w14:paraId="654DEF86">
      <w:pPr>
        <w:pStyle w:val="5"/>
        <w:rPr>
          <w:highlight w:val="none"/>
          <w:u w:val="none"/>
        </w:rPr>
      </w:pPr>
      <w:r>
        <w:rPr>
          <w:b/>
          <w:highlight w:val="none"/>
        </w:rPr>
        <w:t>10.3.3</w:t>
      </w:r>
      <w:r>
        <w:rPr>
          <w:highlight w:val="none"/>
        </w:rPr>
        <w:t xml:space="preserve">  在湿陷性黄土场地，应采取措施防止施工用水和场地雨水流入管廊地基（或基坑内）引起湿陷，施工应符合国家行业标准《湿陷性黄土地区建筑基坑工程安全技术规程》JGJ 167及</w:t>
      </w:r>
      <w:r>
        <w:rPr>
          <w:highlight w:val="none"/>
          <w:u w:val="none"/>
        </w:rPr>
        <w:t>山西省工程建设地方标准《</w:t>
      </w:r>
      <w:r>
        <w:rPr>
          <w:rFonts w:hint="eastAsia"/>
          <w:highlight w:val="none"/>
          <w:u w:val="none"/>
        </w:rPr>
        <w:t>湿陷性黄土场地勘察及地基处理技术标准</w:t>
      </w:r>
      <w:r>
        <w:rPr>
          <w:highlight w:val="none"/>
          <w:u w:val="none"/>
        </w:rPr>
        <w:t xml:space="preserve">》DBJ04/T </w:t>
      </w:r>
      <w:r>
        <w:rPr>
          <w:rFonts w:hint="eastAsia"/>
          <w:highlight w:val="none"/>
          <w:u w:val="none"/>
        </w:rPr>
        <w:t>312</w:t>
      </w:r>
      <w:r>
        <w:rPr>
          <w:highlight w:val="none"/>
          <w:u w:val="none"/>
        </w:rPr>
        <w:t>的相关规定。</w:t>
      </w:r>
    </w:p>
    <w:p w14:paraId="5EAC0C3A">
      <w:pPr>
        <w:pStyle w:val="5"/>
        <w:rPr>
          <w:highlight w:val="none"/>
          <w:u w:val="none"/>
        </w:rPr>
      </w:pPr>
      <w:r>
        <w:rPr>
          <w:b/>
          <w:highlight w:val="none"/>
          <w:u w:val="none"/>
        </w:rPr>
        <w:t>10.3.4</w:t>
      </w:r>
      <w:r>
        <w:rPr>
          <w:highlight w:val="none"/>
          <w:u w:val="none"/>
        </w:rPr>
        <w:t xml:space="preserve">  基坑开挖的质量验收应符合现行国家标准《建筑地基基础工程施工质量验收标准》GB 50202的相关规定。</w:t>
      </w:r>
    </w:p>
    <w:p w14:paraId="2C219FBB">
      <w:pPr>
        <w:pStyle w:val="5"/>
        <w:rPr>
          <w:highlight w:val="none"/>
          <w:u w:val="none"/>
        </w:rPr>
      </w:pPr>
      <w:r>
        <w:rPr>
          <w:b/>
          <w:highlight w:val="none"/>
          <w:u w:val="none"/>
        </w:rPr>
        <w:t>10.3.5</w:t>
      </w:r>
      <w:r>
        <w:rPr>
          <w:highlight w:val="none"/>
          <w:u w:val="none"/>
        </w:rPr>
        <w:t xml:space="preserve">  管廊施工时，宜缩短基坑的暴露时间。在雨季、冬季施工时，应采取防水浸、防冻的专门措施，确保工程质量。</w:t>
      </w:r>
    </w:p>
    <w:p w14:paraId="1EF62D2B">
      <w:pPr>
        <w:pStyle w:val="5"/>
        <w:rPr>
          <w:highlight w:val="none"/>
          <w:u w:val="none"/>
        </w:rPr>
      </w:pPr>
      <w:r>
        <w:rPr>
          <w:b/>
          <w:highlight w:val="none"/>
          <w:u w:val="none"/>
        </w:rPr>
        <w:t xml:space="preserve">10.3.6 </w:t>
      </w:r>
      <w:r>
        <w:rPr>
          <w:highlight w:val="none"/>
          <w:u w:val="none"/>
        </w:rPr>
        <w:t xml:space="preserve"> 基底超挖、扰动、受冻、水浸或发现异物、杂土、淤泥、土质松软等现象时，应会同有关单位研究处理，冬季施工应及时使用保温材料覆盖，基底不得受冻。</w:t>
      </w:r>
    </w:p>
    <w:p w14:paraId="44632085">
      <w:pPr>
        <w:pStyle w:val="5"/>
        <w:rPr>
          <w:highlight w:val="none"/>
          <w:u w:val="none"/>
        </w:rPr>
      </w:pPr>
      <w:r>
        <w:rPr>
          <w:b/>
          <w:highlight w:val="none"/>
          <w:u w:val="none"/>
        </w:rPr>
        <w:t>10.3.7</w:t>
      </w:r>
      <w:r>
        <w:rPr>
          <w:highlight w:val="none"/>
          <w:u w:val="none"/>
        </w:rPr>
        <w:t xml:space="preserve">  基坑回填应在综合管廊结构及防水工程验收合格后进行，回填时应分层水平压实，管廊两侧回填应水平对称同时填压，基坑回填高程不一致时应从低处逐层填实，机械式机具不得碰撞结构及防水保护层，管廊顶板上部1000mm范围内回填材料应采用人工分层夯实，大型碾压机不得直接在管</w:t>
      </w:r>
      <w:r>
        <w:rPr>
          <w:rFonts w:hint="eastAsia"/>
          <w:highlight w:val="none"/>
          <w:u w:val="none"/>
        </w:rPr>
        <w:t>廊</w:t>
      </w:r>
      <w:r>
        <w:rPr>
          <w:highlight w:val="none"/>
          <w:u w:val="none"/>
        </w:rPr>
        <w:t>顶板上部施工。</w:t>
      </w:r>
    </w:p>
    <w:p w14:paraId="2B0A9855">
      <w:pPr>
        <w:pStyle w:val="5"/>
        <w:rPr>
          <w:highlight w:val="none"/>
          <w:u w:val="none"/>
        </w:rPr>
      </w:pPr>
      <w:r>
        <w:rPr>
          <w:b/>
          <w:highlight w:val="none"/>
          <w:u w:val="none"/>
        </w:rPr>
        <w:t>10.3.8</w:t>
      </w:r>
      <w:r>
        <w:rPr>
          <w:highlight w:val="none"/>
          <w:u w:val="none"/>
        </w:rPr>
        <w:t xml:space="preserve">  回填前应将基坑内的垃圾杂物等清理干净，回填材料宜就地取材，并在回填前进行取样分析确认是否满足设计要求</w:t>
      </w:r>
      <w:r>
        <w:rPr>
          <w:rFonts w:hint="eastAsia"/>
          <w:highlight w:val="none"/>
          <w:u w:val="none"/>
        </w:rPr>
        <w:t>及国家现行标准的有关要求</w:t>
      </w:r>
      <w:r>
        <w:rPr>
          <w:highlight w:val="none"/>
          <w:u w:val="none"/>
        </w:rPr>
        <w:t>。回填材料的施工方法、分层铺填厚度和每层压实遍数宜通过现场试验确定。</w:t>
      </w:r>
    </w:p>
    <w:p w14:paraId="0D3E4311">
      <w:pPr>
        <w:pStyle w:val="5"/>
        <w:rPr>
          <w:highlight w:val="none"/>
        </w:rPr>
      </w:pPr>
      <w:r>
        <w:rPr>
          <w:b/>
          <w:highlight w:val="none"/>
          <w:u w:val="none"/>
        </w:rPr>
        <w:t>10.3.9</w:t>
      </w:r>
      <w:r>
        <w:rPr>
          <w:highlight w:val="none"/>
          <w:u w:val="none"/>
        </w:rPr>
        <w:t xml:space="preserve">  回填土每层压实后，应按《建筑地基基础工程施工质量验收</w:t>
      </w:r>
      <w:r>
        <w:rPr>
          <w:rFonts w:hint="eastAsia"/>
          <w:highlight w:val="none"/>
          <w:u w:val="none"/>
        </w:rPr>
        <w:t>标准</w:t>
      </w:r>
      <w:r>
        <w:rPr>
          <w:highlight w:val="none"/>
          <w:u w:val="none"/>
        </w:rPr>
        <w:t>》GB 5020</w:t>
      </w:r>
      <w:r>
        <w:rPr>
          <w:rFonts w:hint="eastAsia"/>
          <w:highlight w:val="none"/>
          <w:u w:val="none"/>
        </w:rPr>
        <w:t>2</w:t>
      </w:r>
      <w:r>
        <w:rPr>
          <w:highlight w:val="none"/>
          <w:u w:val="none"/>
        </w:rPr>
        <w:t>及《建筑地基基础工程施工规范</w:t>
      </w:r>
      <w:r>
        <w:rPr>
          <w:highlight w:val="none"/>
        </w:rPr>
        <w:t>》GB 51004的规定进行压实度检测，压实度满足设计要求后方可继续回填，当设计无要求时应符合表10.3.9的规定。综合管</w:t>
      </w:r>
      <w:r>
        <w:rPr>
          <w:rFonts w:hint="eastAsia"/>
          <w:highlight w:val="none"/>
        </w:rPr>
        <w:t>廊</w:t>
      </w:r>
      <w:r>
        <w:rPr>
          <w:highlight w:val="none"/>
        </w:rPr>
        <w:t>回填不宜冬季施工，如必须施工时应有可靠的防冻措施。</w:t>
      </w:r>
    </w:p>
    <w:p w14:paraId="39E44445">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10.3.9</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综合管</w:t>
      </w:r>
      <w:r>
        <w:rPr>
          <w:rFonts w:hint="eastAsia" w:ascii="Times New Roman" w:hAnsi="Times New Roman" w:eastAsia="方正黑体简体" w:cs="Times New Roman"/>
          <w:bCs/>
          <w:color w:val="000000" w:themeColor="text1"/>
          <w:sz w:val="18"/>
          <w:szCs w:val="18"/>
          <w:highlight w:val="none"/>
          <w:lang w:val="en-US" w:eastAsia="zh-CN"/>
          <w14:textFill>
            <w14:solidFill>
              <w14:schemeClr w14:val="tx1"/>
            </w14:solidFill>
          </w14:textFill>
        </w:rPr>
        <w:t>廊</w:t>
      </w:r>
      <w:r>
        <w:rPr>
          <w:rFonts w:ascii="Times New Roman" w:hAnsi="Times New Roman" w:eastAsia="方正黑体简体" w:cs="Times New Roman"/>
          <w:bCs/>
          <w:color w:val="000000" w:themeColor="text1"/>
          <w:sz w:val="18"/>
          <w:szCs w:val="18"/>
          <w:highlight w:val="none"/>
          <w14:textFill>
            <w14:solidFill>
              <w14:schemeClr w14:val="tx1"/>
            </w14:solidFill>
          </w14:textFill>
        </w:rPr>
        <w:t>回填土压实度</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46"/>
        <w:gridCol w:w="1672"/>
        <w:gridCol w:w="682"/>
        <w:gridCol w:w="1386"/>
        <w:gridCol w:w="1161"/>
        <w:gridCol w:w="876"/>
      </w:tblGrid>
      <w:tr w14:paraId="2456F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18" w:type="dxa"/>
            <w:gridSpan w:val="2"/>
            <w:vMerge w:val="restart"/>
            <w:vAlign w:val="center"/>
          </w:tcPr>
          <w:p w14:paraId="12C9798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检查项目</w:t>
            </w:r>
          </w:p>
        </w:tc>
        <w:tc>
          <w:tcPr>
            <w:tcW w:w="682" w:type="dxa"/>
            <w:vMerge w:val="restart"/>
            <w:vAlign w:val="center"/>
          </w:tcPr>
          <w:p w14:paraId="2FB4DF7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压实度</w:t>
            </w:r>
          </w:p>
          <w:p w14:paraId="3DF3C1B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2547" w:type="dxa"/>
            <w:gridSpan w:val="2"/>
            <w:vAlign w:val="center"/>
          </w:tcPr>
          <w:p w14:paraId="4D40EC7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  查  频  率</w:t>
            </w:r>
          </w:p>
        </w:tc>
        <w:tc>
          <w:tcPr>
            <w:tcW w:w="876" w:type="dxa"/>
            <w:vMerge w:val="restart"/>
            <w:vAlign w:val="center"/>
          </w:tcPr>
          <w:p w14:paraId="0BFEE695">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检查方法</w:t>
            </w:r>
          </w:p>
        </w:tc>
      </w:tr>
      <w:tr w14:paraId="0D3C0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18" w:type="dxa"/>
            <w:gridSpan w:val="2"/>
            <w:vMerge w:val="continue"/>
            <w:vAlign w:val="center"/>
          </w:tcPr>
          <w:p w14:paraId="21E327FA">
            <w:pPr>
              <w:pStyle w:val="63"/>
              <w:rPr>
                <w:color w:val="000000" w:themeColor="text1"/>
                <w:highlight w:val="none"/>
                <w14:textFill>
                  <w14:solidFill>
                    <w14:schemeClr w14:val="tx1"/>
                  </w14:solidFill>
                </w14:textFill>
              </w:rPr>
            </w:pPr>
          </w:p>
        </w:tc>
        <w:tc>
          <w:tcPr>
            <w:tcW w:w="682" w:type="dxa"/>
            <w:vMerge w:val="continue"/>
            <w:vAlign w:val="center"/>
          </w:tcPr>
          <w:p w14:paraId="2EB4EC2A">
            <w:pPr>
              <w:pStyle w:val="63"/>
              <w:rPr>
                <w:color w:val="000000" w:themeColor="text1"/>
                <w:highlight w:val="none"/>
                <w14:textFill>
                  <w14:solidFill>
                    <w14:schemeClr w14:val="tx1"/>
                  </w14:solidFill>
                </w14:textFill>
              </w:rPr>
            </w:pPr>
          </w:p>
        </w:tc>
        <w:tc>
          <w:tcPr>
            <w:tcW w:w="1386" w:type="dxa"/>
            <w:vAlign w:val="center"/>
          </w:tcPr>
          <w:p w14:paraId="461C6CF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范围</w:t>
            </w:r>
          </w:p>
        </w:tc>
        <w:tc>
          <w:tcPr>
            <w:tcW w:w="1161" w:type="dxa"/>
            <w:vAlign w:val="center"/>
          </w:tcPr>
          <w:p w14:paraId="230CBE6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组数</w:t>
            </w:r>
          </w:p>
        </w:tc>
        <w:tc>
          <w:tcPr>
            <w:tcW w:w="876" w:type="dxa"/>
            <w:vMerge w:val="continue"/>
            <w:vAlign w:val="center"/>
          </w:tcPr>
          <w:p w14:paraId="5404575D">
            <w:pPr>
              <w:pStyle w:val="63"/>
              <w:rPr>
                <w:color w:val="000000" w:themeColor="text1"/>
                <w:highlight w:val="none"/>
                <w14:textFill>
                  <w14:solidFill>
                    <w14:schemeClr w14:val="tx1"/>
                  </w14:solidFill>
                </w14:textFill>
              </w:rPr>
            </w:pPr>
          </w:p>
        </w:tc>
      </w:tr>
      <w:tr w14:paraId="11767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6" w:type="dxa"/>
            <w:vAlign w:val="center"/>
          </w:tcPr>
          <w:p w14:paraId="72EA664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672" w:type="dxa"/>
            <w:vAlign w:val="center"/>
          </w:tcPr>
          <w:p w14:paraId="700C52AA">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绿化带下</w:t>
            </w:r>
          </w:p>
        </w:tc>
        <w:tc>
          <w:tcPr>
            <w:tcW w:w="682" w:type="dxa"/>
            <w:vAlign w:val="center"/>
          </w:tcPr>
          <w:p w14:paraId="5DA0054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≥90</w:t>
            </w:r>
          </w:p>
        </w:tc>
        <w:tc>
          <w:tcPr>
            <w:tcW w:w="1386" w:type="dxa"/>
            <w:vMerge w:val="restart"/>
            <w:vAlign w:val="center"/>
          </w:tcPr>
          <w:p w14:paraId="0C9ED7CE">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w:t>
            </w:r>
            <w:r>
              <w:rPr>
                <w:rFonts w:hint="eastAsia"/>
                <w:color w:val="000000" w:themeColor="text1"/>
                <w:highlight w:val="none"/>
                <w:lang w:val="en-US" w:eastAsia="zh-CN"/>
                <w14:textFill>
                  <w14:solidFill>
                    <w14:schemeClr w14:val="tx1"/>
                  </w14:solidFill>
                </w14:textFill>
              </w:rPr>
              <w:t>廊</w:t>
            </w:r>
            <w:r>
              <w:rPr>
                <w:color w:val="000000" w:themeColor="text1"/>
                <w:highlight w:val="none"/>
                <w14:textFill>
                  <w14:solidFill>
                    <w14:schemeClr w14:val="tx1"/>
                  </w14:solidFill>
                </w14:textFill>
              </w:rPr>
              <w:t>两侧回填土按50延米/层</w:t>
            </w:r>
          </w:p>
        </w:tc>
        <w:tc>
          <w:tcPr>
            <w:tcW w:w="1161" w:type="dxa"/>
            <w:vAlign w:val="center"/>
          </w:tcPr>
          <w:p w14:paraId="30803FD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1（三点）</w:t>
            </w:r>
          </w:p>
        </w:tc>
        <w:tc>
          <w:tcPr>
            <w:tcW w:w="876" w:type="dxa"/>
            <w:vAlign w:val="center"/>
          </w:tcPr>
          <w:p w14:paraId="66F0AAC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环刀法</w:t>
            </w:r>
          </w:p>
        </w:tc>
      </w:tr>
      <w:tr w14:paraId="5DD41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46" w:type="dxa"/>
            <w:vAlign w:val="center"/>
          </w:tcPr>
          <w:p w14:paraId="1D7BF2B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672" w:type="dxa"/>
            <w:vAlign w:val="center"/>
          </w:tcPr>
          <w:p w14:paraId="108EABE8">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人行道、机动车道下</w:t>
            </w:r>
          </w:p>
        </w:tc>
        <w:tc>
          <w:tcPr>
            <w:tcW w:w="682" w:type="dxa"/>
            <w:vAlign w:val="center"/>
          </w:tcPr>
          <w:p w14:paraId="55D1979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≥95</w:t>
            </w:r>
          </w:p>
        </w:tc>
        <w:tc>
          <w:tcPr>
            <w:tcW w:w="1386" w:type="dxa"/>
            <w:vMerge w:val="continue"/>
            <w:vAlign w:val="center"/>
          </w:tcPr>
          <w:p w14:paraId="6EC24A86">
            <w:pPr>
              <w:pStyle w:val="63"/>
              <w:rPr>
                <w:color w:val="000000" w:themeColor="text1"/>
                <w:highlight w:val="none"/>
                <w14:textFill>
                  <w14:solidFill>
                    <w14:schemeClr w14:val="tx1"/>
                  </w14:solidFill>
                </w14:textFill>
              </w:rPr>
            </w:pPr>
          </w:p>
        </w:tc>
        <w:tc>
          <w:tcPr>
            <w:tcW w:w="1161" w:type="dxa"/>
            <w:vAlign w:val="center"/>
          </w:tcPr>
          <w:p w14:paraId="0A80197C">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1（三点）</w:t>
            </w:r>
          </w:p>
        </w:tc>
        <w:tc>
          <w:tcPr>
            <w:tcW w:w="876" w:type="dxa"/>
            <w:vAlign w:val="center"/>
          </w:tcPr>
          <w:p w14:paraId="75105B85">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环刀法</w:t>
            </w:r>
          </w:p>
        </w:tc>
      </w:tr>
    </w:tbl>
    <w:p w14:paraId="17D1F71C">
      <w:pPr>
        <w:pStyle w:val="5"/>
        <w:rPr>
          <w:highlight w:val="none"/>
        </w:rPr>
      </w:pPr>
      <w:bookmarkStart w:id="109" w:name="_Toc37689775"/>
      <w:bookmarkStart w:id="110" w:name="_Hlk16533512"/>
      <w:r>
        <w:rPr>
          <w:b/>
          <w:highlight w:val="none"/>
        </w:rPr>
        <w:t>10.3.10</w:t>
      </w:r>
      <w:r>
        <w:rPr>
          <w:highlight w:val="none"/>
        </w:rPr>
        <w:t xml:space="preserve">  土石方爆破应符合现行行业标准《建筑施工土石方工程安全技术规范》JGJ 180的相关规定，由专业单位进行施工。</w:t>
      </w:r>
    </w:p>
    <w:p w14:paraId="0F5236EC">
      <w:pPr>
        <w:pStyle w:val="4"/>
        <w:spacing w:before="156" w:after="156"/>
        <w:rPr>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10.4</w:t>
      </w:r>
      <w:r>
        <w:rPr>
          <w:color w:val="000000" w:themeColor="text1"/>
          <w:highlight w:val="none"/>
          <w14:textFill>
            <w14:solidFill>
              <w14:schemeClr w14:val="tx1"/>
            </w14:solidFill>
          </w14:textFill>
        </w:rPr>
        <w:t xml:space="preserve">  现浇结</w:t>
      </w:r>
      <w:r>
        <w:rPr>
          <w:color w:val="000000" w:themeColor="text1"/>
          <w:highlight w:val="none"/>
          <w:u w:val="none"/>
          <w14:textFill>
            <w14:solidFill>
              <w14:schemeClr w14:val="tx1"/>
            </w14:solidFill>
          </w14:textFill>
        </w:rPr>
        <w:t>构</w:t>
      </w:r>
      <w:bookmarkEnd w:id="109"/>
      <w:r>
        <w:rPr>
          <w:rFonts w:hint="eastAsia"/>
          <w:color w:val="auto"/>
          <w:highlight w:val="none"/>
          <w:u w:val="none"/>
        </w:rPr>
        <w:t>施工</w:t>
      </w:r>
    </w:p>
    <w:bookmarkEnd w:id="110"/>
    <w:p w14:paraId="4F8E42F7">
      <w:pPr>
        <w:pStyle w:val="5"/>
        <w:rPr>
          <w:highlight w:val="none"/>
        </w:rPr>
      </w:pPr>
      <w:r>
        <w:rPr>
          <w:b/>
          <w:highlight w:val="none"/>
        </w:rPr>
        <w:t>10.4.1</w:t>
      </w:r>
      <w:r>
        <w:rPr>
          <w:highlight w:val="none"/>
        </w:rPr>
        <w:t xml:space="preserve">  现浇综合管廊的模板和支架均应进行</w:t>
      </w:r>
      <w:r>
        <w:rPr>
          <w:rFonts w:hint="eastAsia"/>
          <w:highlight w:val="none"/>
          <w:u w:val="none"/>
          <w:lang w:val="en-US" w:eastAsia="zh-CN"/>
        </w:rPr>
        <w:t>专项</w:t>
      </w:r>
      <w:r>
        <w:rPr>
          <w:highlight w:val="none"/>
          <w:u w:val="none"/>
        </w:rPr>
        <w:t>设计</w:t>
      </w:r>
      <w:r>
        <w:rPr>
          <w:highlight w:val="none"/>
        </w:rPr>
        <w:t>，应具有足够的强度、刚度和稳定性，应能承受施工过程中产生的各种荷载、抵抗在施工过程中可能发生的震动和偶然撞击，能与混凝土结构或构件的特征、施工条件和浇筑方法相适应，保证结构形状尺寸和相互位置的准确。</w:t>
      </w:r>
    </w:p>
    <w:p w14:paraId="06657AB8">
      <w:pPr>
        <w:pStyle w:val="5"/>
        <w:rPr>
          <w:highlight w:val="none"/>
        </w:rPr>
      </w:pPr>
      <w:r>
        <w:rPr>
          <w:b/>
          <w:highlight w:val="none"/>
        </w:rPr>
        <w:t>10.4.2</w:t>
      </w:r>
      <w:r>
        <w:rPr>
          <w:highlight w:val="none"/>
        </w:rPr>
        <w:t xml:space="preserve">  </w:t>
      </w:r>
      <w:bookmarkStart w:id="111" w:name="_Hlk16533595"/>
      <w:r>
        <w:rPr>
          <w:highlight w:val="none"/>
        </w:rPr>
        <w:t>模板和支架宜选用技术较为先进的移动模架、滑模、铝模、早拆模装置</w:t>
      </w:r>
      <w:bookmarkEnd w:id="111"/>
      <w:r>
        <w:rPr>
          <w:highlight w:val="none"/>
        </w:rPr>
        <w:t>，提升施工效率。</w:t>
      </w:r>
    </w:p>
    <w:p w14:paraId="1E63C3B5">
      <w:pPr>
        <w:pStyle w:val="5"/>
        <w:rPr>
          <w:highlight w:val="none"/>
        </w:rPr>
      </w:pPr>
      <w:r>
        <w:rPr>
          <w:b/>
          <w:highlight w:val="none"/>
        </w:rPr>
        <w:t>10.4.3</w:t>
      </w:r>
      <w:r>
        <w:rPr>
          <w:highlight w:val="none"/>
        </w:rPr>
        <w:t xml:space="preserve">  混凝土浇筑应根据环境条件、浇筑量等制定合理的浇筑工艺方案，对施工缝设置、浇筑顺序、浇筑工具、防裂措施、保护层的控制等作出明确规定。</w:t>
      </w:r>
    </w:p>
    <w:p w14:paraId="15F4D118">
      <w:pPr>
        <w:pStyle w:val="5"/>
        <w:rPr>
          <w:highlight w:val="none"/>
        </w:rPr>
      </w:pPr>
      <w:r>
        <w:rPr>
          <w:b/>
          <w:highlight w:val="none"/>
        </w:rPr>
        <w:t>10.4.4</w:t>
      </w:r>
      <w:r>
        <w:rPr>
          <w:highlight w:val="none"/>
        </w:rPr>
        <w:t xml:space="preserve">  商品混凝土厂家必须随着水泥、砂石材料品种、产地的变化随时调整优化施工配合比，施工单位与商品</w:t>
      </w:r>
      <w:r>
        <w:rPr>
          <w:rFonts w:hint="eastAsia"/>
          <w:highlight w:val="none"/>
        </w:rPr>
        <w:t>混凝土</w:t>
      </w:r>
      <w:r>
        <w:rPr>
          <w:highlight w:val="none"/>
        </w:rPr>
        <w:t>厂家应根据气温条件、运输距离、泵机性能、共同商定塌落度、早期强度、缓凝等要求，调整合理的水灰比，以保证混凝土良好的施工性能，浇筑时不产生缺陷，并及时对已完成的混凝土进行强度评定。</w:t>
      </w:r>
    </w:p>
    <w:p w14:paraId="135B5AF8">
      <w:pPr>
        <w:pStyle w:val="5"/>
        <w:rPr>
          <w:highlight w:val="none"/>
        </w:rPr>
      </w:pPr>
      <w:r>
        <w:rPr>
          <w:b/>
          <w:highlight w:val="none"/>
        </w:rPr>
        <w:t>10.4.5</w:t>
      </w:r>
      <w:r>
        <w:rPr>
          <w:highlight w:val="none"/>
        </w:rPr>
        <w:t xml:space="preserve">  综合管廊结构应按照变形缝的设置分段组织施工。施工前应准确测量，确保变形缝处接缝平顺、缝宽满足设计要求。</w:t>
      </w:r>
    </w:p>
    <w:p w14:paraId="41DAD245">
      <w:pPr>
        <w:pStyle w:val="5"/>
        <w:rPr>
          <w:highlight w:val="none"/>
        </w:rPr>
      </w:pPr>
      <w:r>
        <w:rPr>
          <w:b/>
          <w:highlight w:val="none"/>
        </w:rPr>
        <w:t>10.4.6</w:t>
      </w:r>
      <w:r>
        <w:rPr>
          <w:highlight w:val="none"/>
        </w:rPr>
        <w:t xml:space="preserve">  综合管廊主体结构宜分两次浇筑完成，施工缝设置在底板顶面以上，施工时先浇筑底板及500</w:t>
      </w:r>
      <w:r>
        <w:rPr>
          <w:rFonts w:hint="eastAsia"/>
          <w:highlight w:val="none"/>
        </w:rPr>
        <w:t>mm</w:t>
      </w:r>
      <w:r>
        <w:rPr>
          <w:highlight w:val="none"/>
        </w:rPr>
        <w:t>侧墙，再浇筑剩余的侧墙和顶板；底板或顶板的混凝土应连续浇筑；侧墙混凝土应分层浇筑、分层振捣。</w:t>
      </w:r>
    </w:p>
    <w:p w14:paraId="438662D8">
      <w:pPr>
        <w:pStyle w:val="5"/>
        <w:rPr>
          <w:highlight w:val="none"/>
        </w:rPr>
      </w:pPr>
      <w:r>
        <w:rPr>
          <w:b/>
          <w:highlight w:val="none"/>
        </w:rPr>
        <w:t>10.4.7</w:t>
      </w:r>
      <w:r>
        <w:rPr>
          <w:highlight w:val="none"/>
        </w:rPr>
        <w:t xml:space="preserve">  浇注底板、顶板变形缝处混凝土时，宜分两次浇筑，先将止水带下方混凝土灌注密实，后浇筑止水带上方混凝土，确保止水带下混凝土密实，无气泡，止水带不变形。当采用泵送混凝士浇注时，应避免泵出混凝土直接冲击变形缝位置，确保浇筑过程止水带固定良好。</w:t>
      </w:r>
    </w:p>
    <w:p w14:paraId="02EDD609">
      <w:pPr>
        <w:pStyle w:val="5"/>
        <w:rPr>
          <w:highlight w:val="none"/>
        </w:rPr>
      </w:pPr>
      <w:r>
        <w:rPr>
          <w:b/>
          <w:highlight w:val="none"/>
        </w:rPr>
        <w:t>10.4.8</w:t>
      </w:r>
      <w:r>
        <w:rPr>
          <w:highlight w:val="none"/>
        </w:rPr>
        <w:t xml:space="preserve">  施工缝、变形缝处采用中埋式止水带时，缝端头应用挡头板密封，采用钢筋卡子等固定，以保证其位置对中；止水条、止水带必须密封成环形，其搭接长度不小于100m</w:t>
      </w:r>
      <w:r>
        <w:rPr>
          <w:rFonts w:hint="eastAsia"/>
          <w:highlight w:val="none"/>
        </w:rPr>
        <w:t>m</w:t>
      </w:r>
      <w:r>
        <w:rPr>
          <w:highlight w:val="none"/>
        </w:rPr>
        <w:t>；止水带接头连接要保证连接完好，确保连接牢固，钢板止水带接长应采用双面焊，橡胶止水带接长应采用热硫化焊接；在混凝土浇筑前应检查止水带有无破损，确认无误后方可浇筑。</w:t>
      </w:r>
    </w:p>
    <w:p w14:paraId="297F6899">
      <w:pPr>
        <w:pStyle w:val="5"/>
        <w:rPr>
          <w:highlight w:val="none"/>
        </w:rPr>
      </w:pPr>
      <w:r>
        <w:rPr>
          <w:b/>
          <w:highlight w:val="none"/>
        </w:rPr>
        <w:t>10.4.9</w:t>
      </w:r>
      <w:r>
        <w:rPr>
          <w:highlight w:val="none"/>
        </w:rPr>
        <w:t xml:space="preserve">  变形缝与水平施工缝交叉部位的止水措施应保持50mm间距，并增设遇水膨胀止水条。</w:t>
      </w:r>
    </w:p>
    <w:p w14:paraId="38BD53CE">
      <w:pPr>
        <w:pStyle w:val="5"/>
        <w:rPr>
          <w:highlight w:val="none"/>
        </w:rPr>
      </w:pPr>
      <w:r>
        <w:rPr>
          <w:b/>
          <w:highlight w:val="none"/>
        </w:rPr>
        <w:t>10.4.10</w:t>
      </w:r>
      <w:r>
        <w:rPr>
          <w:highlight w:val="none"/>
        </w:rPr>
        <w:t xml:space="preserve">  施工缝、变形缝处继续浇灌混凝土时，必须清除原混凝土表面的水泥浮浆和松动石子及软弱混凝土层，并充分湿润和冲洗干净，</w:t>
      </w:r>
      <w:r>
        <w:rPr>
          <w:rFonts w:hint="eastAsia"/>
          <w:highlight w:val="none"/>
          <w:u w:val="none"/>
        </w:rPr>
        <w:t>采用高压水枪冲洗，不得残留浮渣，</w:t>
      </w:r>
      <w:r>
        <w:rPr>
          <w:highlight w:val="none"/>
        </w:rPr>
        <w:t>且不得有积水。浇筑前，宜先在施工缝处浇筑一层20mm~30mm厚同成份水泥砂浆。混凝土应细致振捣，使新旧混凝土紧密结合。</w:t>
      </w:r>
    </w:p>
    <w:p w14:paraId="3E67B441">
      <w:pPr>
        <w:pStyle w:val="5"/>
        <w:rPr>
          <w:highlight w:val="none"/>
        </w:rPr>
      </w:pPr>
      <w:r>
        <w:rPr>
          <w:b/>
          <w:highlight w:val="none"/>
        </w:rPr>
        <w:t>10.4.11</w:t>
      </w:r>
      <w:r>
        <w:rPr>
          <w:highlight w:val="none"/>
        </w:rPr>
        <w:t xml:space="preserve">  预埋件和预留孔洞均应对照各专业相关图纸所标定的位置及尺寸事先预埋和预留；所有预埋件在施工时应定位准确，并与钢筋、模板进行可靠固定；预埋件暴露在空气中的部分应按设计要求进行防腐处理，对出现腐蚀现象的预埋件应采取打磨和补刷防腐油漆等措施进行处理。</w:t>
      </w:r>
    </w:p>
    <w:p w14:paraId="56F61182">
      <w:pPr>
        <w:pStyle w:val="5"/>
        <w:rPr>
          <w:highlight w:val="none"/>
        </w:rPr>
      </w:pPr>
      <w:r>
        <w:rPr>
          <w:b/>
          <w:highlight w:val="none"/>
        </w:rPr>
        <w:t>10.4.12</w:t>
      </w:r>
      <w:r>
        <w:rPr>
          <w:highlight w:val="none"/>
        </w:rPr>
        <w:t xml:space="preserve">  穿墙管与金属止水环应四周满焊，焊缝应饱满均匀，采用遇水膨胀止水圈时应固定牢靠。当穿墙管线较多，采用穿墙套管群盒或钢板止水穿墙套管群方法集中出线时，穿墙套管群盒或钢板止水穿墙套管群应与结构钢筋或专用固定架焊接固定；穿墙管（盒）应在混凝土浇筑前就位，并采取措施保证穿墙管的设计位置准确，穿墙管（盒）两端应</w:t>
      </w:r>
      <w:r>
        <w:rPr>
          <w:rFonts w:eastAsia="宋体"/>
          <w:highlight w:val="none"/>
        </w:rPr>
        <w:t>釆</w:t>
      </w:r>
      <w:r>
        <w:rPr>
          <w:highlight w:val="none"/>
        </w:rPr>
        <w:t>用堵头盖子封闭，或用软性物填充严密，混凝土浇筑过程中应防止触碰引起穿墙管（盒）移位。</w:t>
      </w:r>
    </w:p>
    <w:p w14:paraId="3A69A234">
      <w:pPr>
        <w:pStyle w:val="5"/>
        <w:rPr>
          <w:highlight w:val="none"/>
        </w:rPr>
      </w:pPr>
      <w:r>
        <w:rPr>
          <w:b/>
          <w:highlight w:val="none"/>
        </w:rPr>
        <w:t>10.4.13</w:t>
      </w:r>
      <w:r>
        <w:rPr>
          <w:highlight w:val="none"/>
        </w:rPr>
        <w:t xml:space="preserve">  管廊墙体模板固定时应采用带止水片的三节式对拉螺栓，螺杆与止水片须两面施焊、紧密贴合无漏焊不留孔隙，保证后期止水效果。两端锥形接头锥底面与模板板面紧贴，防止漏浆。</w:t>
      </w:r>
    </w:p>
    <w:p w14:paraId="76406932">
      <w:pPr>
        <w:pStyle w:val="5"/>
        <w:rPr>
          <w:highlight w:val="none"/>
        </w:rPr>
      </w:pPr>
      <w:r>
        <w:rPr>
          <w:b/>
          <w:highlight w:val="none"/>
        </w:rPr>
        <w:t>10.4.14</w:t>
      </w:r>
      <w:r>
        <w:rPr>
          <w:highlight w:val="none"/>
        </w:rPr>
        <w:t xml:space="preserve">  管廊现浇混凝土应严格遵守《地下工程防水技术规范》GB 50108和《地下防水工程质量验收规范》GB 50208的相关规定，将施工缝、变形缝、后浇带、穿墙管道口、埋设件、通向地面的各种孔口的接头、集水坑等设置为重要质量管控点，严禁有渗漏。</w:t>
      </w:r>
    </w:p>
    <w:p w14:paraId="547B7B73">
      <w:pPr>
        <w:pStyle w:val="5"/>
        <w:rPr>
          <w:highlight w:val="none"/>
        </w:rPr>
      </w:pPr>
      <w:r>
        <w:rPr>
          <w:b/>
          <w:highlight w:val="none"/>
        </w:rPr>
        <w:t>10.4.15</w:t>
      </w:r>
      <w:r>
        <w:rPr>
          <w:highlight w:val="none"/>
        </w:rPr>
        <w:t xml:space="preserve">  顶板混凝土浇筑后，在混凝土初凝前和终凝前，应分别对外露表面进行抹面处理，初凝抹面后及时用塑料薄膜苫盖，防止水分蒸发，终凝抹面后立即喷雾养护。</w:t>
      </w:r>
      <w:bookmarkStart w:id="112" w:name="_Hlk16533907"/>
      <w:r>
        <w:rPr>
          <w:highlight w:val="none"/>
        </w:rPr>
        <w:t>养护剂不能用以代替水养护。</w:t>
      </w:r>
      <w:bookmarkEnd w:id="112"/>
    </w:p>
    <w:p w14:paraId="073AEE41">
      <w:pPr>
        <w:pStyle w:val="5"/>
        <w:rPr>
          <w:highlight w:val="none"/>
        </w:rPr>
      </w:pPr>
      <w:r>
        <w:rPr>
          <w:b/>
          <w:highlight w:val="none"/>
        </w:rPr>
        <w:t>10.4.16</w:t>
      </w:r>
      <w:r>
        <w:rPr>
          <w:highlight w:val="none"/>
        </w:rPr>
        <w:t xml:space="preserve">  顶板底模拆除时，混凝土强度应符合设计要求及《混凝土结构施工规范》GB 50666的相关规定。</w:t>
      </w:r>
    </w:p>
    <w:p w14:paraId="5813AE29">
      <w:pPr>
        <w:pStyle w:val="5"/>
        <w:rPr>
          <w:highlight w:val="none"/>
        </w:rPr>
      </w:pPr>
      <w:bookmarkStart w:id="113" w:name="_Toc37689776"/>
      <w:r>
        <w:rPr>
          <w:b/>
          <w:highlight w:val="none"/>
        </w:rPr>
        <w:t>10.4.17</w:t>
      </w:r>
      <w:r>
        <w:rPr>
          <w:highlight w:val="none"/>
        </w:rPr>
        <w:t xml:space="preserve">  施工缝处预埋注浆管时，注浆管口应密封，浇筑混凝土时应保护好注浆管。注浆应在混凝土达到设计强度后进行，注浆时应采取措施防止对混凝土结构产生二次污染。</w:t>
      </w:r>
    </w:p>
    <w:p w14:paraId="32A6275F">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t xml:space="preserve">  </w:t>
      </w:r>
      <w:r>
        <w:rPr>
          <w:rFonts w:hint="eastAsia"/>
          <w:color w:val="auto"/>
          <w:highlight w:val="none"/>
          <w:u w:val="none"/>
        </w:rPr>
        <w:t>装配式</w:t>
      </w:r>
      <w:r>
        <w:rPr>
          <w:color w:val="000000" w:themeColor="text1"/>
          <w:highlight w:val="none"/>
          <w:u w:val="none"/>
          <w14:textFill>
            <w14:solidFill>
              <w14:schemeClr w14:val="tx1"/>
            </w14:solidFill>
          </w14:textFill>
        </w:rPr>
        <w:t>结构</w:t>
      </w:r>
      <w:bookmarkEnd w:id="113"/>
      <w:r>
        <w:rPr>
          <w:rFonts w:hint="eastAsia"/>
          <w:color w:val="auto"/>
          <w:highlight w:val="none"/>
          <w:u w:val="none"/>
        </w:rPr>
        <w:t>施工</w:t>
      </w:r>
    </w:p>
    <w:p w14:paraId="36AAC917">
      <w:pPr>
        <w:pStyle w:val="5"/>
        <w:rPr>
          <w:highlight w:val="none"/>
        </w:rPr>
      </w:pPr>
      <w:r>
        <w:rPr>
          <w:b/>
          <w:highlight w:val="none"/>
        </w:rPr>
        <w:t>10.5.1</w:t>
      </w:r>
      <w:r>
        <w:rPr>
          <w:highlight w:val="none"/>
        </w:rPr>
        <w:t xml:space="preserve">  预制构件的生产单位应有保证生产质量要求的生产工艺和设施设备、建立健全的质量管理体系、环境管理体系和职业健康安全管理体系及相应的试验检测手段。构件生产过程中的模具组装、钢筋安装、混凝土浇筑、养护、脱模吊装、表面修补、存储、运输等各工序应制定相应操作规程。</w:t>
      </w:r>
    </w:p>
    <w:p w14:paraId="112CF2CF">
      <w:pPr>
        <w:pStyle w:val="5"/>
        <w:rPr>
          <w:highlight w:val="none"/>
        </w:rPr>
      </w:pPr>
      <w:r>
        <w:rPr>
          <w:b/>
          <w:highlight w:val="none"/>
        </w:rPr>
        <w:t>10.5.2</w:t>
      </w:r>
      <w:r>
        <w:rPr>
          <w:highlight w:val="none"/>
        </w:rPr>
        <w:t xml:space="preserve">  预制拼装钢筋混凝土构件的模板，应采用精加工的钢模板。应满足预制构件质量、生产工艺、模具组装与拆卸、周转次数等要求；应满足预制构件预留孔洞、插筋、预埋件的安装定位要求。</w:t>
      </w:r>
    </w:p>
    <w:p w14:paraId="72F66C7F">
      <w:pPr>
        <w:pStyle w:val="5"/>
        <w:rPr>
          <w:highlight w:val="none"/>
        </w:rPr>
      </w:pPr>
      <w:r>
        <w:rPr>
          <w:b/>
          <w:highlight w:val="none"/>
        </w:rPr>
        <w:t xml:space="preserve">10.5.3 </w:t>
      </w:r>
      <w:r>
        <w:rPr>
          <w:highlight w:val="none"/>
        </w:rPr>
        <w:t xml:space="preserve"> 管廊构件预制时，宜预埋管线支架滑槽，设置插拔方便的槽道保护套。滑槽在模板上安装时，选取合理的固定方式，保证槽口紧贴模板，槽内部应采用可靠措施密封，避免混凝土浇筑时灌入滑槽内，槽口与混凝土内表面光滑平整连接。</w:t>
      </w:r>
    </w:p>
    <w:p w14:paraId="65F77FB2">
      <w:pPr>
        <w:pStyle w:val="5"/>
        <w:rPr>
          <w:highlight w:val="none"/>
        </w:rPr>
      </w:pPr>
      <w:r>
        <w:rPr>
          <w:b/>
          <w:highlight w:val="none"/>
        </w:rPr>
        <w:t xml:space="preserve">10.5.4 </w:t>
      </w:r>
      <w:r>
        <w:rPr>
          <w:highlight w:val="none"/>
        </w:rPr>
        <w:t xml:space="preserve"> 预制拼装综合管廊结构工程施工前应编制专项施工方案，专项施工方案应包括下列内容：</w:t>
      </w:r>
    </w:p>
    <w:p w14:paraId="526D4F93">
      <w:pPr>
        <w:pStyle w:val="42"/>
        <w:overflowPunct w:val="0"/>
        <w:spacing w:line="356"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整体的进度计划，包括：总体施工进度，预制构件生产进度表，预制构件安装进度表</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E9D3451">
      <w:pPr>
        <w:pStyle w:val="42"/>
        <w:overflowPunct w:val="0"/>
        <w:spacing w:line="356"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预制构件运输方案，包括：车辆型号，运输路线，现场装卸方式</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36D7E50">
      <w:pPr>
        <w:pStyle w:val="42"/>
        <w:overflowPunct w:val="0"/>
        <w:spacing w:line="356"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 xml:space="preserve"> 施工场地布置方案，包括：场内通道规划，吊装设备选型及布置，吊装方案，构件堆放位置等</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7578E42">
      <w:pPr>
        <w:pStyle w:val="42"/>
        <w:overflowPunct w:val="0"/>
        <w:spacing w:line="356"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各专项施工方案，包括：构件预制施工方案，构件安装施工方案，节点连接方案，防水施工方案，全过程的成品保护、修补措施等</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0664E8B">
      <w:pPr>
        <w:pStyle w:val="42"/>
        <w:overflowPunct w:val="0"/>
        <w:spacing w:line="356"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安全管理方案，包括：构件安装时的安全措施，各专项施工的重点安全管理事项</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CB1C8C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质量管理方案，包括：构件制造的质量管理，安装阶段的质量管理，各专项施工的质量管理重点</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6D153C7">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 </w:t>
      </w:r>
      <w:r>
        <w:rPr>
          <w:rFonts w:ascii="Times New Roman" w:hAnsi="Times New Roman" w:eastAsia="方正书宋简体" w:cs="Times New Roman"/>
          <w:color w:val="000000" w:themeColor="text1"/>
          <w:highlight w:val="none"/>
          <w14:textFill>
            <w14:solidFill>
              <w14:schemeClr w14:val="tx1"/>
            </w14:solidFill>
          </w14:textFill>
        </w:rPr>
        <w:t xml:space="preserve"> 环境保护措施。</w:t>
      </w:r>
    </w:p>
    <w:p w14:paraId="3A8BB4F6">
      <w:pPr>
        <w:pStyle w:val="5"/>
        <w:rPr>
          <w:highlight w:val="none"/>
        </w:rPr>
      </w:pPr>
      <w:r>
        <w:rPr>
          <w:b/>
          <w:highlight w:val="none"/>
        </w:rPr>
        <w:t>10.5.5</w:t>
      </w:r>
      <w:r>
        <w:rPr>
          <w:highlight w:val="none"/>
        </w:rPr>
        <w:t xml:space="preserve">  预制拼装综合管廊结构工程施工前应按设计要求和施工方案进行必要的施工验算，施工验算应包括以下内容：</w:t>
      </w:r>
    </w:p>
    <w:p w14:paraId="1B982ACA">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预制构件的运输、存放及吊装过程中预制构件与起吊装置的承载力验算</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F8D1B4A">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预制构件安装过程中各种施工临时荷载作用下构件支架系统和临时固定装置的承载力验算。</w:t>
      </w:r>
    </w:p>
    <w:p w14:paraId="43C870D8">
      <w:pPr>
        <w:pStyle w:val="5"/>
        <w:rPr>
          <w:rFonts w:hint="eastAsia"/>
          <w:highlight w:val="none"/>
          <w:u w:val="none"/>
          <w:lang w:val="en-US" w:eastAsia="zh-CN"/>
        </w:rPr>
      </w:pPr>
      <w:r>
        <w:rPr>
          <w:b/>
          <w:highlight w:val="none"/>
          <w:u w:val="none"/>
        </w:rPr>
        <w:t>10.5.6</w:t>
      </w:r>
      <w:r>
        <w:rPr>
          <w:highlight w:val="none"/>
          <w:u w:val="none"/>
        </w:rPr>
        <w:t xml:space="preserve">  </w:t>
      </w:r>
      <w:r>
        <w:rPr>
          <w:rFonts w:hint="eastAsia"/>
          <w:highlight w:val="none"/>
          <w:u w:val="none"/>
          <w:lang w:val="en-US" w:eastAsia="zh-CN"/>
        </w:rPr>
        <w:t>预制综合管廊构件的蒸汽养护应符合下列规定：</w:t>
      </w:r>
    </w:p>
    <w:p w14:paraId="32D762E8">
      <w:pPr>
        <w:pStyle w:val="42"/>
        <w:overflowPunct w:val="0"/>
        <w:spacing w:line="348" w:lineRule="exact"/>
        <w:ind w:firstLine="424"/>
        <w:rPr>
          <w:rFonts w:hint="eastAsia" w:ascii="Times New Roman" w:hAnsi="Times New Roman" w:eastAsia="方正书宋简体" w:cs="Times New Roman"/>
          <w:color w:val="000000" w:themeColor="text1"/>
          <w:highlight w:val="none"/>
          <w:u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蒸汽养护工艺应由预制构件生产厂家根据混凝土强度等级、配合比及构件特性制定专项养护方案</w:t>
      </w:r>
      <w:r>
        <w:rPr>
          <w:rFonts w:hint="eastAsia" w:ascii="Times New Roman" w:hAnsi="Times New Roman" w:eastAsia="方正书宋简体" w:cs="Times New Roman"/>
          <w:color w:val="000000" w:themeColor="text1"/>
          <w:highlight w:val="none"/>
          <w:u w:val="none"/>
          <w:lang w:eastAsia="zh-CN"/>
          <w14:textFill>
            <w14:solidFill>
              <w14:schemeClr w14:val="tx1"/>
            </w14:solidFill>
          </w14:textFill>
        </w:rPr>
        <w:t>；</w:t>
      </w:r>
    </w:p>
    <w:p w14:paraId="2E19F994">
      <w:pPr>
        <w:pStyle w:val="42"/>
        <w:overflowPunct w:val="0"/>
        <w:spacing w:line="348" w:lineRule="exact"/>
        <w:ind w:firstLine="424"/>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养护过程应控制升温速度不大于15℃/h，恒温温度不宜超过60℃，降温速度不大于10℃/h；</w:t>
      </w:r>
    </w:p>
    <w:p w14:paraId="0D005074">
      <w:pPr>
        <w:pStyle w:val="42"/>
        <w:overflowPunct w:val="0"/>
        <w:spacing w:line="348" w:lineRule="exact"/>
        <w:ind w:firstLine="424"/>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3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养护结束时构件表面温度与环境温度差不应超过5℃；</w:t>
      </w:r>
    </w:p>
    <w:p w14:paraId="3F406A26">
      <w:pPr>
        <w:pStyle w:val="42"/>
        <w:overflowPunct w:val="0"/>
        <w:spacing w:line="348" w:lineRule="exact"/>
        <w:ind w:firstLine="424"/>
        <w:rPr>
          <w:rFonts w:hint="default" w:ascii="Times New Roman" w:hAnsi="Times New Roman" w:eastAsia="方正书宋简体" w:cs="Times New Roman"/>
          <w:color w:val="000000" w:themeColor="text1"/>
          <w:highlight w:val="none"/>
          <w:u w:val="singl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厂家应提供完整的养护记录和质量保证文件</w:t>
      </w:r>
      <w:r>
        <w:rPr>
          <w:rFonts w:hint="eastAsia" w:ascii="Times New Roman" w:hAnsi="Times New Roman" w:eastAsia="方正书宋简体" w:cs="Times New Roman"/>
          <w:color w:val="000000" w:themeColor="text1"/>
          <w:highlight w:val="none"/>
          <w:u w:val="none"/>
          <w:lang w:eastAsia="zh-CN"/>
          <w14:textFill>
            <w14:solidFill>
              <w14:schemeClr w14:val="tx1"/>
            </w14:solidFill>
          </w14:textFill>
        </w:rPr>
        <w:t>，确保构件出厂强度满足设计和运输安装要求</w:t>
      </w:r>
      <w:r>
        <w:rPr>
          <w:rFonts w:ascii="Times New Roman" w:hAnsi="Times New Roman" w:eastAsia="方正书宋简体" w:cs="Times New Roman"/>
          <w:color w:val="000000" w:themeColor="text1"/>
          <w:highlight w:val="none"/>
          <w:u w:val="none"/>
          <w14:textFill>
            <w14:solidFill>
              <w14:schemeClr w14:val="tx1"/>
            </w14:solidFill>
          </w14:textFill>
        </w:rPr>
        <w:t>。</w:t>
      </w:r>
    </w:p>
    <w:p w14:paraId="0729D942">
      <w:pPr>
        <w:pStyle w:val="5"/>
        <w:rPr>
          <w:highlight w:val="none"/>
        </w:rPr>
      </w:pPr>
      <w:r>
        <w:rPr>
          <w:b/>
          <w:highlight w:val="none"/>
        </w:rPr>
        <w:t>10.5.7</w:t>
      </w:r>
      <w:r>
        <w:rPr>
          <w:highlight w:val="none"/>
        </w:rPr>
        <w:t xml:space="preserve">  拆模后利用专用吊具吊装，如为立式成型，应经过翻转。翻转应综合考虑管廊尺寸、道路运输跟场地大小等因素，确定好翻转场地为预制厂还是拼装场地。管廊的翻转要采用专用翻转机，保证翻转过程稳定、安全。预制厂翻转完成后吊运至存放台座上，覆盖洒水养护，待强度达到设计值后方可运输。</w:t>
      </w:r>
    </w:p>
    <w:p w14:paraId="081C1525">
      <w:pPr>
        <w:pStyle w:val="5"/>
        <w:rPr>
          <w:highlight w:val="none"/>
        </w:rPr>
      </w:pPr>
      <w:r>
        <w:rPr>
          <w:b/>
          <w:highlight w:val="none"/>
        </w:rPr>
        <w:t>10.5.8</w:t>
      </w:r>
      <w:r>
        <w:rPr>
          <w:highlight w:val="none"/>
        </w:rPr>
        <w:t xml:space="preserve">  预制构件在吊装、运输施工过程中，应符合下列规定：</w:t>
      </w:r>
    </w:p>
    <w:p w14:paraId="4C21C597">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预制构件的混凝土强度应符合设计要求。当设计无具体要求时，出厂运输、装配时预制构件的混凝土同条件立方体抗压强度不宜小于混凝土强度等级值的75%</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64CD7B4">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应根据预制构件形状、尺寸及重量要求选择适宜的吊具，尺寸较大的预制构件应选择设置分配梁或分配桁架的吊具吊装，在吊装过程中，吊索与构件水平夹角不宜小于60°，不应小于45°，并保证吊车主钩位置、吊具及构件重心在垂直方向重合</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5C2FCB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运输宜选用低平板车，并采用专用托架，构件与托架绑扎牢固</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774C1A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预制拼装综合管廊结构工程施工全过程宜对预制构件及其上的预埋件、预埋吊件等釆取施工保护措施，避免出现破损或污染现象。</w:t>
      </w:r>
    </w:p>
    <w:p w14:paraId="32897522">
      <w:pPr>
        <w:pStyle w:val="5"/>
        <w:rPr>
          <w:highlight w:val="none"/>
        </w:rPr>
      </w:pPr>
      <w:r>
        <w:rPr>
          <w:b/>
          <w:highlight w:val="none"/>
        </w:rPr>
        <w:t>10.5.9</w:t>
      </w:r>
      <w:r>
        <w:rPr>
          <w:highlight w:val="none"/>
        </w:rPr>
        <w:t xml:space="preserve">  施工中使用的吊具应符合国家现行相关标准的有关规定。自制、改造修复和新购置的吊具，应按国家现行相关标准的有关规定进行设计验算或试验检验，并经认定合格后方可投入使用</w:t>
      </w:r>
      <w:r>
        <w:rPr>
          <w:rFonts w:hint="eastAsia"/>
          <w:highlight w:val="none"/>
        </w:rPr>
        <w:t>。</w:t>
      </w:r>
    </w:p>
    <w:p w14:paraId="0995B8AE">
      <w:pPr>
        <w:pStyle w:val="5"/>
        <w:rPr>
          <w:highlight w:val="none"/>
        </w:rPr>
      </w:pPr>
      <w:r>
        <w:rPr>
          <w:b/>
          <w:highlight w:val="none"/>
        </w:rPr>
        <w:t>10.5.10</w:t>
      </w:r>
      <w:r>
        <w:rPr>
          <w:highlight w:val="none"/>
        </w:rPr>
        <w:t xml:space="preserve">  预制拼装综合管廊结构正式装配施工前，宜选择有代表性的单元进行预制构件试生产和试安装，根据试验结果及时调整完善施工方案，确定单元施工的循环施工步骤。</w:t>
      </w:r>
    </w:p>
    <w:p w14:paraId="4F4F1ED5">
      <w:pPr>
        <w:pStyle w:val="5"/>
        <w:rPr>
          <w:highlight w:val="none"/>
        </w:rPr>
      </w:pPr>
      <w:r>
        <w:rPr>
          <w:b/>
          <w:highlight w:val="none"/>
        </w:rPr>
        <w:t>10.5.11</w:t>
      </w:r>
      <w:r>
        <w:rPr>
          <w:highlight w:val="none"/>
        </w:rPr>
        <w:t xml:space="preserve">  构件吊装前，应检查构件连接构造详图，包括构件的装配位置、节点连接详细构造及临时支撑设计计算校核等。</w:t>
      </w:r>
    </w:p>
    <w:p w14:paraId="39C6DFED">
      <w:pPr>
        <w:pStyle w:val="5"/>
        <w:rPr>
          <w:highlight w:val="none"/>
        </w:rPr>
      </w:pPr>
      <w:r>
        <w:rPr>
          <w:b/>
          <w:highlight w:val="none"/>
        </w:rPr>
        <w:t>10.5.12</w:t>
      </w:r>
      <w:r>
        <w:rPr>
          <w:highlight w:val="none"/>
        </w:rPr>
        <w:t xml:space="preserve">  吊装设备应满足预制构件吊装重量和作业半径的要求，进场组装调试时其安全性必须符合施工要求。</w:t>
      </w:r>
    </w:p>
    <w:p w14:paraId="2DC275C1">
      <w:pPr>
        <w:pStyle w:val="5"/>
        <w:rPr>
          <w:highlight w:val="none"/>
        </w:rPr>
      </w:pPr>
      <w:r>
        <w:rPr>
          <w:b/>
          <w:highlight w:val="none"/>
        </w:rPr>
        <w:t>10.5.13</w:t>
      </w:r>
      <w:r>
        <w:rPr>
          <w:highlight w:val="none"/>
        </w:rPr>
        <w:t xml:space="preserve">  合理规划构件运输通道和存放场地，设置必要的现场临时存放架，并制定成品保护措施。</w:t>
      </w:r>
    </w:p>
    <w:p w14:paraId="372DEDCC">
      <w:pPr>
        <w:pStyle w:val="5"/>
        <w:rPr>
          <w:highlight w:val="none"/>
        </w:rPr>
      </w:pPr>
      <w:r>
        <w:rPr>
          <w:b/>
          <w:highlight w:val="none"/>
        </w:rPr>
        <w:t>10.5.14</w:t>
      </w:r>
      <w:r>
        <w:rPr>
          <w:highlight w:val="none"/>
        </w:rPr>
        <w:t xml:space="preserve">  预制构件应按施工方案要求的顺序进行吊装，首节段定位后应采取固定措施，其他节段应及时在预制构件和已施工的预制构件或现浇结构间设置临时支撑及临时固定措施。</w:t>
      </w:r>
    </w:p>
    <w:p w14:paraId="3D256BA6">
      <w:pPr>
        <w:pStyle w:val="5"/>
        <w:rPr>
          <w:highlight w:val="none"/>
        </w:rPr>
      </w:pPr>
      <w:r>
        <w:rPr>
          <w:b/>
          <w:highlight w:val="none"/>
        </w:rPr>
        <w:t>10.5.15</w:t>
      </w:r>
      <w:r>
        <w:rPr>
          <w:highlight w:val="none"/>
        </w:rPr>
        <w:t xml:space="preserve">  预制构件应经测量校准定位后再安装与其相邻的构件，需</w:t>
      </w:r>
      <w:r>
        <w:rPr>
          <w:spacing w:val="6"/>
          <w:highlight w:val="none"/>
        </w:rPr>
        <w:t>要传递荷载的构件其连接部位承载应达到设计要求才能拆除支撑结</w:t>
      </w:r>
      <w:r>
        <w:rPr>
          <w:highlight w:val="none"/>
        </w:rPr>
        <w:t>构。</w:t>
      </w:r>
    </w:p>
    <w:p w14:paraId="3C5D7F02">
      <w:pPr>
        <w:pStyle w:val="5"/>
        <w:rPr>
          <w:highlight w:val="none"/>
        </w:rPr>
      </w:pPr>
      <w:r>
        <w:rPr>
          <w:b/>
          <w:highlight w:val="none"/>
        </w:rPr>
        <w:t>10.5.16</w:t>
      </w:r>
      <w:r>
        <w:rPr>
          <w:highlight w:val="none"/>
        </w:rPr>
        <w:t xml:space="preserve">  预制拼装综合管廊结构构件连接或构件与现浇结构连接</w:t>
      </w:r>
      <w:r>
        <w:rPr>
          <w:rFonts w:eastAsia="宋体"/>
          <w:highlight w:val="none"/>
        </w:rPr>
        <w:t>釆</w:t>
      </w:r>
      <w:r>
        <w:rPr>
          <w:highlight w:val="none"/>
        </w:rPr>
        <w:t>用焊接或螺栓连接时应按设计要求或钢结构有关规范要求进行施工检查和质量控制，并做好</w:t>
      </w:r>
      <w:r>
        <w:rPr>
          <w:rFonts w:hint="eastAsia"/>
          <w:highlight w:val="none"/>
        </w:rPr>
        <w:t>外露埋</w:t>
      </w:r>
      <w:r>
        <w:rPr>
          <w:highlight w:val="none"/>
        </w:rPr>
        <w:t>件的防腐和防火处理。</w:t>
      </w:r>
    </w:p>
    <w:p w14:paraId="48E928E6">
      <w:pPr>
        <w:pStyle w:val="5"/>
        <w:rPr>
          <w:highlight w:val="none"/>
        </w:rPr>
      </w:pPr>
      <w:r>
        <w:rPr>
          <w:b/>
          <w:highlight w:val="none"/>
        </w:rPr>
        <w:t>10.5.17</w:t>
      </w:r>
      <w:r>
        <w:rPr>
          <w:highlight w:val="none"/>
        </w:rPr>
        <w:t xml:space="preserve">  预制拼装综合管廊结构施工中后浇接头处的钢筋连接或锚固应满足设计和规范的有关规定。</w:t>
      </w:r>
      <w:r>
        <w:rPr>
          <w:rFonts w:eastAsia="宋体"/>
          <w:highlight w:val="none"/>
        </w:rPr>
        <w:t>釆</w:t>
      </w:r>
      <w:r>
        <w:rPr>
          <w:highlight w:val="none"/>
        </w:rPr>
        <w:t>用焊接连接时应避免由于连续施焊引起预制</w:t>
      </w:r>
      <w:r>
        <w:rPr>
          <w:rFonts w:eastAsia="宋体"/>
          <w:highlight w:val="none"/>
        </w:rPr>
        <w:t>枃</w:t>
      </w:r>
      <w:r>
        <w:rPr>
          <w:highlight w:val="none"/>
        </w:rPr>
        <w:t>件及连接部位开裂。</w:t>
      </w:r>
    </w:p>
    <w:p w14:paraId="43806A00">
      <w:pPr>
        <w:pStyle w:val="5"/>
        <w:rPr>
          <w:highlight w:val="none"/>
        </w:rPr>
      </w:pPr>
      <w:bookmarkStart w:id="114" w:name="_Toc37689777"/>
      <w:r>
        <w:rPr>
          <w:b/>
          <w:highlight w:val="none"/>
        </w:rPr>
        <w:t>10.5.</w:t>
      </w:r>
      <w:r>
        <w:rPr>
          <w:rFonts w:hint="eastAsia"/>
          <w:b/>
          <w:highlight w:val="none"/>
          <w:lang w:val="en-US" w:eastAsia="zh-CN"/>
        </w:rPr>
        <w:t>1</w:t>
      </w:r>
      <w:r>
        <w:rPr>
          <w:b/>
          <w:highlight w:val="none"/>
        </w:rPr>
        <w:t>8</w:t>
      </w:r>
      <w:r>
        <w:rPr>
          <w:highlight w:val="none"/>
        </w:rPr>
        <w:t xml:space="preserve">  </w:t>
      </w:r>
      <w:r>
        <w:rPr>
          <w:rFonts w:hint="eastAsia"/>
          <w:highlight w:val="none"/>
        </w:rPr>
        <w:t>预制管节拼装应符合下列规定：</w:t>
      </w:r>
    </w:p>
    <w:p w14:paraId="1A5D02BD">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14:textFill>
            <w14:solidFill>
              <w14:schemeClr w14:val="tx1"/>
            </w14:solidFill>
          </w14:textFill>
        </w:rPr>
        <w:t>拼装过程中应严格控制管廊轴线、高程和垂直度，第一节管节安装误差不应大于5mm；</w:t>
      </w:r>
    </w:p>
    <w:p w14:paraId="31228863">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14:textFill>
            <w14:solidFill>
              <w14:schemeClr w14:val="tx1"/>
            </w14:solidFill>
          </w14:textFill>
        </w:rPr>
        <w:t>管廊底面与混凝土垫层应紧密接触，空隙处应采用干拌砂浆充实找平；</w:t>
      </w:r>
    </w:p>
    <w:p w14:paraId="09D0B93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14:textFill>
            <w14:solidFill>
              <w14:schemeClr w14:val="tx1"/>
            </w14:solidFill>
          </w14:textFill>
        </w:rPr>
        <w:t>管节对接后接口缝隙不应大于5mm，接口应平齐无错台，接缝宽度应均匀一致；</w:t>
      </w:r>
    </w:p>
    <w:p w14:paraId="095F73A6">
      <w:pPr>
        <w:pStyle w:val="42"/>
        <w:overflowPunct w:val="0"/>
        <w:spacing w:line="348" w:lineRule="exact"/>
        <w:ind w:firstLine="424"/>
        <w:rPr>
          <w:rFonts w:hint="default"/>
          <w:highlight w:val="none"/>
          <w:lang w:val="en-US" w:eastAsia="zh-CN"/>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14:textFill>
            <w14:solidFill>
              <w14:schemeClr w14:val="tx1"/>
            </w14:solidFill>
          </w14:textFill>
        </w:rPr>
        <w:t>管廊顶面高程和侧面平面度应符合设计要求，安装完成后应进行全面检测验收。</w:t>
      </w:r>
    </w:p>
    <w:p w14:paraId="064FCAC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10.6</w:t>
      </w:r>
      <w:r>
        <w:rPr>
          <w:color w:val="000000" w:themeColor="text1"/>
          <w:highlight w:val="none"/>
          <w14:textFill>
            <w14:solidFill>
              <w14:schemeClr w14:val="tx1"/>
            </w14:solidFill>
          </w14:textFill>
        </w:rPr>
        <w:t xml:space="preserve">  预应力工程</w:t>
      </w:r>
      <w:bookmarkEnd w:id="114"/>
    </w:p>
    <w:p w14:paraId="75DC9832">
      <w:pPr>
        <w:pStyle w:val="5"/>
        <w:rPr>
          <w:highlight w:val="none"/>
        </w:rPr>
      </w:pPr>
      <w:r>
        <w:rPr>
          <w:b/>
          <w:highlight w:val="none"/>
        </w:rPr>
        <w:t>10.6.1</w:t>
      </w:r>
      <w:r>
        <w:rPr>
          <w:highlight w:val="none"/>
        </w:rPr>
        <w:t xml:space="preserve">  预应力混凝土用钢丝、钢绞线、螺纹钢筋的性能应符合国家现行有关标准的规定，在运输、存放过程中，应采取防止其损伤、锈蚀或污染的保护措施。进场后的存放时间不超过6个月，且宜存放在干燥、防潮、通风良好的仓库内，在室外存放时，不得直接堆放于地面，应支垫并遮盖，防止雨、露和各种腐蚀性介质对其产生不利影响。</w:t>
      </w:r>
    </w:p>
    <w:p w14:paraId="53243367">
      <w:pPr>
        <w:pStyle w:val="5"/>
        <w:rPr>
          <w:highlight w:val="none"/>
        </w:rPr>
      </w:pPr>
      <w:r>
        <w:rPr>
          <w:b/>
          <w:highlight w:val="none"/>
        </w:rPr>
        <w:t>10.6.2</w:t>
      </w:r>
      <w:r>
        <w:rPr>
          <w:highlight w:val="none"/>
        </w:rPr>
        <w:t xml:space="preserve">  预应力筋的下料长度应经计算确定，</w:t>
      </w:r>
      <w:r>
        <w:rPr>
          <w:rFonts w:hint="eastAsia"/>
          <w:highlight w:val="none"/>
          <w:u w:val="none"/>
        </w:rPr>
        <w:t>需综合考虑结构尺寸、张拉工艺、锚固方式、材料特性及施工变形等因素。</w:t>
      </w:r>
      <w:r>
        <w:rPr>
          <w:highlight w:val="none"/>
        </w:rPr>
        <w:t>下料切割时，应采用砂轮锯或切断机等机械方法切断，不宜采用氧-乙炔焰切割，不得采用电弧切割。应避免近旁焊渣或接地电火花损伤预应力筋。无粘结预应力筋在现场搬运和铺设过程中，不应损伤其塑料护套。当出现轻微破损时，应及时封闭。</w:t>
      </w:r>
    </w:p>
    <w:p w14:paraId="3CD146C8">
      <w:pPr>
        <w:pStyle w:val="5"/>
        <w:rPr>
          <w:highlight w:val="none"/>
        </w:rPr>
      </w:pPr>
      <w:r>
        <w:rPr>
          <w:b/>
          <w:highlight w:val="none"/>
        </w:rPr>
        <w:t>10.6.3</w:t>
      </w:r>
      <w:r>
        <w:rPr>
          <w:highlight w:val="none"/>
        </w:rPr>
        <w:t xml:space="preserve">  预应力张拉时，应采用必要的安全防护措施，防止发生事故。</w:t>
      </w:r>
    </w:p>
    <w:p w14:paraId="218A595B">
      <w:pPr>
        <w:pStyle w:val="5"/>
        <w:rPr>
          <w:highlight w:val="none"/>
        </w:rPr>
      </w:pPr>
      <w:r>
        <w:rPr>
          <w:b/>
          <w:highlight w:val="none"/>
        </w:rPr>
        <w:t>10.6.4</w:t>
      </w:r>
      <w:r>
        <w:rPr>
          <w:highlight w:val="none"/>
        </w:rPr>
        <w:t xml:space="preserve">  预应力筋张拉设备及油压表应定期维护和标定。张拉设备和油压表应配套标定和使用，张拉满6个月、张拉次数达到200次或使用过程中出现反常现象或张拉设备检修后，应重新标定。</w:t>
      </w:r>
    </w:p>
    <w:p w14:paraId="615BC0FE">
      <w:pPr>
        <w:pStyle w:val="5"/>
        <w:rPr>
          <w:highlight w:val="none"/>
        </w:rPr>
      </w:pPr>
      <w:r>
        <w:rPr>
          <w:b/>
          <w:highlight w:val="none"/>
        </w:rPr>
        <w:t>10.6.5</w:t>
      </w:r>
      <w:r>
        <w:rPr>
          <w:highlight w:val="none"/>
        </w:rPr>
        <w:t xml:space="preserve">  施加预应力时，混凝土强度应符合设计要求。当设计无要求时，同条件养护的混凝土立方体抗压强度不应低于设计强度等级值的75％，且不应低于锚具供应商提供的产品技术手册要求的混凝土最低强度要求。</w:t>
      </w:r>
    </w:p>
    <w:p w14:paraId="2199CF69">
      <w:pPr>
        <w:spacing w:line="348" w:lineRule="exact"/>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10.6.</w:t>
      </w:r>
      <w:r>
        <w:rPr>
          <w:rFonts w:hint="eastAsia" w:ascii="Times New Roman" w:hAnsi="Times New Roman" w:eastAsia="方正书宋简体" w:cs="Times New Roman"/>
          <w:b/>
          <w:bCs/>
          <w:color w:val="000000" w:themeColor="text1"/>
          <w:highlight w:val="none"/>
          <w14:textFill>
            <w14:solidFill>
              <w14:schemeClr w14:val="tx1"/>
            </w14:solidFill>
          </w14:textFill>
        </w:rPr>
        <w:t xml:space="preserve">6 </w:t>
      </w:r>
      <w:r>
        <w:rPr>
          <w:rFonts w:hint="eastAsia" w:ascii="Times New Roman" w:hAnsi="Times New Roman" w:eastAsia="方正书宋简体" w:cs="Times New Roman"/>
          <w:bCs/>
          <w:color w:val="000000" w:themeColor="text1"/>
          <w:highlight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预应力张拉</w:t>
      </w:r>
      <w:r>
        <w:rPr>
          <w:rFonts w:hint="eastAsia" w:ascii="Times New Roman" w:hAnsi="Times New Roman" w:eastAsia="方正书宋简体" w:cs="Times New Roman"/>
          <w:bCs/>
          <w:color w:val="000000" w:themeColor="text1"/>
          <w:highlight w:val="none"/>
          <w:u w:val="none"/>
          <w14:textFill>
            <w14:solidFill>
              <w14:schemeClr w14:val="tx1"/>
            </w14:solidFill>
          </w14:textFill>
        </w:rPr>
        <w:t>应采用对称均衡张拉、分级加载、先纵后横、先主后次的原则。</w:t>
      </w:r>
    </w:p>
    <w:p w14:paraId="1BF0E0A9">
      <w:pPr>
        <w:pStyle w:val="5"/>
        <w:rPr>
          <w:highlight w:val="none"/>
        </w:rPr>
      </w:pPr>
      <w:r>
        <w:rPr>
          <w:b/>
          <w:highlight w:val="none"/>
        </w:rPr>
        <w:t>10.6.</w:t>
      </w:r>
      <w:r>
        <w:rPr>
          <w:rFonts w:hint="eastAsia"/>
          <w:b/>
          <w:highlight w:val="none"/>
        </w:rPr>
        <w:t>7</w:t>
      </w:r>
      <w:r>
        <w:rPr>
          <w:highlight w:val="none"/>
        </w:rPr>
        <w:t xml:space="preserve">  预应力张拉控制以应力控制为主，伸长值作为校核的方法。实测伸长值与计算伸长值的偏差不应超过±</w:t>
      </w:r>
      <w:r>
        <w:rPr>
          <w:rFonts w:hint="eastAsia"/>
          <w:highlight w:val="none"/>
          <w:bdr w:val="single" w:color="auto" w:sz="0" w:space="0"/>
        </w:rPr>
        <w:t>6</w:t>
      </w:r>
      <w:r>
        <w:rPr>
          <w:rFonts w:hint="eastAsia"/>
          <w:highlight w:val="none"/>
          <w:u w:val="single"/>
        </w:rPr>
        <w:t>5</w:t>
      </w:r>
      <w:r>
        <w:rPr>
          <w:highlight w:val="none"/>
        </w:rPr>
        <w:t>％，否则应查明原因并采取措施后再张拉。</w:t>
      </w:r>
    </w:p>
    <w:p w14:paraId="0D71C52C">
      <w:pPr>
        <w:pStyle w:val="5"/>
        <w:rPr>
          <w:highlight w:val="none"/>
        </w:rPr>
      </w:pPr>
      <w:r>
        <w:rPr>
          <w:b/>
          <w:highlight w:val="none"/>
        </w:rPr>
        <w:t>10.6.</w:t>
      </w:r>
      <w:r>
        <w:rPr>
          <w:rFonts w:hint="eastAsia"/>
          <w:b/>
          <w:highlight w:val="none"/>
        </w:rPr>
        <w:t>8</w:t>
      </w:r>
      <w:r>
        <w:rPr>
          <w:b/>
          <w:highlight w:val="none"/>
        </w:rPr>
        <w:t xml:space="preserve"> </w:t>
      </w:r>
      <w:r>
        <w:rPr>
          <w:highlight w:val="none"/>
        </w:rPr>
        <w:t xml:space="preserve"> 后张法预应力筋锚固后的外露部分宜采用机械方法切割，也可采用氧—乙炔焰方法切割，其外露长度不宜小于预应力筋直径的1.5倍，且不宜小于30mm。</w:t>
      </w:r>
    </w:p>
    <w:p w14:paraId="512CA6C5">
      <w:pPr>
        <w:pStyle w:val="5"/>
        <w:rPr>
          <w:highlight w:val="none"/>
        </w:rPr>
      </w:pPr>
      <w:r>
        <w:rPr>
          <w:b/>
          <w:highlight w:val="none"/>
        </w:rPr>
        <w:t>10.6.</w:t>
      </w:r>
      <w:r>
        <w:rPr>
          <w:rFonts w:hint="eastAsia"/>
          <w:b/>
          <w:highlight w:val="none"/>
        </w:rPr>
        <w:t>9</w:t>
      </w:r>
      <w:r>
        <w:rPr>
          <w:highlight w:val="none"/>
        </w:rPr>
        <w:t xml:space="preserve">  后张法预应力筋张拉完毕并经检查合格后，应及时进行孔道灌浆。灌浆前锚具外面的预应力筋间隙应用环氧树脂胶浆、无收缩快凝水泥、石膏填塞，以免冒浆而损失压浆压力。灌浆时高处留排气孔，孔道内水泥浆应饱满、密实。</w:t>
      </w:r>
    </w:p>
    <w:p w14:paraId="3EBA51E2">
      <w:pPr>
        <w:pStyle w:val="5"/>
        <w:pBdr>
          <w:top w:val="none" w:color="auto" w:sz="0" w:space="0"/>
          <w:left w:val="none" w:color="auto" w:sz="0" w:space="0"/>
          <w:bottom w:val="none" w:color="auto" w:sz="0" w:space="0"/>
          <w:right w:val="none" w:color="auto" w:sz="0" w:space="0"/>
          <w:between w:val="none" w:color="auto" w:sz="0" w:space="0"/>
        </w:pBdr>
        <w:rPr>
          <w:highlight w:val="none"/>
        </w:rPr>
      </w:pPr>
      <w:bookmarkStart w:id="115" w:name="_Toc37689778"/>
      <w:r>
        <w:rPr>
          <w:b/>
          <w:highlight w:val="none"/>
        </w:rPr>
        <w:t>10.6.</w:t>
      </w:r>
      <w:r>
        <w:rPr>
          <w:rFonts w:hint="eastAsia"/>
          <w:b/>
          <w:highlight w:val="none"/>
        </w:rPr>
        <w:t>10</w:t>
      </w:r>
      <w:r>
        <w:rPr>
          <w:b/>
          <w:highlight w:val="none"/>
        </w:rPr>
        <w:t xml:space="preserve"> </w:t>
      </w:r>
      <w:r>
        <w:rPr>
          <w:highlight w:val="none"/>
        </w:rPr>
        <w:t xml:space="preserve"> 压浆完成后，应及时对锚固端按设计要求进行封闭保护或防腐处理。当设计无要求时，应符合现行国家标准《混凝土结构工程施工质量验收规范》GB 50204的有关规定。</w:t>
      </w:r>
    </w:p>
    <w:bookmarkEnd w:id="115"/>
    <w:p w14:paraId="5E423231">
      <w:pPr>
        <w:pStyle w:val="4"/>
        <w:pBdr>
          <w:top w:val="none" w:color="auto" w:sz="0" w:space="0"/>
          <w:left w:val="none" w:color="auto" w:sz="0" w:space="0"/>
          <w:bottom w:val="none" w:color="auto" w:sz="0" w:space="0"/>
          <w:right w:val="none" w:color="auto" w:sz="0" w:space="0"/>
          <w:between w:val="none" w:color="auto" w:sz="0" w:space="0"/>
        </w:pBdr>
        <w:spacing w:before="156" w:after="156"/>
        <w:rPr>
          <w:b/>
          <w:color w:val="000000" w:themeColor="text1"/>
          <w:highlight w:val="none"/>
          <w14:textFill>
            <w14:solidFill>
              <w14:schemeClr w14:val="tx1"/>
            </w14:solidFill>
          </w14:textFill>
        </w:rPr>
      </w:pPr>
      <w:bookmarkStart w:id="116" w:name="_Toc37689779"/>
      <w:r>
        <w:rPr>
          <w:b/>
          <w:bCs w:val="0"/>
          <w:color w:val="000000" w:themeColor="text1"/>
          <w:highlight w:val="none"/>
          <w14:textFill>
            <w14:solidFill>
              <w14:schemeClr w14:val="tx1"/>
            </w14:solidFill>
          </w14:textFill>
        </w:rPr>
        <w:t>10.</w:t>
      </w:r>
      <w:r>
        <w:rPr>
          <w:rFonts w:hint="eastAsia"/>
          <w:b/>
          <w:bCs w:val="0"/>
          <w:color w:val="000000" w:themeColor="text1"/>
          <w:highlight w:val="none"/>
          <w:u w:val="none"/>
          <w:lang w:val="en-US" w:eastAsia="zh-CN"/>
          <w14:textFill>
            <w14:solidFill>
              <w14:schemeClr w14:val="tx1"/>
            </w14:solidFill>
          </w14:textFill>
        </w:rPr>
        <w:t>7</w:t>
      </w:r>
      <w:bookmarkEnd w:id="116"/>
      <w:r>
        <w:rPr>
          <w:color w:val="000000" w:themeColor="text1"/>
          <w:highlight w:val="none"/>
          <w14:textFill>
            <w14:solidFill>
              <w14:schemeClr w14:val="tx1"/>
            </w14:solidFill>
          </w14:textFill>
        </w:rPr>
        <w:t xml:space="preserve"> 顶 推 施 工</w:t>
      </w:r>
    </w:p>
    <w:p w14:paraId="349CBBA2">
      <w:pPr>
        <w:pStyle w:val="5"/>
        <w:pBdr>
          <w:top w:val="none" w:color="auto" w:sz="0" w:space="0"/>
          <w:left w:val="none" w:color="auto" w:sz="0" w:space="0"/>
          <w:bottom w:val="none" w:color="auto" w:sz="0" w:space="0"/>
          <w:right w:val="none" w:color="auto" w:sz="0" w:space="0"/>
          <w:between w:val="none" w:color="auto" w:sz="0" w:space="0"/>
        </w:pBdr>
        <w:rPr>
          <w:highlight w:val="none"/>
        </w:rPr>
      </w:pPr>
      <w:r>
        <w:rPr>
          <w:b/>
          <w:highlight w:val="none"/>
        </w:rPr>
        <w:t>10.</w:t>
      </w:r>
      <w:r>
        <w:rPr>
          <w:rFonts w:hint="eastAsia"/>
          <w:b/>
          <w:highlight w:val="none"/>
          <w:lang w:val="en-US" w:eastAsia="zh-CN"/>
        </w:rPr>
        <w:t>7</w:t>
      </w:r>
      <w:r>
        <w:rPr>
          <w:b/>
          <w:highlight w:val="none"/>
        </w:rPr>
        <w:t>.1</w:t>
      </w:r>
      <w:r>
        <w:rPr>
          <w:highlight w:val="none"/>
        </w:rPr>
        <w:t xml:space="preserve">  顶推施工前应进行现场调查、制订专项施工技术方案，并应进行下列计算和验算：</w:t>
      </w:r>
    </w:p>
    <w:p w14:paraId="011CB5FF">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工作坑地基的承载能力、边坡稳定性计算，顶推后背承载能力计算。当采用从一侧顶推的方法施工时，应进行管廊上覆土抗推能力计算。对于有沉降限值要求的工程，应进行地基或地面沉降计算</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F5994F9">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采用对拉法、牵引法时，应进行拉杆或拉索等受力构件的强度计算，采用对拉法、对顶法时，应进行管廊上覆土抗隆起承载能力计算</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9422046">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采用井点降水时，应进行水力计算。当实际地基的地质与设计资料不符时，应根据降水后实测的土力学指标，验算管廊顶进过程中的地基承载力。</w:t>
      </w:r>
    </w:p>
    <w:p w14:paraId="57C40F84">
      <w:pPr>
        <w:pStyle w:val="5"/>
        <w:pBdr>
          <w:top w:val="none" w:color="auto" w:sz="0" w:space="0"/>
          <w:left w:val="none" w:color="auto" w:sz="0" w:space="0"/>
          <w:bottom w:val="none" w:color="auto" w:sz="0" w:space="0"/>
          <w:right w:val="none" w:color="auto" w:sz="0" w:space="0"/>
          <w:between w:val="none" w:color="auto" w:sz="0" w:space="0"/>
        </w:pBdr>
        <w:rPr>
          <w:highlight w:val="none"/>
        </w:rPr>
      </w:pPr>
      <w:r>
        <w:rPr>
          <w:b/>
          <w:highlight w:val="none"/>
        </w:rPr>
        <w:t>10.</w:t>
      </w:r>
      <w:r>
        <w:rPr>
          <w:rFonts w:hint="eastAsia"/>
          <w:b/>
          <w:highlight w:val="none"/>
          <w:lang w:val="en-US" w:eastAsia="zh-CN"/>
        </w:rPr>
        <w:t>7</w:t>
      </w:r>
      <w:r>
        <w:rPr>
          <w:b/>
          <w:highlight w:val="none"/>
        </w:rPr>
        <w:t>.2</w:t>
      </w:r>
      <w:r>
        <w:rPr>
          <w:highlight w:val="none"/>
        </w:rPr>
        <w:t xml:space="preserve">  顶进作业应在地下水位降至基底以下0.5m～1.0m后进行，并宜避开雨季施工，必须在雨季施工时应做好防洪及防雨排水工作。</w:t>
      </w:r>
    </w:p>
    <w:p w14:paraId="15C96175">
      <w:pPr>
        <w:pStyle w:val="5"/>
        <w:pBdr>
          <w:top w:val="none" w:color="auto" w:sz="0" w:space="0"/>
          <w:left w:val="none" w:color="auto" w:sz="0" w:space="0"/>
          <w:bottom w:val="none" w:color="auto" w:sz="0" w:space="0"/>
          <w:right w:val="none" w:color="auto" w:sz="0" w:space="0"/>
          <w:between w:val="none" w:color="auto" w:sz="0" w:space="0"/>
        </w:pBdr>
        <w:rPr>
          <w:highlight w:val="none"/>
        </w:rPr>
      </w:pPr>
      <w:r>
        <w:rPr>
          <w:b/>
          <w:highlight w:val="none"/>
        </w:rPr>
        <w:t>10.</w:t>
      </w:r>
      <w:r>
        <w:rPr>
          <w:rFonts w:hint="eastAsia"/>
          <w:b/>
          <w:highlight w:val="none"/>
          <w:lang w:val="en-US" w:eastAsia="zh-CN"/>
        </w:rPr>
        <w:t>7</w:t>
      </w:r>
      <w:r>
        <w:rPr>
          <w:b/>
          <w:highlight w:val="none"/>
        </w:rPr>
        <w:t>.3</w:t>
      </w:r>
      <w:r>
        <w:rPr>
          <w:highlight w:val="none"/>
        </w:rPr>
        <w:t xml:space="preserve">  顶进工作坑及后背的施工应符合下列规定：</w:t>
      </w:r>
    </w:p>
    <w:p w14:paraId="7E28B68B">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工作坑位置应根据现场地形、土质、结构物尺寸及施工需要确定，在保证排水和安全的前提下，工作坑边缘距公路、铁路和其他构筑物应有足够的安全距离</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6D7C682">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管廊顶推的后背，包括后背梁、后背墙和后背填土，必须有足够的强度和稳定性。后背墙可采用桩板式及重力式两种，其强度应满足下列规定：</w:t>
      </w:r>
    </w:p>
    <w:p w14:paraId="2BF03AA7">
      <w:pPr>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738" w:firstLineChars="3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1）顶推前，后背墙应能承受背后填土的水平推力</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2B69861">
      <w:pPr>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738" w:firstLineChars="3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2）顶推时，板桩式后背桩后土的水平抗力应能承受全部千斤顶的顶力；重力式后背墙体自重与土的摩阻力及墙后填土的水平抗力应能共同承担全部千斤顶的顶力</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0421A63">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工作坑滑板与预制管廊底板间应铺设润滑隔离层。滑板中心线与管廊中心线一致。滑板应具有足够的强度、刚度和稳定性，必要时应在滑板上层配置钢筋网，并应防止顶进时滑板开裂。滑板的上表面应平整，减小顶进时的阻力，滑板的底面宜设粗糙面或锚梁，增加抗滑能力。宜将滑板做成前高后低的仰坡，坡度为2‰～5‰，地基承载力较好时取小值，反之取大值。沿顶进方向，在滑板的两侧，距管廊外缘50mm～100mm处设置导向墩，以控制管廊顶入方向。</w:t>
      </w:r>
    </w:p>
    <w:p w14:paraId="782E71A4">
      <w:pPr>
        <w:pStyle w:val="5"/>
        <w:pBdr>
          <w:top w:val="none" w:color="auto" w:sz="0" w:space="0"/>
          <w:left w:val="none" w:color="auto" w:sz="0" w:space="0"/>
          <w:bottom w:val="none" w:color="auto" w:sz="0" w:space="0"/>
          <w:right w:val="none" w:color="auto" w:sz="0" w:space="0"/>
          <w:between w:val="none" w:color="auto" w:sz="0" w:space="0"/>
        </w:pBdr>
        <w:rPr>
          <w:highlight w:val="none"/>
        </w:rPr>
      </w:pPr>
      <w:r>
        <w:rPr>
          <w:b/>
          <w:highlight w:val="none"/>
        </w:rPr>
        <w:t>10.</w:t>
      </w:r>
      <w:r>
        <w:rPr>
          <w:rFonts w:hint="eastAsia"/>
          <w:b/>
          <w:highlight w:val="none"/>
          <w:lang w:val="en-US" w:eastAsia="zh-CN"/>
        </w:rPr>
        <w:t>7</w:t>
      </w:r>
      <w:r>
        <w:rPr>
          <w:b/>
          <w:highlight w:val="none"/>
        </w:rPr>
        <w:t>.4</w:t>
      </w:r>
      <w:r>
        <w:rPr>
          <w:highlight w:val="none"/>
        </w:rPr>
        <w:t xml:space="preserve">  顶进设备及顶推作业应符合下列规定：</w:t>
      </w:r>
    </w:p>
    <w:p w14:paraId="49C9BB1E">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应根据计算的最大顶力确定顶推设备。千斤顶的顶力可按额定顶力的60%～70%计算，并有备用千斤顶</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FFF7401">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顶推前应对管廊主体结构进行质量验收，同时检查顶推设备并做预顶试验。千斤顶应按管廊的中轴线对称布置，顶进的传力设备安装时应与顶力线一致并与横梁垂直。顶程较长时，可在4m～8m处加横梁一道，顶柱与横梁应用螺栓固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03C000F">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顶推挖土时保持刃角有足够的吃土量，挖掘进尺及坡度应视土质情况确定。如设有中平台时，上下两层不得挖通，平台上不</w:t>
      </w:r>
      <w:r>
        <w:rPr>
          <w:rFonts w:ascii="Times New Roman" w:hAnsi="Times New Roman" w:eastAsia="方正书宋简体" w:cs="Times New Roman"/>
          <w:color w:val="000000" w:themeColor="text1"/>
          <w:spacing w:val="-6"/>
          <w:highlight w:val="none"/>
          <w14:textFill>
            <w14:solidFill>
              <w14:schemeClr w14:val="tx1"/>
            </w14:solidFill>
          </w14:textFill>
        </w:rPr>
        <w:t>得积存土方。挖土必须与观测紧密配合，根据偏差随时改变挖土方</w:t>
      </w:r>
      <w:r>
        <w:rPr>
          <w:rFonts w:ascii="Times New Roman" w:hAnsi="Times New Roman" w:eastAsia="方正书宋简体" w:cs="Times New Roman"/>
          <w:color w:val="000000" w:themeColor="text1"/>
          <w:highlight w:val="none"/>
          <w14:textFill>
            <w14:solidFill>
              <w14:schemeClr w14:val="tx1"/>
            </w14:solidFill>
          </w14:textFill>
        </w:rPr>
        <w:t>法。</w:t>
      </w:r>
    </w:p>
    <w:p w14:paraId="63D382DB">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顶推作业应连续进行，不得长期停顿，以防地下水渗出，造成坍塌。出现事故时应立即停止顶进</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E90FD0D">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挖运土方与顶进作业应循环交替进行，严禁同时进行</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146B476">
      <w:pPr>
        <w:pStyle w:val="42"/>
        <w:pBdr>
          <w:top w:val="none" w:color="auto" w:sz="0" w:space="0"/>
          <w:left w:val="none" w:color="auto" w:sz="0" w:space="0"/>
          <w:bottom w:val="none" w:color="auto" w:sz="0" w:space="0"/>
          <w:right w:val="none" w:color="auto" w:sz="0" w:space="0"/>
          <w:between w:val="none" w:color="auto" w:sz="0" w:space="0"/>
        </w:pBdr>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顶推时，对节间接缝及结构物应按设计要求进行防水处理。</w:t>
      </w:r>
    </w:p>
    <w:p w14:paraId="06087648">
      <w:pPr>
        <w:pStyle w:val="4"/>
        <w:spacing w:before="156" w:after="156"/>
        <w:rPr>
          <w:b/>
          <w:color w:val="000000" w:themeColor="text1"/>
          <w:highlight w:val="none"/>
          <w14:textFill>
            <w14:solidFill>
              <w14:schemeClr w14:val="tx1"/>
            </w14:solidFill>
          </w14:textFill>
        </w:rPr>
      </w:pPr>
      <w:bookmarkStart w:id="117" w:name="_Toc37689781"/>
      <w:r>
        <w:rPr>
          <w:b/>
          <w:bCs w:val="0"/>
          <w:color w:val="000000" w:themeColor="text1"/>
          <w:highlight w:val="none"/>
          <w14:textFill>
            <w14:solidFill>
              <w14:schemeClr w14:val="tx1"/>
            </w14:solidFill>
          </w14:textFill>
        </w:rPr>
        <w:t>10.</w:t>
      </w:r>
      <w:r>
        <w:rPr>
          <w:rFonts w:hint="eastAsia"/>
          <w:b/>
          <w:bCs w:val="0"/>
          <w:color w:val="000000" w:themeColor="text1"/>
          <w:highlight w:val="none"/>
          <w:u w:val="none"/>
          <w14:textFill>
            <w14:solidFill>
              <w14:schemeClr w14:val="tx1"/>
            </w14:solidFill>
          </w14:textFill>
        </w:rPr>
        <w:t>8</w:t>
      </w:r>
      <w:r>
        <w:rPr>
          <w:color w:val="000000" w:themeColor="text1"/>
          <w:highlight w:val="none"/>
          <w:u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bookmarkEnd w:id="117"/>
      <w:r>
        <w:rPr>
          <w:color w:val="000000" w:themeColor="text1"/>
          <w:highlight w:val="none"/>
          <w14:textFill>
            <w14:solidFill>
              <w14:schemeClr w14:val="tx1"/>
            </w14:solidFill>
          </w14:textFill>
        </w:rPr>
        <w:t>防 水 施 工</w:t>
      </w:r>
    </w:p>
    <w:p w14:paraId="4AB5E63F">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bookmarkStart w:id="118" w:name="_Toc37689782"/>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1</w:t>
      </w:r>
      <w:r>
        <w:rPr>
          <w:highlight w:val="none"/>
          <w:u w:val="none"/>
        </w:rPr>
        <w:t xml:space="preserve">  </w:t>
      </w:r>
      <w:r>
        <w:rPr>
          <w:rFonts w:hint="eastAsia"/>
          <w:highlight w:val="none"/>
          <w:u w:val="none"/>
        </w:rPr>
        <w:t>综合管廊防水工程应符合下列规定</w:t>
      </w:r>
      <w:r>
        <w:rPr>
          <w:highlight w:val="none"/>
          <w:u w:val="none"/>
        </w:rPr>
        <w:t>：</w:t>
      </w:r>
    </w:p>
    <w:p w14:paraId="35F7BFA0">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防水等级应根据管廊重要性、使用要求和环境条件确定，不应低于二级；</w:t>
      </w:r>
    </w:p>
    <w:p w14:paraId="61B87817">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防水设计应遵循"防、排、截、堵相结合，刚柔相济，因地制宜，综合治理"的原则；</w:t>
      </w:r>
    </w:p>
    <w:p w14:paraId="13407EBB">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防水工程应确保结构安全和使用功能，做到不渗漏、耐久、经济、合理；</w:t>
      </w:r>
    </w:p>
    <w:p w14:paraId="6697B0EF">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防水工程施工应符合现行国家标准《地下工程防水技术规范》GB 50108和《地下防水工程质量验收规范》GB 50208的规定。</w:t>
      </w:r>
    </w:p>
    <w:p w14:paraId="721D7AD8">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2</w:t>
      </w:r>
      <w:r>
        <w:rPr>
          <w:highlight w:val="none"/>
          <w:u w:val="none"/>
        </w:rPr>
        <w:t xml:space="preserve">  </w:t>
      </w:r>
      <w:r>
        <w:rPr>
          <w:rFonts w:hint="eastAsia"/>
          <w:highlight w:val="none"/>
          <w:u w:val="none"/>
        </w:rPr>
        <w:t>结构自防水应符合下列规定：</w:t>
      </w:r>
    </w:p>
    <w:p w14:paraId="11D1EAA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主体结构应采用防水混凝土，强度等级不应低于C35，抗渗等级不应低于P8；</w:t>
      </w:r>
    </w:p>
    <w:p w14:paraId="3965A302">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防水混凝土的施工配合比应通过试验确定，抗渗等级应比设计要求提高一级(0.2MPa)；</w:t>
      </w:r>
    </w:p>
    <w:p w14:paraId="67C64AC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防水混凝土应连续浇筑，分层振捣密实，振捣时间宜为10~30s；</w:t>
      </w:r>
    </w:p>
    <w:p w14:paraId="3B80926D">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防水混凝土终凝后应及时养护，养护时间不应少于14d；</w:t>
      </w:r>
    </w:p>
    <w:p w14:paraId="36C5055D">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5</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防水混凝土的施工缝、变形缝、穿墙管等特殊部位应采取加强防水措施。</w:t>
      </w:r>
    </w:p>
    <w:p w14:paraId="68FCAB91">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3</w:t>
      </w:r>
      <w:r>
        <w:rPr>
          <w:highlight w:val="none"/>
          <w:u w:val="none"/>
        </w:rPr>
        <w:t xml:space="preserve">  </w:t>
      </w:r>
      <w:r>
        <w:rPr>
          <w:rFonts w:hint="eastAsia"/>
          <w:highlight w:val="none"/>
          <w:u w:val="none"/>
        </w:rPr>
        <w:t>外防水应符合下列规定：</w:t>
      </w:r>
    </w:p>
    <w:p w14:paraId="4FD82B32">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底板宜采用预铺式高分子自粘胶膜(HDPE)防水卷材，厚度不应小于1.2mm；</w:t>
      </w:r>
    </w:p>
    <w:p w14:paraId="0B010811">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侧墙可采用自粘聚合物改性沥青防水卷材或PVC防水卷材，厚度不应小于2.0mm；</w:t>
      </w:r>
    </w:p>
    <w:p w14:paraId="5F064803">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顶板应采用耐根穿刺防水卷材，厚度不应小于1.5mm；</w:t>
      </w:r>
    </w:p>
    <w:p w14:paraId="54E389EC">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防水层施工前基层应平整、坚实、干净、无明水，阴阳角应做成圆弧或45°坡角；</w:t>
      </w:r>
    </w:p>
    <w:p w14:paraId="19DDF141">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5</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卷材搭接宽度不应小于80mm，搭接缝应粘结牢固，密封严密；</w:t>
      </w:r>
    </w:p>
    <w:p w14:paraId="5922A5E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default"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6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防水层施工完成后应及时做保护层，保护层厚度不应小于50mm。</w:t>
      </w:r>
    </w:p>
    <w:p w14:paraId="630C76CE">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4</w:t>
      </w:r>
      <w:r>
        <w:rPr>
          <w:highlight w:val="none"/>
          <w:u w:val="none"/>
        </w:rPr>
        <w:t xml:space="preserve">  </w:t>
      </w:r>
      <w:r>
        <w:rPr>
          <w:rFonts w:hint="eastAsia"/>
          <w:highlight w:val="none"/>
          <w:u w:val="none"/>
        </w:rPr>
        <w:t>施工缝防水应符合下列规定：</w:t>
      </w:r>
    </w:p>
    <w:p w14:paraId="2DDDF53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水平施工缝应留在高出底板表面不小于300mm的墙体上；</w:t>
      </w:r>
    </w:p>
    <w:p w14:paraId="043EB37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施工缝应采用中埋式镀锌钢板止水带(厚度≥3mm)，结合遇水膨胀止水胶使用；</w:t>
      </w:r>
    </w:p>
    <w:p w14:paraId="2EA83687">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钢板止水带应位置准确、固定牢固，搭接长度不应小于100mm，搭接处应双面焊接；</w:t>
      </w:r>
    </w:p>
    <w:p w14:paraId="67B568DA">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施工缝表面应凿毛、清理干净，涂刷水泥基渗透结晶型防水涂料后再浇筑混凝土；</w:t>
      </w:r>
    </w:p>
    <w:p w14:paraId="659034DF">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5</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新老混凝土结合处应振捣密实，确保结合紧密。</w:t>
      </w:r>
    </w:p>
    <w:p w14:paraId="265A11CC">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5</w:t>
      </w:r>
      <w:r>
        <w:rPr>
          <w:highlight w:val="none"/>
          <w:u w:val="none"/>
        </w:rPr>
        <w:t xml:space="preserve">  </w:t>
      </w:r>
      <w:r>
        <w:rPr>
          <w:rFonts w:hint="eastAsia"/>
          <w:highlight w:val="none"/>
          <w:u w:val="none"/>
        </w:rPr>
        <w:t>变形缝防水应符合下列规定：</w:t>
      </w:r>
    </w:p>
    <w:p w14:paraId="292F3558">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变形缝应采用中埋式钢边橡胶止水带，结合外贴式止水带和背水面嵌缝密封；</w:t>
      </w:r>
    </w:p>
    <w:p w14:paraId="68B3D3AA">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钢边橡胶止水带应位置准确、固定牢固，钢边应与混凝土紧密结合；</w:t>
      </w:r>
    </w:p>
    <w:p w14:paraId="76E8E85F">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变形缝两侧混凝土应振捣密实，止水带不得被刺破或变位；</w:t>
      </w:r>
    </w:p>
    <w:p w14:paraId="09804036">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缝内应填充泡沫塑料棒，表面采用聚氨酯密封胶嵌缝，嵌缝深度不应小于缝宽的2/3；</w:t>
      </w:r>
    </w:p>
    <w:p w14:paraId="513F3372">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default"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5</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变形缝处的防水层应加强处理，卷材应空铺或点粘。</w:t>
      </w:r>
    </w:p>
    <w:p w14:paraId="77A5EB11">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6</w:t>
      </w:r>
      <w:r>
        <w:rPr>
          <w:highlight w:val="none"/>
          <w:u w:val="none"/>
        </w:rPr>
        <w:t xml:space="preserve">  </w:t>
      </w:r>
      <w:r>
        <w:rPr>
          <w:rFonts w:hint="eastAsia"/>
          <w:highlight w:val="none"/>
          <w:u w:val="none"/>
        </w:rPr>
        <w:t>穿墙管防水应符合下列规定：</w:t>
      </w:r>
    </w:p>
    <w:p w14:paraId="5835A79E">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穿墙管应采用预埋防水套管，套管材质应为镀锌钢管或不锈钢管；</w:t>
      </w:r>
    </w:p>
    <w:p w14:paraId="141DAA53">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套管应加焊止水环，止水环数量不应少于2道，宽度不应小于50mm；</w:t>
      </w:r>
    </w:p>
    <w:p w14:paraId="41BF6D10">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管道与套管之间的缝隙应采用石棉水泥或聚氨酯密封胶填塞密实；</w:t>
      </w:r>
    </w:p>
    <w:p w14:paraId="6597442D">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套管周围混凝土应振捣密实，确保无渗漏；</w:t>
      </w:r>
    </w:p>
    <w:p w14:paraId="64C8DCFB">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5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柔性穿墙管应采用专用防水密封组件，密封件应与管道紧密结合。</w:t>
      </w:r>
    </w:p>
    <w:p w14:paraId="7A71163D">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7</w:t>
      </w:r>
      <w:r>
        <w:rPr>
          <w:highlight w:val="none"/>
          <w:u w:val="none"/>
        </w:rPr>
        <w:t xml:space="preserve">  </w:t>
      </w:r>
      <w:r>
        <w:rPr>
          <w:rFonts w:hint="eastAsia"/>
          <w:highlight w:val="none"/>
          <w:u w:val="none"/>
        </w:rPr>
        <w:t>预埋件防水应符合下列规定：</w:t>
      </w:r>
    </w:p>
    <w:p w14:paraId="2D3AFE6C">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预埋件应加焊止水钢板，止水钢板厚度不应小于5mm，宽度不应小于100mm；</w:t>
      </w:r>
    </w:p>
    <w:p w14:paraId="7130B2AB">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预埋件应位置准确、固定牢固，表面应除锈处理；</w:t>
      </w:r>
    </w:p>
    <w:p w14:paraId="75E21752">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预埋件与混凝土接触面应涂刷界面处理剂，确保结合紧密；</w:t>
      </w:r>
    </w:p>
    <w:p w14:paraId="2B9C0E85">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预埋件周围混凝土应振捣密实，必要时采用微膨胀混凝土；</w:t>
      </w:r>
    </w:p>
    <w:p w14:paraId="047A56CB">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5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外露预埋件应做防腐处理，防腐层应完整、无破损。</w:t>
      </w:r>
    </w:p>
    <w:p w14:paraId="4F29A8BE">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8</w:t>
      </w:r>
      <w:r>
        <w:rPr>
          <w:highlight w:val="none"/>
          <w:u w:val="none"/>
        </w:rPr>
        <w:t xml:space="preserve">  </w:t>
      </w:r>
      <w:r>
        <w:rPr>
          <w:rFonts w:hint="eastAsia"/>
          <w:highlight w:val="none"/>
          <w:u w:val="none"/>
        </w:rPr>
        <w:t>防水工程质量验收应符合下列规定：</w:t>
      </w:r>
    </w:p>
    <w:p w14:paraId="3AD83BD4">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防水工程验收应按现行国家标准《地下防水工程质量验收规范》GB 50208执行；</w:t>
      </w:r>
    </w:p>
    <w:p w14:paraId="3B0B7CF2">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防水层施工完成后应进行外观检查，表面应平整、连续、无破损、空鼓、渗漏；</w:t>
      </w:r>
    </w:p>
    <w:p w14:paraId="076086EA">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防水工程应进行闭水试验，试验时间不应少于24h，观察无渗漏为合格；</w:t>
      </w:r>
    </w:p>
    <w:p w14:paraId="4E09B7E8">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细部构造防水应全数检查，确保符合设计要求；</w:t>
      </w:r>
    </w:p>
    <w:p w14:paraId="35BB122F">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5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验收合格后方可进行下道工序施工，验收记录应完整存档。</w:t>
      </w:r>
    </w:p>
    <w:p w14:paraId="7DD5A3E2">
      <w:pPr>
        <w:pStyle w:val="5"/>
        <w:keepNext w:val="0"/>
        <w:keepLines w:val="0"/>
        <w:pageBreakBefore w:val="0"/>
        <w:widowControl w:val="0"/>
        <w:kinsoku/>
        <w:wordWrap/>
        <w:overflowPunct w:val="0"/>
        <w:topLinePunct w:val="0"/>
        <w:autoSpaceDE/>
        <w:autoSpaceDN/>
        <w:bidi w:val="0"/>
        <w:adjustRightInd/>
        <w:snapToGrid/>
        <w:textAlignment w:val="auto"/>
        <w:rPr>
          <w:highlight w:val="none"/>
          <w:u w:val="none"/>
        </w:rPr>
      </w:pPr>
      <w:r>
        <w:rPr>
          <w:b/>
          <w:highlight w:val="none"/>
          <w:u w:val="none"/>
        </w:rPr>
        <w:t>10.</w:t>
      </w:r>
      <w:r>
        <w:rPr>
          <w:rFonts w:hint="eastAsia"/>
          <w:b/>
          <w:highlight w:val="none"/>
          <w:u w:val="none"/>
          <w:lang w:val="en-US" w:eastAsia="zh-CN"/>
        </w:rPr>
        <w:t>8</w:t>
      </w:r>
      <w:r>
        <w:rPr>
          <w:b/>
          <w:highlight w:val="none"/>
          <w:u w:val="none"/>
        </w:rPr>
        <w:t>.</w:t>
      </w:r>
      <w:r>
        <w:rPr>
          <w:rFonts w:hint="eastAsia"/>
          <w:b/>
          <w:highlight w:val="none"/>
          <w:u w:val="none"/>
          <w:lang w:val="en-US" w:eastAsia="zh-CN"/>
        </w:rPr>
        <w:t>9</w:t>
      </w:r>
      <w:r>
        <w:rPr>
          <w:highlight w:val="none"/>
          <w:u w:val="none"/>
        </w:rPr>
        <w:t xml:space="preserve">  </w:t>
      </w:r>
      <w:r>
        <w:rPr>
          <w:rFonts w:hint="eastAsia"/>
          <w:highlight w:val="none"/>
          <w:u w:val="none"/>
        </w:rPr>
        <w:t>防水工程成品保护应符合下列规定：</w:t>
      </w:r>
    </w:p>
    <w:p w14:paraId="5C00A2C6">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 xml:space="preserve"> 防水层施工完成后应及时采取保护措施，严禁在防水层上堆放重物或尖锐物体；</w:t>
      </w:r>
    </w:p>
    <w:p w14:paraId="2DF44EE9">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后续施工时应避免破坏防水层，如有破损应及时修补并重新验收；</w:t>
      </w:r>
    </w:p>
    <w:p w14:paraId="49FC6DFF">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施工人员应穿软底鞋，严禁在防水层上随意走动；</w:t>
      </w:r>
    </w:p>
    <w:p w14:paraId="696D70D1">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应设置警示标识，明确成品保护责任；</w:t>
      </w:r>
    </w:p>
    <w:p w14:paraId="1ED98A73">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 xml:space="preserve">5 </w:t>
      </w:r>
      <w:r>
        <w:rPr>
          <w:rFonts w:hint="eastAsia" w:ascii="Times New Roman" w:hAnsi="Times New Roman" w:eastAsia="方正书宋简体" w:cs="Times New Roman"/>
          <w:color w:val="000000" w:themeColor="text1"/>
          <w:highlight w:val="none"/>
          <w:u w:val="none"/>
          <w:lang w:val="en-US" w:eastAsia="zh-CN"/>
          <w14:textFill>
            <w14:solidFill>
              <w14:schemeClr w14:val="tx1"/>
            </w14:solidFill>
          </w14:textFill>
        </w:rPr>
        <w:t xml:space="preserve"> 保护层施工应在防水层验收合格后及时进行，保护层施工时应采取保护措施。</w:t>
      </w:r>
    </w:p>
    <w:p w14:paraId="1E11326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w:t>
      </w:r>
      <w:r>
        <w:rPr>
          <w:rFonts w:hint="eastAsia"/>
          <w:b/>
          <w:bCs w:val="0"/>
          <w:color w:val="000000" w:themeColor="text1"/>
          <w:highlight w:val="none"/>
          <w:u w:val="none"/>
          <w14:textFill>
            <w14:solidFill>
              <w14:schemeClr w14:val="tx1"/>
            </w14:solidFill>
          </w14:textFill>
        </w:rPr>
        <w:t>9</w:t>
      </w:r>
      <w:r>
        <w:rPr>
          <w:color w:val="000000" w:themeColor="text1"/>
          <w:highlight w:val="none"/>
          <w:u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bookmarkStart w:id="119" w:name="_Hlk17718788"/>
      <w:r>
        <w:rPr>
          <w:color w:val="000000" w:themeColor="text1"/>
          <w:highlight w:val="none"/>
          <w14:textFill>
            <w14:solidFill>
              <w14:schemeClr w14:val="tx1"/>
            </w14:solidFill>
          </w14:textFill>
        </w:rPr>
        <w:t>施工成品保护</w:t>
      </w:r>
      <w:bookmarkEnd w:id="118"/>
      <w:bookmarkEnd w:id="119"/>
    </w:p>
    <w:p w14:paraId="2C3B403D">
      <w:pPr>
        <w:pStyle w:val="5"/>
        <w:rPr>
          <w:highlight w:val="none"/>
        </w:rPr>
      </w:pPr>
      <w:r>
        <w:rPr>
          <w:b/>
          <w:highlight w:val="none"/>
        </w:rPr>
        <w:t>10.</w:t>
      </w:r>
      <w:r>
        <w:rPr>
          <w:rFonts w:hint="eastAsia"/>
          <w:b/>
          <w:highlight w:val="none"/>
        </w:rPr>
        <w:t>9</w:t>
      </w:r>
      <w:r>
        <w:rPr>
          <w:b/>
          <w:highlight w:val="none"/>
        </w:rPr>
        <w:t>.1</w:t>
      </w:r>
      <w:r>
        <w:rPr>
          <w:highlight w:val="none"/>
        </w:rPr>
        <w:t xml:space="preserve">  综合管廊施工过程中，施工单位应根据施工组织设计和工程进展的不同阶段编制成品保护方案，制订详细合理的工序交接制度，合理安排工序穿插，在对施工班组进行施工技术交底时，要对本分项工程的成品保护工作进行交底，采取护、包、盖、封等措施进行成品保护。</w:t>
      </w:r>
    </w:p>
    <w:p w14:paraId="7FDDF0F9">
      <w:pPr>
        <w:pStyle w:val="5"/>
        <w:rPr>
          <w:highlight w:val="none"/>
        </w:rPr>
      </w:pPr>
      <w:r>
        <w:rPr>
          <w:b/>
          <w:highlight w:val="none"/>
        </w:rPr>
        <w:t>10.</w:t>
      </w:r>
      <w:r>
        <w:rPr>
          <w:rFonts w:hint="eastAsia"/>
          <w:b/>
          <w:highlight w:val="none"/>
        </w:rPr>
        <w:t>9</w:t>
      </w:r>
      <w:r>
        <w:rPr>
          <w:b/>
          <w:highlight w:val="none"/>
        </w:rPr>
        <w:t>.2</w:t>
      </w:r>
      <w:r>
        <w:rPr>
          <w:highlight w:val="none"/>
        </w:rPr>
        <w:t xml:space="preserve">  混凝土浇筑完毕后，拆模时要注意不得碰坏施工企口缝，撞动金属止水带和扯破变形缝橡胶止水带，并且对该部分成品采取有针对性的保护措施。所有较大孔洞口，在拆模后及时用废旧的多层板条做好角部包封，防止撞伤混凝土阳角。</w:t>
      </w:r>
    </w:p>
    <w:p w14:paraId="3F31497A">
      <w:pPr>
        <w:pStyle w:val="5"/>
        <w:rPr>
          <w:highlight w:val="none"/>
        </w:rPr>
      </w:pPr>
      <w:r>
        <w:rPr>
          <w:b/>
          <w:highlight w:val="none"/>
        </w:rPr>
        <w:t>10.</w:t>
      </w:r>
      <w:r>
        <w:rPr>
          <w:rFonts w:hint="eastAsia"/>
          <w:b/>
          <w:highlight w:val="none"/>
        </w:rPr>
        <w:t>9</w:t>
      </w:r>
      <w:r>
        <w:rPr>
          <w:b/>
          <w:highlight w:val="none"/>
        </w:rPr>
        <w:t>.3</w:t>
      </w:r>
      <w:r>
        <w:rPr>
          <w:highlight w:val="none"/>
        </w:rPr>
        <w:t xml:space="preserve">  坑槽回填时，采用素土回填，不得混有石块、碎砖、灰渣及有机杂物、冻土等，应分层回填，夯实应均匀对称进行，并防止损伤保护层和防水层。</w:t>
      </w:r>
    </w:p>
    <w:p w14:paraId="550A1E4E">
      <w:pPr>
        <w:pStyle w:val="5"/>
        <w:rPr>
          <w:highlight w:val="none"/>
        </w:rPr>
      </w:pPr>
      <w:r>
        <w:rPr>
          <w:b/>
          <w:highlight w:val="none"/>
        </w:rPr>
        <w:t>10.</w:t>
      </w:r>
      <w:r>
        <w:rPr>
          <w:rFonts w:hint="eastAsia"/>
          <w:b/>
          <w:highlight w:val="none"/>
        </w:rPr>
        <w:t>9</w:t>
      </w:r>
      <w:r>
        <w:rPr>
          <w:b/>
          <w:highlight w:val="none"/>
        </w:rPr>
        <w:t>.4</w:t>
      </w:r>
      <w:r>
        <w:rPr>
          <w:highlight w:val="none"/>
        </w:rPr>
        <w:t xml:space="preserve">  在</w:t>
      </w:r>
      <w:bookmarkStart w:id="120" w:name="_Hlk17718965"/>
      <w:r>
        <w:rPr>
          <w:highlight w:val="none"/>
        </w:rPr>
        <w:t>先回填后期进行反开挖安装各种</w:t>
      </w:r>
      <w:r>
        <w:rPr>
          <w:rFonts w:eastAsia="宋体"/>
          <w:highlight w:val="none"/>
        </w:rPr>
        <w:t>岀</w:t>
      </w:r>
      <w:r>
        <w:rPr>
          <w:highlight w:val="none"/>
        </w:rPr>
        <w:t>线管</w:t>
      </w:r>
      <w:bookmarkEnd w:id="120"/>
      <w:r>
        <w:rPr>
          <w:highlight w:val="none"/>
        </w:rPr>
        <w:t>的情况下，在后期开挖施工过程中应先人工开挖探明</w:t>
      </w:r>
      <w:r>
        <w:rPr>
          <w:rFonts w:eastAsia="宋体"/>
          <w:highlight w:val="none"/>
        </w:rPr>
        <w:t>岀</w:t>
      </w:r>
      <w:r>
        <w:rPr>
          <w:highlight w:val="none"/>
        </w:rPr>
        <w:t>线管位置方才允许机械开挖，须特别注意对外防水的保护。</w:t>
      </w:r>
    </w:p>
    <w:p w14:paraId="68F4B026">
      <w:pPr>
        <w:pStyle w:val="5"/>
        <w:rPr>
          <w:highlight w:val="none"/>
        </w:rPr>
      </w:pPr>
      <w:r>
        <w:rPr>
          <w:b/>
          <w:highlight w:val="none"/>
        </w:rPr>
        <w:t>10.1</w:t>
      </w:r>
      <w:r>
        <w:rPr>
          <w:rFonts w:hint="eastAsia"/>
          <w:b/>
          <w:highlight w:val="none"/>
        </w:rPr>
        <w:t>0</w:t>
      </w:r>
      <w:r>
        <w:rPr>
          <w:b/>
          <w:highlight w:val="none"/>
        </w:rPr>
        <w:t>.5</w:t>
      </w:r>
      <w:r>
        <w:rPr>
          <w:highlight w:val="none"/>
        </w:rPr>
        <w:t xml:space="preserve">  设备基础验收合格后，应对预埋地脚螺栓或预留地脚螺</w:t>
      </w:r>
      <w:r>
        <w:rPr>
          <w:rFonts w:hint="eastAsia"/>
          <w:highlight w:val="none"/>
          <w:lang w:val="en-US" w:eastAsia="zh-CN"/>
        </w:rPr>
        <w:t>栓</w:t>
      </w:r>
      <w:r>
        <w:rPr>
          <w:highlight w:val="none"/>
        </w:rPr>
        <w:t>孔进行保护。对尚未安装的设备人孔、法兰接口、仪表口等用塑料布（彩条布）封闭，用铁丝绑扎。设备安装后，要用塑料布（彩条布）、木板（石棉瓦）覆盖，以防被污染、破坏，外露的地脚螺栓、螺母等应涂黄油、外套塑料管等加以保护。</w:t>
      </w:r>
    </w:p>
    <w:p w14:paraId="7CDAA3B5">
      <w:pPr>
        <w:pStyle w:val="5"/>
        <w:rPr>
          <w:highlight w:val="none"/>
        </w:rPr>
      </w:pPr>
      <w:r>
        <w:rPr>
          <w:b/>
          <w:highlight w:val="none"/>
        </w:rPr>
        <w:t>10.1</w:t>
      </w:r>
      <w:r>
        <w:rPr>
          <w:rFonts w:hint="eastAsia"/>
          <w:b/>
          <w:highlight w:val="none"/>
        </w:rPr>
        <w:t>0</w:t>
      </w:r>
      <w:r>
        <w:rPr>
          <w:b/>
          <w:highlight w:val="none"/>
        </w:rPr>
        <w:t>.6</w:t>
      </w:r>
      <w:r>
        <w:rPr>
          <w:highlight w:val="none"/>
        </w:rPr>
        <w:t xml:space="preserve">  综合管廊预制构件在运输、存放、安装施工过程中及装配后应做好成品保护，成品保护可</w:t>
      </w:r>
      <w:r>
        <w:rPr>
          <w:rFonts w:eastAsia="宋体"/>
          <w:highlight w:val="none"/>
        </w:rPr>
        <w:t>釆</w:t>
      </w:r>
      <w:r>
        <w:rPr>
          <w:highlight w:val="none"/>
        </w:rPr>
        <w:t>取包、裹、盖、遮等有效措施；预制构件存放处2m范围内不应进行电焊、气焊作业；安装完成的竖向构件宜采用木板或其他覆盖形式进行保护。</w:t>
      </w:r>
    </w:p>
    <w:p w14:paraId="18BB6183">
      <w:pPr>
        <w:pStyle w:val="5"/>
        <w:rPr>
          <w:highlight w:val="none"/>
        </w:rPr>
      </w:pPr>
      <w:r>
        <w:rPr>
          <w:b/>
          <w:highlight w:val="none"/>
        </w:rPr>
        <w:t>10.</w:t>
      </w:r>
      <w:r>
        <w:rPr>
          <w:rFonts w:hint="eastAsia"/>
          <w:b/>
          <w:highlight w:val="none"/>
        </w:rPr>
        <w:t>9</w:t>
      </w:r>
      <w:r>
        <w:rPr>
          <w:b/>
          <w:highlight w:val="none"/>
        </w:rPr>
        <w:t>.7</w:t>
      </w:r>
      <w:r>
        <w:rPr>
          <w:highlight w:val="none"/>
        </w:rPr>
        <w:t xml:space="preserve">  </w:t>
      </w:r>
      <w:bookmarkStart w:id="121" w:name="_Hlk17718912"/>
      <w:r>
        <w:rPr>
          <w:highlight w:val="none"/>
        </w:rPr>
        <w:t>防水层施工后的成品保护</w:t>
      </w:r>
      <w:bookmarkEnd w:id="121"/>
      <w:r>
        <w:rPr>
          <w:highlight w:val="none"/>
        </w:rPr>
        <w:t>应符合下列规定：</w:t>
      </w:r>
    </w:p>
    <w:p w14:paraId="3F55EB47">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冷喷涂防水层施工后应保证成品养护时间不少于24h才能进入下一道工序</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0BAA7E0">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卷材、涂膜表面应尽量避免接触到如钢筋、重型重物、湿混凝土、废机油、电焊屑等的坠落，发现有上述损害时，应及时清理和修复</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E608997">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严禁在防水层上凿孔、打洞或人为重力踩踏和碾压，不得受重物或尖锐物冲击破坏涂层</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C3D4012">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进行砂浆防水保护层施工时的运输工具如推车铁腿和车前沿底部要用废旧胶皮进行防护处理，避免损坏防水层。</w:t>
      </w:r>
    </w:p>
    <w:p w14:paraId="01446012">
      <w:pPr>
        <w:pStyle w:val="4"/>
        <w:spacing w:before="156" w:after="156"/>
        <w:rPr>
          <w:b/>
          <w:color w:val="000000" w:themeColor="text1"/>
          <w:highlight w:val="none"/>
          <w14:textFill>
            <w14:solidFill>
              <w14:schemeClr w14:val="tx1"/>
            </w14:solidFill>
          </w14:textFill>
        </w:rPr>
      </w:pPr>
      <w:bookmarkStart w:id="122" w:name="_Toc37689783"/>
      <w:bookmarkStart w:id="123" w:name="_Hlk17735699"/>
      <w:r>
        <w:rPr>
          <w:b/>
          <w:bCs w:val="0"/>
          <w:color w:val="000000" w:themeColor="text1"/>
          <w:highlight w:val="none"/>
          <w14:textFill>
            <w14:solidFill>
              <w14:schemeClr w14:val="tx1"/>
            </w14:solidFill>
          </w14:textFill>
        </w:rPr>
        <w:t>1</w:t>
      </w:r>
      <w:r>
        <w:rPr>
          <w:b/>
          <w:bCs w:val="0"/>
          <w:color w:val="000000" w:themeColor="text1"/>
          <w:highlight w:val="none"/>
          <w:u w:val="none"/>
          <w14:textFill>
            <w14:solidFill>
              <w14:schemeClr w14:val="tx1"/>
            </w14:solidFill>
          </w14:textFill>
        </w:rPr>
        <w:t>0.</w:t>
      </w:r>
      <w:r>
        <w:rPr>
          <w:rFonts w:hint="eastAsia"/>
          <w:b/>
          <w:bCs w:val="0"/>
          <w:color w:val="000000" w:themeColor="text1"/>
          <w:highlight w:val="none"/>
          <w:u w:val="none"/>
          <w14:textFill>
            <w14:solidFill>
              <w14:schemeClr w14:val="tx1"/>
            </w14:solidFill>
          </w14:textFill>
        </w:rPr>
        <w:t>10</w:t>
      </w:r>
      <w:r>
        <w:rPr>
          <w:color w:val="000000" w:themeColor="text1"/>
          <w:highlight w:val="none"/>
          <w:u w:val="none"/>
          <w14:textFill>
            <w14:solidFill>
              <w14:schemeClr w14:val="tx1"/>
            </w14:solidFill>
          </w14:textFill>
        </w:rPr>
        <w:t xml:space="preserve">  </w:t>
      </w:r>
      <w:bookmarkEnd w:id="122"/>
      <w:r>
        <w:rPr>
          <w:rFonts w:hint="eastAsia"/>
          <w:color w:val="000000" w:themeColor="text1"/>
          <w:highlight w:val="none"/>
          <w:u w:val="none"/>
          <w:lang w:val="en-US" w:eastAsia="zh-CN"/>
          <w14:textFill>
            <w14:solidFill>
              <w14:schemeClr w14:val="tx1"/>
            </w14:solidFill>
          </w14:textFill>
        </w:rPr>
        <w:t>季节性施</w:t>
      </w:r>
      <w:r>
        <w:rPr>
          <w:color w:val="000000" w:themeColor="text1"/>
          <w:highlight w:val="none"/>
          <w:u w:val="none"/>
          <w14:textFill>
            <w14:solidFill>
              <w14:schemeClr w14:val="tx1"/>
            </w14:solidFill>
          </w14:textFill>
        </w:rPr>
        <w:t>工</w:t>
      </w:r>
    </w:p>
    <w:bookmarkEnd w:id="123"/>
    <w:p w14:paraId="4E023C50">
      <w:pPr>
        <w:pStyle w:val="5"/>
        <w:rPr>
          <w:highlight w:val="none"/>
        </w:rPr>
      </w:pPr>
      <w:r>
        <w:rPr>
          <w:b/>
          <w:highlight w:val="none"/>
        </w:rPr>
        <w:t>10.1</w:t>
      </w:r>
      <w:r>
        <w:rPr>
          <w:rFonts w:hint="eastAsia"/>
          <w:b/>
          <w:highlight w:val="none"/>
        </w:rPr>
        <w:t>0</w:t>
      </w:r>
      <w:r>
        <w:rPr>
          <w:b/>
          <w:highlight w:val="none"/>
        </w:rPr>
        <w:t>.1</w:t>
      </w:r>
      <w:r>
        <w:rPr>
          <w:highlight w:val="none"/>
        </w:rPr>
        <w:t xml:space="preserve">  综合管廊施工中应根据当地实际情况，编制冬期、高温和雨期施工措施，应尽量避开高温或雨雪天气。</w:t>
      </w:r>
    </w:p>
    <w:p w14:paraId="0C26C576">
      <w:pPr>
        <w:pStyle w:val="5"/>
        <w:rPr>
          <w:highlight w:val="none"/>
        </w:rPr>
      </w:pPr>
      <w:r>
        <w:rPr>
          <w:b/>
          <w:highlight w:val="none"/>
        </w:rPr>
        <w:t>10.1</w:t>
      </w:r>
      <w:r>
        <w:rPr>
          <w:rFonts w:hint="eastAsia"/>
          <w:b/>
          <w:highlight w:val="none"/>
        </w:rPr>
        <w:t>0</w:t>
      </w:r>
      <w:r>
        <w:rPr>
          <w:b/>
          <w:highlight w:val="none"/>
        </w:rPr>
        <w:t xml:space="preserve">.2 </w:t>
      </w:r>
      <w:r>
        <w:rPr>
          <w:highlight w:val="none"/>
        </w:rPr>
        <w:t xml:space="preserve"> 冬期施工应符合下列规定：</w:t>
      </w:r>
    </w:p>
    <w:p w14:paraId="21EB48DD">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冬期施工混凝土宜采用硅酸盐水泥或普通硅酸盐水泥，混凝土养护应釆用综合蓄热法、蓄热法、暖棚法、掺化学外加剂等方法，不得釆用电热法或蒸汽直接加热法</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68A4769">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用于冬期施工混凝土的粗、细骨料中，不得含有冰雪冻块及其他易冻裂物质</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4F1941C">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混凝土拌合物的出机温度不宜低于10℃，入模温度不应低于5℃，预拌混凝土或远距离运输的混凝土，混凝土拌合站的出机温度可根据距离经热工计算确定，但不宜低于15℃</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A105E7A">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混凝土浇筑后，对裸露表面应采取防风、保湿、保温措施，对边、棱角及易受冻部位应加强保温。在混凝土养护和越冬期间，不得直接对负温混凝土表面浇水养护。</w:t>
      </w:r>
    </w:p>
    <w:p w14:paraId="16407411">
      <w:pPr>
        <w:pStyle w:val="5"/>
        <w:rPr>
          <w:highlight w:val="none"/>
        </w:rPr>
      </w:pPr>
      <w:r>
        <w:rPr>
          <w:b/>
          <w:highlight w:val="none"/>
        </w:rPr>
        <w:t>10.1</w:t>
      </w:r>
      <w:r>
        <w:rPr>
          <w:rFonts w:hint="eastAsia"/>
          <w:b/>
          <w:highlight w:val="none"/>
        </w:rPr>
        <w:t>0</w:t>
      </w:r>
      <w:r>
        <w:rPr>
          <w:b/>
          <w:highlight w:val="none"/>
        </w:rPr>
        <w:t>.</w:t>
      </w:r>
      <w:r>
        <w:rPr>
          <w:rFonts w:hint="eastAsia"/>
          <w:b/>
          <w:highlight w:val="none"/>
          <w:lang w:val="en-US" w:eastAsia="zh-CN"/>
        </w:rPr>
        <w:t>3</w:t>
      </w:r>
      <w:r>
        <w:rPr>
          <w:highlight w:val="none"/>
        </w:rPr>
        <w:t xml:space="preserve">  雨期施工应符合下列规定：</w:t>
      </w:r>
    </w:p>
    <w:p w14:paraId="149F401B">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雨期施工期间，混凝土浇筑前应事先了解天气情况，小雨、中雨不宜进行混凝土露天浇筑，大雨、暴雨天气不应进行混凝土露天浇筑。现场应准备充足的防雨材料（如塑料薄膜等），防雨材料要妥善保管，做到取用方便</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522960A">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暴雨或极端灾害性天气频发的季节，应根据天气情况安排施工，夜间现场应设专人值班</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943963E">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基坑内设置的排水明沟应保持通畅，以便降雨后能及时将雨水排除。坑外应设置截水沟或挡水坝，以防雨水流入基坑内</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9543F1F">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大风、暴雨天气，不宜在综合管廊基槽内部进行施工作业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822EC34">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由于综合管廊结构及基坑呈线型布置，结构内空间贯通，雨期到来前应在已完工的管廊内临时分段砌筑挡水墙，防止雨水灌入已完工的管廊</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D0F9A97">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综合管廊已完工的</w:t>
      </w:r>
      <w:r>
        <w:rPr>
          <w:rFonts w:hint="eastAsia" w:ascii="Times New Roman" w:hAnsi="Times New Roman" w:eastAsia="方正书宋简体" w:cs="Times New Roman"/>
          <w:color w:val="000000" w:themeColor="text1"/>
          <w:highlight w:val="none"/>
          <w:u w:val="none"/>
          <w14:textFill>
            <w14:solidFill>
              <w14:schemeClr w14:val="tx1"/>
            </w14:solidFill>
          </w14:textFill>
        </w:rPr>
        <w:t>吊装</w:t>
      </w:r>
      <w:r>
        <w:rPr>
          <w:rFonts w:ascii="Times New Roman" w:hAnsi="Times New Roman" w:eastAsia="方正书宋简体" w:cs="Times New Roman"/>
          <w:color w:val="000000" w:themeColor="text1"/>
          <w:highlight w:val="none"/>
          <w14:textFill>
            <w14:solidFill>
              <w14:schemeClr w14:val="tx1"/>
            </w14:solidFill>
          </w14:textFill>
        </w:rPr>
        <w:t>口、通风口等部位，应釆用模板或防雨布等遮盖，以防雨水进入管廊内</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9CEFBDC">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具备回填条件的基坑，应在降雨前及时回填，尽量缩短基坑暴露时间。</w:t>
      </w:r>
    </w:p>
    <w:p w14:paraId="6AA08361">
      <w:pPr>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b/>
          <w:bCs/>
          <w:color w:val="000000" w:themeColor="text1"/>
          <w:kern w:val="44"/>
          <w:highlight w:val="none"/>
          <w14:textFill>
            <w14:solidFill>
              <w14:schemeClr w14:val="tx1"/>
            </w14:solidFill>
          </w14:textFill>
        </w:rPr>
        <w:br w:type="page"/>
      </w:r>
    </w:p>
    <w:p w14:paraId="27F0FF94">
      <w:pPr>
        <w:pStyle w:val="2"/>
        <w:rPr>
          <w:color w:val="000000" w:themeColor="text1"/>
          <w:highlight w:val="none"/>
          <w14:textFill>
            <w14:solidFill>
              <w14:schemeClr w14:val="tx1"/>
            </w14:solidFill>
          </w14:textFill>
        </w:rPr>
      </w:pPr>
      <w:bookmarkStart w:id="124" w:name="_Toc37689784"/>
      <w:bookmarkStart w:id="125" w:name="_Hlk17735791"/>
      <w:r>
        <w:rPr>
          <w:color w:val="000000" w:themeColor="text1"/>
          <w:highlight w:val="none"/>
          <w14:textFill>
            <w14:solidFill>
              <w14:schemeClr w14:val="tx1"/>
            </w14:solidFill>
          </w14:textFill>
        </w:rPr>
        <w:t xml:space="preserve">11  </w:t>
      </w:r>
      <w:r>
        <w:rPr>
          <w:b w:val="0"/>
          <w:bCs w:val="0"/>
          <w:color w:val="000000" w:themeColor="text1"/>
          <w:highlight w:val="none"/>
          <w14:textFill>
            <w14:solidFill>
              <w14:schemeClr w14:val="tx1"/>
            </w14:solidFill>
          </w14:textFill>
        </w:rPr>
        <w:t>附属设施施工</w:t>
      </w:r>
      <w:bookmarkEnd w:id="124"/>
    </w:p>
    <w:bookmarkEnd w:id="125"/>
    <w:p w14:paraId="31AB4CB1">
      <w:pPr>
        <w:pStyle w:val="4"/>
        <w:spacing w:before="156" w:after="156"/>
        <w:rPr>
          <w:b/>
          <w:color w:val="000000" w:themeColor="text1"/>
          <w:highlight w:val="none"/>
          <w14:textFill>
            <w14:solidFill>
              <w14:schemeClr w14:val="tx1"/>
            </w14:solidFill>
          </w14:textFill>
        </w:rPr>
      </w:pPr>
      <w:bookmarkStart w:id="126" w:name="_Toc37689785"/>
      <w:r>
        <w:rPr>
          <w:b/>
          <w:bCs w:val="0"/>
          <w:color w:val="000000" w:themeColor="text1"/>
          <w:highlight w:val="none"/>
          <w14:textFill>
            <w14:solidFill>
              <w14:schemeClr w14:val="tx1"/>
            </w14:solidFill>
          </w14:textFill>
        </w:rPr>
        <w:t>11.1</w:t>
      </w:r>
      <w:r>
        <w:rPr>
          <w:color w:val="000000" w:themeColor="text1"/>
          <w:highlight w:val="none"/>
          <w14:textFill>
            <w14:solidFill>
              <w14:schemeClr w14:val="tx1"/>
            </w14:solidFill>
          </w14:textFill>
        </w:rPr>
        <w:t xml:space="preserve">  一 般 规 定</w:t>
      </w:r>
      <w:bookmarkEnd w:id="126"/>
    </w:p>
    <w:p w14:paraId="72C511CD">
      <w:pPr>
        <w:pStyle w:val="5"/>
        <w:rPr>
          <w:highlight w:val="none"/>
        </w:rPr>
      </w:pPr>
      <w:r>
        <w:rPr>
          <w:b/>
          <w:highlight w:val="none"/>
        </w:rPr>
        <w:t>11.1.1</w:t>
      </w:r>
      <w:r>
        <w:rPr>
          <w:highlight w:val="none"/>
        </w:rPr>
        <w:t xml:space="preserve">  综合管廊附属设施工程包括消防系统、通风系统、供电系统、照明系统、综合监控系统、排水系统和标识系统。</w:t>
      </w:r>
    </w:p>
    <w:p w14:paraId="08518E2D">
      <w:pPr>
        <w:pStyle w:val="5"/>
        <w:rPr>
          <w:highlight w:val="none"/>
        </w:rPr>
      </w:pPr>
      <w:r>
        <w:rPr>
          <w:b/>
          <w:highlight w:val="none"/>
        </w:rPr>
        <w:t>11.1.2</w:t>
      </w:r>
      <w:r>
        <w:rPr>
          <w:highlight w:val="none"/>
        </w:rPr>
        <w:t xml:space="preserve">  综合管廊附属设施工程应根据设计文件的要求进行施工。</w:t>
      </w:r>
    </w:p>
    <w:p w14:paraId="74D96549">
      <w:pPr>
        <w:pStyle w:val="5"/>
        <w:rPr>
          <w:highlight w:val="none"/>
        </w:rPr>
      </w:pPr>
      <w:r>
        <w:rPr>
          <w:b/>
          <w:highlight w:val="none"/>
        </w:rPr>
        <w:t>11.1.3</w:t>
      </w:r>
      <w:r>
        <w:rPr>
          <w:highlight w:val="none"/>
        </w:rPr>
        <w:t xml:space="preserve">  在主体结构清理干净并验收合格后才允许进行附属工程的施工。</w:t>
      </w:r>
    </w:p>
    <w:p w14:paraId="7F55F3D3">
      <w:pPr>
        <w:pStyle w:val="5"/>
        <w:rPr>
          <w:highlight w:val="none"/>
        </w:rPr>
      </w:pPr>
      <w:r>
        <w:rPr>
          <w:b/>
          <w:highlight w:val="none"/>
        </w:rPr>
        <w:t>11.1.4</w:t>
      </w:r>
      <w:r>
        <w:rPr>
          <w:highlight w:val="none"/>
        </w:rPr>
        <w:t xml:space="preserve">  综合管廊附属设施工程的安装和实施，应在满足国家相关规范规定的防火、防毒、通风、消防等施工条件下进行。</w:t>
      </w:r>
    </w:p>
    <w:p w14:paraId="6366AB91">
      <w:pPr>
        <w:pStyle w:val="5"/>
        <w:rPr>
          <w:highlight w:val="none"/>
        </w:rPr>
      </w:pPr>
      <w:r>
        <w:rPr>
          <w:b/>
          <w:highlight w:val="none"/>
        </w:rPr>
        <w:t>11.1.5</w:t>
      </w:r>
      <w:r>
        <w:rPr>
          <w:highlight w:val="none"/>
        </w:rPr>
        <w:t xml:space="preserve">  施工前应对结构净空尺寸、柱子和墙面的垂直度、轴线、预埋件及预留孔、槽等进行检查，不符合设计要求的应进行处理。</w:t>
      </w:r>
    </w:p>
    <w:p w14:paraId="1E2C54E4">
      <w:pPr>
        <w:pStyle w:val="5"/>
        <w:rPr>
          <w:highlight w:val="none"/>
        </w:rPr>
      </w:pPr>
      <w:bookmarkStart w:id="127" w:name="_Toc37689786"/>
      <w:r>
        <w:rPr>
          <w:b/>
          <w:highlight w:val="none"/>
        </w:rPr>
        <w:t xml:space="preserve">11.1.6 </w:t>
      </w:r>
      <w:r>
        <w:rPr>
          <w:highlight w:val="none"/>
        </w:rPr>
        <w:t xml:space="preserve"> 管线施工时应采用BIM技术进行机电管线与结构碰撞、管线与管线的碰撞检查，并以三维可视化图形进行技术交底。</w:t>
      </w:r>
    </w:p>
    <w:p w14:paraId="01E8B13B">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11.2</w:t>
      </w:r>
      <w:r>
        <w:rPr>
          <w:color w:val="000000" w:themeColor="text1"/>
          <w:highlight w:val="none"/>
          <w14:textFill>
            <w14:solidFill>
              <w14:schemeClr w14:val="tx1"/>
            </w14:solidFill>
          </w14:textFill>
        </w:rPr>
        <w:t xml:space="preserve">  消 防 系 统</w:t>
      </w:r>
      <w:bookmarkEnd w:id="127"/>
    </w:p>
    <w:p w14:paraId="207A0FEB">
      <w:pPr>
        <w:pStyle w:val="5"/>
        <w:rPr>
          <w:highlight w:val="none"/>
        </w:rPr>
      </w:pPr>
      <w:r>
        <w:rPr>
          <w:b/>
          <w:highlight w:val="none"/>
        </w:rPr>
        <w:t>11.2.1</w:t>
      </w:r>
      <w:r>
        <w:rPr>
          <w:highlight w:val="none"/>
        </w:rPr>
        <w:t xml:space="preserve">  综合管廊消防系统施工应符合现行国家标准《城市综合管廊工程技术</w:t>
      </w:r>
      <w:r>
        <w:rPr>
          <w:highlight w:val="none"/>
          <w:u w:val="none"/>
        </w:rPr>
        <w:t>标准</w:t>
      </w:r>
      <w:r>
        <w:rPr>
          <w:highlight w:val="none"/>
        </w:rPr>
        <w:t>》GB 50838的有关规定。</w:t>
      </w:r>
    </w:p>
    <w:p w14:paraId="17FB4911">
      <w:pPr>
        <w:pStyle w:val="5"/>
        <w:rPr>
          <w:highlight w:val="none"/>
        </w:rPr>
      </w:pPr>
      <w:r>
        <w:rPr>
          <w:b/>
          <w:highlight w:val="none"/>
        </w:rPr>
        <w:t>11.2.2</w:t>
      </w:r>
      <w:r>
        <w:rPr>
          <w:highlight w:val="none"/>
        </w:rPr>
        <w:t xml:space="preserve">  综合管廊的防火门施工应符合现行国家标准《防火卷帘、防火门、防火窗施工及验收规范》GB 50877的有关规定。</w:t>
      </w:r>
    </w:p>
    <w:p w14:paraId="2883E9B9">
      <w:pPr>
        <w:pStyle w:val="5"/>
        <w:rPr>
          <w:highlight w:val="none"/>
        </w:rPr>
      </w:pPr>
      <w:r>
        <w:rPr>
          <w:b/>
          <w:highlight w:val="none"/>
        </w:rPr>
        <w:t xml:space="preserve">11.2.3 </w:t>
      </w:r>
      <w:r>
        <w:rPr>
          <w:highlight w:val="none"/>
        </w:rPr>
        <w:t xml:space="preserve"> 综合管廊的灭火器材施工应符合现行国家标准《建筑灭火器配置验收及检查规范》GA 50444的有关规定。</w:t>
      </w:r>
    </w:p>
    <w:p w14:paraId="20C3CF6D">
      <w:pPr>
        <w:pStyle w:val="5"/>
        <w:rPr>
          <w:highlight w:val="none"/>
        </w:rPr>
      </w:pPr>
      <w:r>
        <w:rPr>
          <w:b/>
          <w:highlight w:val="none"/>
        </w:rPr>
        <w:t xml:space="preserve">11.2.4 </w:t>
      </w:r>
      <w:r>
        <w:rPr>
          <w:highlight w:val="none"/>
        </w:rPr>
        <w:t xml:space="preserve"> 综合管廊内设置的自动灭火系统施工应符合现行国家标准的有关规定。</w:t>
      </w:r>
    </w:p>
    <w:p w14:paraId="4F68D39C">
      <w:pPr>
        <w:pStyle w:val="5"/>
        <w:rPr>
          <w:highlight w:val="none"/>
        </w:rPr>
      </w:pPr>
      <w:r>
        <w:rPr>
          <w:b/>
          <w:highlight w:val="none"/>
        </w:rPr>
        <w:t>11.2.5</w:t>
      </w:r>
      <w:r>
        <w:rPr>
          <w:highlight w:val="none"/>
        </w:rPr>
        <w:t xml:space="preserve">  综合管廊其他消防设施施工应符合相应现行国家、行业、地方标准的有关规定。</w:t>
      </w:r>
    </w:p>
    <w:p w14:paraId="5899EC09">
      <w:pPr>
        <w:pStyle w:val="5"/>
        <w:rPr>
          <w:highlight w:val="none"/>
        </w:rPr>
      </w:pPr>
      <w:bookmarkStart w:id="128" w:name="_Toc37689787"/>
      <w:r>
        <w:rPr>
          <w:b/>
          <w:highlight w:val="none"/>
        </w:rPr>
        <w:t>11.2.6</w:t>
      </w:r>
      <w:r>
        <w:rPr>
          <w:highlight w:val="none"/>
        </w:rPr>
        <w:t xml:space="preserve">  消防设施完工后，必须委托具有消防设施检测资格的单位进行技术测试，并出具检测报告。经政府主管部门验收合格后，方可投入使用。</w:t>
      </w:r>
    </w:p>
    <w:p w14:paraId="22DFF3D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t xml:space="preserve">  通 风 系 统</w:t>
      </w:r>
      <w:bookmarkEnd w:id="128"/>
    </w:p>
    <w:p w14:paraId="1FB9FD54">
      <w:pPr>
        <w:pStyle w:val="5"/>
        <w:rPr>
          <w:highlight w:val="none"/>
        </w:rPr>
      </w:pPr>
      <w:r>
        <w:rPr>
          <w:b/>
          <w:highlight w:val="none"/>
        </w:rPr>
        <w:t>11.3.1</w:t>
      </w:r>
      <w:r>
        <w:rPr>
          <w:highlight w:val="none"/>
        </w:rPr>
        <w:t xml:space="preserve">  通风系统工程中所涉及的风管或风道的施工应符合《通风与空调工程施工规范》GB 50738及《通风与空调工程施工质量验收规范》GB 50243中的有关要求。</w:t>
      </w:r>
    </w:p>
    <w:p w14:paraId="53A19CD8">
      <w:pPr>
        <w:pStyle w:val="5"/>
        <w:rPr>
          <w:highlight w:val="none"/>
        </w:rPr>
      </w:pPr>
      <w:r>
        <w:rPr>
          <w:b/>
          <w:highlight w:val="none"/>
        </w:rPr>
        <w:t>11.3.2</w:t>
      </w:r>
      <w:r>
        <w:rPr>
          <w:highlight w:val="none"/>
        </w:rPr>
        <w:t xml:space="preserve">  金属及非金属风管的材料品种、规格、性能、厚度和连接形式应符合设计和国家规范有关要求。</w:t>
      </w:r>
    </w:p>
    <w:p w14:paraId="5E72DDE3">
      <w:pPr>
        <w:pStyle w:val="5"/>
        <w:rPr>
          <w:highlight w:val="none"/>
        </w:rPr>
      </w:pPr>
      <w:r>
        <w:rPr>
          <w:b/>
          <w:highlight w:val="none"/>
        </w:rPr>
        <w:t>11.3.3</w:t>
      </w:r>
      <w:r>
        <w:rPr>
          <w:highlight w:val="none"/>
        </w:rPr>
        <w:t xml:space="preserve">  综合管廊廊道与通风机、通风管道、通风口等连接应紧密，密封材料、法兰垫料的材质和厚度及施工质量均应符合国家的相关技术标准要求。</w:t>
      </w:r>
    </w:p>
    <w:p w14:paraId="3768806E">
      <w:pPr>
        <w:pStyle w:val="5"/>
        <w:rPr>
          <w:highlight w:val="none"/>
        </w:rPr>
      </w:pPr>
      <w:r>
        <w:rPr>
          <w:b/>
          <w:highlight w:val="none"/>
        </w:rPr>
        <w:t xml:space="preserve">11.3.4 </w:t>
      </w:r>
      <w:r>
        <w:rPr>
          <w:highlight w:val="none"/>
        </w:rPr>
        <w:t xml:space="preserve"> 风管、风道或风亭穿出地面处应设防雨装置，风管、风道或风亭与地面交接处应有防渗水措施。</w:t>
      </w:r>
    </w:p>
    <w:p w14:paraId="1FB8E7B2">
      <w:pPr>
        <w:pStyle w:val="5"/>
        <w:rPr>
          <w:highlight w:val="none"/>
        </w:rPr>
      </w:pPr>
      <w:r>
        <w:rPr>
          <w:b/>
          <w:highlight w:val="none"/>
        </w:rPr>
        <w:t>11.3.5</w:t>
      </w:r>
      <w:r>
        <w:rPr>
          <w:highlight w:val="none"/>
        </w:rPr>
        <w:t xml:space="preserve">  砖、混凝土风道施工时应符合有关国家规范，并应符合下列要求：</w:t>
      </w:r>
    </w:p>
    <w:p w14:paraId="3557533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风道内表面水泥砂浆应抹平整、无裂缝，不渗水；风道在满足通风截面积的情况下，应保证绝对粗糙度小于3mm</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D7D8C81">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风道与金属风管及部件的连接处，应设预埋法兰或安装连接件形式的接口，其位置应准确，连接处应严密</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52C1F0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风道与风机应采用防火柔性风管连接，防火柔性风管连接后，应能充分伸展，伸展度宜大于或等于60%，风管转弯处其截面不得缩小</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DEACF8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混凝土风道的伸缩缝等应符合设计要求，伸缩缝不应渗水和漏风。</w:t>
      </w:r>
    </w:p>
    <w:p w14:paraId="27F3BA4E">
      <w:pPr>
        <w:pStyle w:val="5"/>
        <w:rPr>
          <w:highlight w:val="none"/>
        </w:rPr>
      </w:pPr>
      <w:r>
        <w:rPr>
          <w:b/>
          <w:highlight w:val="none"/>
        </w:rPr>
        <w:t>11.3.6</w:t>
      </w:r>
      <w:r>
        <w:rPr>
          <w:highlight w:val="none"/>
        </w:rPr>
        <w:t xml:space="preserve">  通风系统中风管、风口、风帽、阀类等安装施工工序和质量要求应符合国家的有关技术和质量标准要求，并应符合下列要求：</w:t>
      </w:r>
    </w:p>
    <w:p w14:paraId="191FBC90">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所有风管的加固应满足《通风与空调工程施工质量验收规范》GB 50243相关条文的规定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0B59DEF">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风管安装时应注意风管和配件的可拆卸接口不得装在墙和楼板内，风管的纵向闭合缝必须交错布置，且不得在风管底部，风管安装的水平度允许偏差每米不应大于3mm，总偏差不应大于20mm</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4EB9F6C">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风管与风管法兰间的垫片不应含有石棉及其他有害成分，且应耐油、耐潮、耐酸碱腐蚀，普通风管法兰垫片的工作温度不小于70℃</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0632A6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所有穿越墙及楼板的风管敷设安装后，其孔洞周围采用与墙体耐火等级相同的不燃材料密封</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DF53303">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风管的防腐：普通薄钢板在制作咬接风管前，应预涂刷防锈漆一遍；镀锌钢板对制作中镀锌层破坏处应涂刷环氧富锌漆两道；普通薄钢板风管内外表面各涂防锈漆两遍，外表面涂刷面漆两道</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7D56D3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 </w:t>
      </w:r>
      <w:r>
        <w:rPr>
          <w:rFonts w:ascii="Times New Roman" w:hAnsi="Times New Roman" w:eastAsia="方正书宋简体" w:cs="Times New Roman"/>
          <w:color w:val="000000" w:themeColor="text1"/>
          <w:highlight w:val="none"/>
          <w14:textFill>
            <w14:solidFill>
              <w14:schemeClr w14:val="tx1"/>
            </w14:solidFill>
          </w14:textFill>
        </w:rPr>
        <w:t xml:space="preserve"> 风帽结构应牢固、防雨、耐腐蚀，内外形状应规则、平整</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549305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 </w:t>
      </w:r>
      <w:r>
        <w:rPr>
          <w:rFonts w:ascii="Times New Roman" w:hAnsi="Times New Roman" w:eastAsia="方正书宋简体" w:cs="Times New Roman"/>
          <w:color w:val="000000" w:themeColor="text1"/>
          <w:highlight w:val="none"/>
          <w14:textFill>
            <w14:solidFill>
              <w14:schemeClr w14:val="tx1"/>
            </w14:solidFill>
          </w14:textFill>
        </w:rPr>
        <w:t xml:space="preserve"> 防火阀等消防产品必须选用经当地公安消防部门批准使用的产品，防火阀、排烟阀的制作应符合国家标准《建筑通风和排烟系统用防火阀门》GB 15930的有关规定，并应具有相应的产品合格证明文件</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E3790F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防火阀的安装应严格按防火有关规程及厂家的产品安装指南进行，其气流方向必须与阀体上标志箭头方向一致，执行器应有检修空间，不得被其他管线及墙体阻挡；防火阀离墙距离不得大于200mm，并设有独立的支吊架；在安装防火阀及其他阀体之前，应确保阀体喷涂防锈漆和耐热漆各二遍，涂漆均匀，结合牢固，无漏漆和剥落现象</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5B30E5F">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防爆系统风阀的制作材料应符合设计要求，不得替换。</w:t>
      </w:r>
    </w:p>
    <w:p w14:paraId="3D6CB22B">
      <w:pPr>
        <w:pStyle w:val="5"/>
        <w:rPr>
          <w:highlight w:val="none"/>
        </w:rPr>
      </w:pPr>
      <w:r>
        <w:rPr>
          <w:b/>
          <w:highlight w:val="none"/>
        </w:rPr>
        <w:t xml:space="preserve">11.3.7 </w:t>
      </w:r>
      <w:r>
        <w:rPr>
          <w:highlight w:val="none"/>
        </w:rPr>
        <w:t xml:space="preserve"> 通风系统的风机和配管安装应在产品验收、基础验收、底座验收合格后方可进行，并进行质量检查。风机安装应符合现行国家标准《通风与空调工程施工规范》GB 50738及《风机、压缩机、泵安装工程施工及验收规范》GB 50275中的相关技术标准要求，并应符合下列要求：</w:t>
      </w:r>
    </w:p>
    <w:p w14:paraId="5CCEAB1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风机的性能、技术参数应符合设计要求，出口方向应正确</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D7AD620">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叶轮转子与机壳的组装位置应正确，叶轮进风口插入风机或密封圈的深度，应符合设备技术文件要求或应为叶轮直径的1/100；叶轮旋转应平稳，每次停转后不应停留在同一位置上</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B6B48B0">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轴流风机的叶轮与筒体之间的间隙应均匀，安装水平偏差和垂直偏差均不应大于1‰</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DE107E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落地和悬挂安装时，均应按设计要求设置减振器，减振器应符合设计及产品技术文件的要求，安装位置应正确，各个减振器承受荷载的压缩量应均匀一致，偏差应小于2mm。</w:t>
      </w:r>
    </w:p>
    <w:p w14:paraId="0B693F1C">
      <w:pPr>
        <w:pStyle w:val="5"/>
        <w:rPr>
          <w:highlight w:val="none"/>
        </w:rPr>
      </w:pPr>
      <w:r>
        <w:rPr>
          <w:b/>
          <w:highlight w:val="none"/>
        </w:rPr>
        <w:t xml:space="preserve">11.3.8 </w:t>
      </w:r>
      <w:r>
        <w:rPr>
          <w:highlight w:val="none"/>
        </w:rPr>
        <w:t xml:space="preserve"> 风管及设备的支吊架安装施工应符合国家的有关技术和质量标准要求，并应符合下列要求：</w:t>
      </w:r>
    </w:p>
    <w:p w14:paraId="5C2A496E">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风管吊架的构造形式由安装单位在确保安全可靠的原则下，根据现场情况，参考国标图集《风管支吊架》03K 132选定</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3B4F49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设备及风管的支吊架应采用膨胀螺栓固定在构筑物上，施工中采用的膨胀螺栓应根据其能承受的负荷认真选用，风管吊杆应按照</w:t>
      </w:r>
      <w:r>
        <w:rPr>
          <w:rFonts w:hint="eastAsia" w:ascii="Times New Roman" w:hAnsi="Times New Roman" w:eastAsia="方正书宋简体" w:cs="Times New Roman"/>
          <w:color w:val="000000" w:themeColor="text1"/>
          <w:highlight w:val="none"/>
          <w:u w:val="none"/>
          <w14:textFill>
            <w14:solidFill>
              <w14:schemeClr w14:val="tx1"/>
            </w14:solidFill>
          </w14:textFill>
        </w:rPr>
        <w:t>《通风与空调工程施工规范》</w:t>
      </w:r>
      <w:r>
        <w:rPr>
          <w:rFonts w:ascii="Times New Roman" w:hAnsi="Times New Roman" w:eastAsia="方正书宋简体" w:cs="Times New Roman"/>
          <w:color w:val="000000" w:themeColor="text1"/>
          <w:highlight w:val="none"/>
          <w14:textFill>
            <w14:solidFill>
              <w14:schemeClr w14:val="tx1"/>
            </w14:solidFill>
          </w14:textFill>
        </w:rPr>
        <w:t>GB 50738选用</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0720A7BA">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风管支吊架间距应满足规范及设计要求</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F7E506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风管及设备的支吊架均应做热镀锌处理后安装，固定用螺栓、螺丝等辅助材料均采用热镀锌。</w:t>
      </w:r>
    </w:p>
    <w:p w14:paraId="22B52079">
      <w:pPr>
        <w:pStyle w:val="5"/>
        <w:rPr>
          <w:highlight w:val="none"/>
        </w:rPr>
      </w:pPr>
      <w:bookmarkStart w:id="129" w:name="_Toc37689788"/>
      <w:r>
        <w:rPr>
          <w:b/>
          <w:highlight w:val="none"/>
        </w:rPr>
        <w:t>11.3.9</w:t>
      </w:r>
      <w:r>
        <w:rPr>
          <w:highlight w:val="none"/>
        </w:rPr>
        <w:t xml:space="preserve">  通风系统工程施工完毕，应按照图纸和有关规范要求进行调试。</w:t>
      </w:r>
    </w:p>
    <w:p w14:paraId="360C80EC">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t xml:space="preserve">  供 电 系 统</w:t>
      </w:r>
      <w:bookmarkEnd w:id="129"/>
    </w:p>
    <w:p w14:paraId="24546FCA">
      <w:pPr>
        <w:pStyle w:val="5"/>
        <w:rPr>
          <w:highlight w:val="none"/>
        </w:rPr>
      </w:pPr>
      <w:r>
        <w:rPr>
          <w:b/>
          <w:highlight w:val="none"/>
        </w:rPr>
        <w:t>11.4.1</w:t>
      </w:r>
      <w:r>
        <w:rPr>
          <w:highlight w:val="none"/>
        </w:rPr>
        <w:t xml:space="preserve">  综合管廊内电气设备、配电线路、照明设备及风机、水泵等用电负荷设备的型号、规格应符合设计文件的规定。</w:t>
      </w:r>
    </w:p>
    <w:p w14:paraId="30A5564F">
      <w:pPr>
        <w:pStyle w:val="5"/>
        <w:rPr>
          <w:highlight w:val="none"/>
        </w:rPr>
      </w:pPr>
      <w:r>
        <w:rPr>
          <w:b/>
          <w:highlight w:val="none"/>
        </w:rPr>
        <w:t>11.4.2</w:t>
      </w:r>
      <w:r>
        <w:rPr>
          <w:highlight w:val="none"/>
        </w:rPr>
        <w:t xml:space="preserve">  供电系统所用电缆支架、桥架的内外表面应平整、内部应光滑、无毛刺，尺寸应准确，配件齐全。</w:t>
      </w:r>
    </w:p>
    <w:p w14:paraId="09C7E418">
      <w:pPr>
        <w:pStyle w:val="5"/>
        <w:rPr>
          <w:highlight w:val="none"/>
        </w:rPr>
      </w:pPr>
      <w:r>
        <w:rPr>
          <w:b/>
          <w:highlight w:val="none"/>
        </w:rPr>
        <w:t>11.4.3</w:t>
      </w:r>
      <w:r>
        <w:rPr>
          <w:highlight w:val="none"/>
        </w:rPr>
        <w:t xml:space="preserve">  电缆桥架之间、桥架与电气设备之间、桥架与盖板之间连接处，应结合严密。电缆桥架在通过不同区域的分隔间时，在分隔间处还必须做好充填密封。</w:t>
      </w:r>
    </w:p>
    <w:p w14:paraId="2D0752C4">
      <w:pPr>
        <w:pStyle w:val="5"/>
        <w:rPr>
          <w:highlight w:val="none"/>
        </w:rPr>
      </w:pPr>
      <w:r>
        <w:rPr>
          <w:b/>
          <w:highlight w:val="none"/>
        </w:rPr>
        <w:t>11.4.4</w:t>
      </w:r>
      <w:r>
        <w:rPr>
          <w:highlight w:val="none"/>
        </w:rPr>
        <w:t xml:space="preserve">  管廊内电气设备、接地装置施工安装及验收应符合现行国家标准《建筑电气工程施工质量验收规范》GB 50303、《电气装置安装工程接地装置施工及验收规范》GB 50169的有关规定.</w:t>
      </w:r>
    </w:p>
    <w:p w14:paraId="166951EA">
      <w:pPr>
        <w:pStyle w:val="5"/>
        <w:rPr>
          <w:highlight w:val="none"/>
        </w:rPr>
      </w:pPr>
      <w:r>
        <w:rPr>
          <w:b/>
          <w:highlight w:val="none"/>
        </w:rPr>
        <w:t>11.4.5</w:t>
      </w:r>
      <w:r>
        <w:rPr>
          <w:highlight w:val="none"/>
        </w:rPr>
        <w:t xml:space="preserve">  管廊中配电系统送电前所有开关均应</w:t>
      </w:r>
      <w:r>
        <w:rPr>
          <w:rFonts w:hint="eastAsia"/>
          <w:highlight w:val="none"/>
        </w:rPr>
        <w:t>·</w:t>
      </w:r>
      <w:r>
        <w:rPr>
          <w:highlight w:val="none"/>
        </w:rPr>
        <w:t>置于断开位置，且安装和试验期间，所有供电开关的通电状态都应有显示和警示标识。</w:t>
      </w:r>
    </w:p>
    <w:p w14:paraId="53CBE2FA">
      <w:pPr>
        <w:pStyle w:val="5"/>
        <w:rPr>
          <w:highlight w:val="none"/>
        </w:rPr>
      </w:pPr>
      <w:bookmarkStart w:id="130" w:name="_Toc37689789"/>
      <w:r>
        <w:rPr>
          <w:b/>
          <w:highlight w:val="none"/>
        </w:rPr>
        <w:t>11.4.6</w:t>
      </w:r>
      <w:r>
        <w:rPr>
          <w:highlight w:val="none"/>
        </w:rPr>
        <w:t xml:space="preserve">  管廊内的高压配电设备投运前应进行交接试验，试验标准应</w:t>
      </w:r>
      <w:r>
        <w:rPr>
          <w:spacing w:val="6"/>
          <w:highlight w:val="none"/>
        </w:rPr>
        <w:t>符合《电气装置安装工程电气设备交接试验标准》GB 50150相关规</w:t>
      </w:r>
      <w:r>
        <w:rPr>
          <w:highlight w:val="none"/>
        </w:rPr>
        <w:t>定。</w:t>
      </w:r>
    </w:p>
    <w:p w14:paraId="4FE758A1">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11.5</w:t>
      </w:r>
      <w:r>
        <w:rPr>
          <w:color w:val="000000" w:themeColor="text1"/>
          <w:highlight w:val="none"/>
          <w14:textFill>
            <w14:solidFill>
              <w14:schemeClr w14:val="tx1"/>
            </w14:solidFill>
          </w14:textFill>
        </w:rPr>
        <w:t xml:space="preserve">  照 明 系 统</w:t>
      </w:r>
      <w:bookmarkEnd w:id="130"/>
    </w:p>
    <w:p w14:paraId="4AF2AA07">
      <w:pPr>
        <w:pStyle w:val="5"/>
        <w:rPr>
          <w:highlight w:val="none"/>
        </w:rPr>
      </w:pPr>
      <w:r>
        <w:rPr>
          <w:b/>
          <w:highlight w:val="none"/>
        </w:rPr>
        <w:t>11.5.1</w:t>
      </w:r>
      <w:r>
        <w:rPr>
          <w:highlight w:val="none"/>
        </w:rPr>
        <w:t xml:space="preserve">  综合管廊照明系统中的灯具、插座、开关、管线和配电箱（盘、柜）施工及验收应符合现行国家标准《建筑电气照明装置施工质量验收规范》GB 50617、《电气装置安装工程电缆线路施工及验收</w:t>
      </w:r>
      <w:r>
        <w:rPr>
          <w:rFonts w:hint="eastAsia"/>
          <w:highlight w:val="none"/>
          <w:u w:val="none"/>
        </w:rPr>
        <w:t>标准</w:t>
      </w:r>
      <w:r>
        <w:rPr>
          <w:highlight w:val="none"/>
          <w:u w:val="none"/>
        </w:rPr>
        <w:t>》GB 50168和《建筑电气工程施工质量验收规范》GB 5030</w:t>
      </w:r>
      <w:r>
        <w:rPr>
          <w:highlight w:val="none"/>
        </w:rPr>
        <w:t>3的有关规定，且应符合下列规定：</w:t>
      </w:r>
    </w:p>
    <w:p w14:paraId="08EC1F7D">
      <w:pPr>
        <w:pStyle w:val="42"/>
        <w:overflowPunct w:val="0"/>
        <w:spacing w:line="340"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灯具材质应符合设计要求和产品标准要求，合格证内容应齐全、完整，应有CCC认证标志</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98652E0">
      <w:pPr>
        <w:pStyle w:val="42"/>
        <w:overflowPunct w:val="0"/>
        <w:spacing w:line="340"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消防应急灯具应获得消防产品型式试验合格评定，且具有认证标志</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D57410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当在管道或线缆支架上安装时，疏散指示灯应固定牢靠</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07E8737">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应急照明箱应有明显标识</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6F867D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智能化控制或信号线路引入照明配电箱时应减少与交流供电线路和其他系统的线路交叉，且不得并排敷设或共用同一管槽</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6AC18A4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6</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所有照明配电线路均应进行短路灵敏度校验。</w:t>
      </w:r>
    </w:p>
    <w:p w14:paraId="40766A2F">
      <w:pPr>
        <w:pStyle w:val="5"/>
        <w:rPr>
          <w:highlight w:val="none"/>
        </w:rPr>
      </w:pPr>
      <w:bookmarkStart w:id="131" w:name="_Toc37689790"/>
      <w:r>
        <w:rPr>
          <w:b/>
          <w:highlight w:val="none"/>
        </w:rPr>
        <w:t>11.5.2</w:t>
      </w:r>
      <w:r>
        <w:rPr>
          <w:highlight w:val="none"/>
        </w:rPr>
        <w:t xml:space="preserve">  安装在天然气管道舱等爆炸环境下的照明系统的灯具、插座、开关和配电箱（盘、柜）等电气设备的施工应符合现行国家标准《爆炸危险环境电力装置设计规范》GB 50058、《爆炸性气体环境用电设备第14部分：危险场所分类》GB 3836.1、《爆炸性气体环境用电设备第15部分：危险场所电气安装（煤矿除外）》GB 3836.15和《电气装置安装工程爆炸和火灾危险环境电气装置施工及验收规范》GB 50257的有关规定。</w:t>
      </w:r>
    </w:p>
    <w:p w14:paraId="3A27C82F">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11.6</w:t>
      </w:r>
      <w:r>
        <w:rPr>
          <w:color w:val="000000" w:themeColor="text1"/>
          <w:highlight w:val="none"/>
          <w14:textFill>
            <w14:solidFill>
              <w14:schemeClr w14:val="tx1"/>
            </w14:solidFill>
          </w14:textFill>
        </w:rPr>
        <w:t xml:space="preserve">  监控与报警系统</w:t>
      </w:r>
      <w:bookmarkEnd w:id="131"/>
    </w:p>
    <w:p w14:paraId="37D51D08">
      <w:pPr>
        <w:pStyle w:val="5"/>
        <w:rPr>
          <w:highlight w:val="none"/>
        </w:rPr>
      </w:pPr>
      <w:r>
        <w:rPr>
          <w:b/>
          <w:highlight w:val="none"/>
        </w:rPr>
        <w:t xml:space="preserve">11.6.1 </w:t>
      </w:r>
      <w:r>
        <w:rPr>
          <w:highlight w:val="none"/>
        </w:rPr>
        <w:t xml:space="preserve"> 管槽的预埋应符合现行国家标准《电气装置安装工程  电缆线路施工及验收</w:t>
      </w:r>
      <w:r>
        <w:rPr>
          <w:rFonts w:hint="eastAsia"/>
          <w:highlight w:val="none"/>
          <w:u w:val="none"/>
        </w:rPr>
        <w:t>标准</w:t>
      </w:r>
      <w:r>
        <w:rPr>
          <w:highlight w:val="none"/>
        </w:rPr>
        <w:t>》GB 50168的有关规定。管线施工应符合现行国家标准《建筑电气工程施工质量验收规范》GB 50303、《自动化仪表工程施工及质量验收规范》GB 50093的有关规定。</w:t>
      </w:r>
    </w:p>
    <w:p w14:paraId="2CD0B9F2">
      <w:pPr>
        <w:pStyle w:val="5"/>
        <w:rPr>
          <w:highlight w:val="none"/>
        </w:rPr>
      </w:pPr>
      <w:r>
        <w:rPr>
          <w:b/>
          <w:highlight w:val="none"/>
        </w:rPr>
        <w:t>11.6.2</w:t>
      </w:r>
      <w:r>
        <w:rPr>
          <w:highlight w:val="none"/>
        </w:rPr>
        <w:t xml:space="preserve">  光缆敷设、接续、引入应符合现行国家标准《综合布线系统工程验收规范》GB/T 50312的有关规定。</w:t>
      </w:r>
    </w:p>
    <w:p w14:paraId="49F32E4A">
      <w:pPr>
        <w:pStyle w:val="5"/>
        <w:rPr>
          <w:highlight w:val="none"/>
        </w:rPr>
      </w:pPr>
      <w:r>
        <w:rPr>
          <w:b/>
          <w:highlight w:val="none"/>
        </w:rPr>
        <w:t xml:space="preserve">11.6.3 </w:t>
      </w:r>
      <w:r>
        <w:rPr>
          <w:highlight w:val="none"/>
        </w:rPr>
        <w:t xml:space="preserve"> 控制箱、柜、盘和控制、显示、记录等终端设备的施工除应符合现行国家标准《建筑电气工程施工质量验收规范》GB 50303的有关规定外，并应符合下列规定：</w:t>
      </w:r>
    </w:p>
    <w:p w14:paraId="6F969B24">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 xml:space="preserve"> 控制箱、柜、盘不应安装在影响管廊内专业管线敷设、人员通行及有漏水隐患的孔口下方等部位</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3821C7D">
      <w:pPr>
        <w:pStyle w:val="42"/>
        <w:overflowPunct w:val="0"/>
        <w:spacing w:line="348" w:lineRule="exact"/>
        <w:ind w:firstLine="424"/>
        <w:rPr>
          <w:rFonts w:ascii="Times New Roman" w:hAnsi="Times New Roman" w:eastAsia="方正书宋简体" w:cs="Times New Roman"/>
          <w:color w:val="000000" w:themeColor="text1"/>
          <w:spacing w:val="-6"/>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所</w:t>
      </w:r>
      <w:r>
        <w:rPr>
          <w:rFonts w:ascii="Times New Roman" w:hAnsi="Times New Roman" w:eastAsia="方正书宋简体" w:cs="Times New Roman"/>
          <w:color w:val="000000" w:themeColor="text1"/>
          <w:spacing w:val="-6"/>
          <w:highlight w:val="none"/>
          <w14:textFill>
            <w14:solidFill>
              <w14:schemeClr w14:val="tx1"/>
            </w14:solidFill>
          </w14:textFill>
        </w:rPr>
        <w:t>有控制、显示、记录等终端设备的安装应平稳，便于操作。</w:t>
      </w:r>
    </w:p>
    <w:p w14:paraId="062BAE46">
      <w:pPr>
        <w:pStyle w:val="5"/>
        <w:rPr>
          <w:highlight w:val="none"/>
        </w:rPr>
      </w:pPr>
      <w:r>
        <w:rPr>
          <w:b/>
          <w:highlight w:val="none"/>
        </w:rPr>
        <w:t>11.6.4</w:t>
      </w:r>
      <w:r>
        <w:rPr>
          <w:highlight w:val="none"/>
        </w:rPr>
        <w:t xml:space="preserve">  现场仪表的安装除应符合现行国家标准《自动化仪表工程施工及质量验收规范》GB 50093的有关规定外，并应符合下列规定：</w:t>
      </w:r>
    </w:p>
    <w:p w14:paraId="2C89EF83">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安装位置应方便操作和维护</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757AF1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显示仪表安装高度应距离地坪1.2m～1.6m，并应方便人员巡视观察。</w:t>
      </w:r>
    </w:p>
    <w:p w14:paraId="2EB88B25">
      <w:pPr>
        <w:pStyle w:val="5"/>
        <w:rPr>
          <w:highlight w:val="none"/>
        </w:rPr>
      </w:pPr>
      <w:r>
        <w:rPr>
          <w:b/>
          <w:highlight w:val="none"/>
        </w:rPr>
        <w:t>11.6.5</w:t>
      </w:r>
      <w:r>
        <w:rPr>
          <w:highlight w:val="none"/>
        </w:rPr>
        <w:t xml:space="preserve">  安全技术防范系统设备安装除应符合现行国家标准《安全防范工程技术规范》GB 50348的有关规定外，并应符合下列规定：</w:t>
      </w:r>
    </w:p>
    <w:p w14:paraId="4E65082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综合管廊内两侧设置支架或管道时，电子巡查系统的信息采集点（巡查点）宜安装在支架外端或方便人员操作的位置，安装应牢固，并不应影响专业管线的维护安装</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2ED91C9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入侵报警探测器的安装位置和声光警报器应安装在不易发现的位置。</w:t>
      </w:r>
    </w:p>
    <w:p w14:paraId="4A5E4CBE">
      <w:pPr>
        <w:pStyle w:val="5"/>
        <w:rPr>
          <w:highlight w:val="none"/>
        </w:rPr>
      </w:pPr>
      <w:r>
        <w:rPr>
          <w:b/>
          <w:highlight w:val="none"/>
        </w:rPr>
        <w:t>11.6.6</w:t>
      </w:r>
      <w:r>
        <w:rPr>
          <w:highlight w:val="none"/>
        </w:rPr>
        <w:t xml:space="preserve">  火灾自动报警系统施工应符合现行国家标准《火灾自动报警系统施工及验收</w:t>
      </w:r>
      <w:r>
        <w:rPr>
          <w:rFonts w:hint="eastAsia"/>
          <w:highlight w:val="none"/>
        </w:rPr>
        <w:t>标准</w:t>
      </w:r>
      <w:r>
        <w:rPr>
          <w:highlight w:val="none"/>
        </w:rPr>
        <w:t>》GB 50166的有关规定。并应符合：综合管廊内两侧设置支架或管道时，手动报警按钮宜安装在方便人员操作的位置且不影响专业管线的维护安装，安装应牢固。</w:t>
      </w:r>
    </w:p>
    <w:p w14:paraId="6352314D">
      <w:pPr>
        <w:pStyle w:val="5"/>
        <w:rPr>
          <w:highlight w:val="none"/>
        </w:rPr>
      </w:pPr>
      <w:r>
        <w:rPr>
          <w:b/>
          <w:highlight w:val="none"/>
        </w:rPr>
        <w:t>11.6.7</w:t>
      </w:r>
      <w:r>
        <w:rPr>
          <w:highlight w:val="none"/>
        </w:rPr>
        <w:t xml:space="preserve">  防爆环境内设备、安装与接线技术要求应符合现行国家标准《电气装置安装工程爆炸和火灾危险环境电气装置施工及验收规范》GB 50257的有关规定。</w:t>
      </w:r>
    </w:p>
    <w:p w14:paraId="5D693A52">
      <w:pPr>
        <w:pStyle w:val="5"/>
        <w:rPr>
          <w:highlight w:val="none"/>
        </w:rPr>
      </w:pPr>
      <w:r>
        <w:rPr>
          <w:b/>
          <w:highlight w:val="none"/>
        </w:rPr>
        <w:t>11.6.8</w:t>
      </w:r>
      <w:r>
        <w:rPr>
          <w:highlight w:val="none"/>
        </w:rPr>
        <w:t xml:space="preserve">  电源与接地、防浪涌应符合现行国家标准《建筑电气工程施工质量验收规范》GB 50303的有关规定；设备电源接线、设备接地、浪涌保护器设置应符合设计要求。</w:t>
      </w:r>
    </w:p>
    <w:p w14:paraId="5F4E79A9">
      <w:pPr>
        <w:pStyle w:val="5"/>
        <w:rPr>
          <w:highlight w:val="none"/>
        </w:rPr>
      </w:pPr>
      <w:r>
        <w:rPr>
          <w:b/>
          <w:highlight w:val="none"/>
        </w:rPr>
        <w:t xml:space="preserve">11.6.9 </w:t>
      </w:r>
      <w:r>
        <w:rPr>
          <w:highlight w:val="none"/>
        </w:rPr>
        <w:t xml:space="preserve"> 综合管廊监控与报警系统调试应包括各组成系统的设备调试、系统调试、统一管理平台的调试和统一管理平台与各专业管线公司的联动调试。</w:t>
      </w:r>
    </w:p>
    <w:p w14:paraId="246541C1">
      <w:pPr>
        <w:pStyle w:val="5"/>
        <w:rPr>
          <w:highlight w:val="none"/>
        </w:rPr>
      </w:pPr>
      <w:bookmarkStart w:id="132" w:name="_Toc37689791"/>
      <w:r>
        <w:rPr>
          <w:b/>
          <w:highlight w:val="none"/>
        </w:rPr>
        <w:t xml:space="preserve">11.6.10 </w:t>
      </w:r>
      <w:r>
        <w:rPr>
          <w:highlight w:val="none"/>
        </w:rPr>
        <w:t xml:space="preserve"> 报警系统启动后，能够及时、准确联动综合管廊内自动灭火系统和通风系统。</w:t>
      </w:r>
    </w:p>
    <w:p w14:paraId="6436E84B">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11.7</w:t>
      </w:r>
      <w:r>
        <w:rPr>
          <w:color w:val="000000" w:themeColor="text1"/>
          <w:highlight w:val="none"/>
          <w14:textFill>
            <w14:solidFill>
              <w14:schemeClr w14:val="tx1"/>
            </w14:solidFill>
          </w14:textFill>
        </w:rPr>
        <w:t xml:space="preserve">  排 水 系 统</w:t>
      </w:r>
      <w:bookmarkEnd w:id="132"/>
    </w:p>
    <w:p w14:paraId="19D28B4A">
      <w:pPr>
        <w:pStyle w:val="5"/>
        <w:rPr>
          <w:highlight w:val="none"/>
        </w:rPr>
      </w:pPr>
      <w:r>
        <w:rPr>
          <w:b/>
          <w:highlight w:val="none"/>
        </w:rPr>
        <w:t>11.7.1</w:t>
      </w:r>
      <w:r>
        <w:rPr>
          <w:highlight w:val="none"/>
        </w:rPr>
        <w:t xml:space="preserve">  排水工程必须严格按设计文件和施工图施工。自然排水不得出现倒坡现象，强排水系统不得出现由于施工不合理，导致的倒灌、泄露现象。</w:t>
      </w:r>
    </w:p>
    <w:p w14:paraId="2BD8E1CC">
      <w:pPr>
        <w:pStyle w:val="5"/>
        <w:rPr>
          <w:highlight w:val="none"/>
        </w:rPr>
      </w:pPr>
      <w:r>
        <w:rPr>
          <w:b/>
          <w:highlight w:val="none"/>
        </w:rPr>
        <w:t>11.7.2</w:t>
      </w:r>
      <w:r>
        <w:rPr>
          <w:highlight w:val="none"/>
        </w:rPr>
        <w:t xml:space="preserve">  排水工程的所有材料，应符合国家现行的有关产品标准的规定、设计要求，同时所有使用的材料要具备可追溯制造方责任人的记录文件。</w:t>
      </w:r>
    </w:p>
    <w:p w14:paraId="0A6F8E77">
      <w:pPr>
        <w:pStyle w:val="5"/>
        <w:rPr>
          <w:highlight w:val="none"/>
        </w:rPr>
      </w:pPr>
      <w:r>
        <w:rPr>
          <w:b/>
          <w:highlight w:val="none"/>
        </w:rPr>
        <w:t>11.7.3</w:t>
      </w:r>
      <w:r>
        <w:rPr>
          <w:highlight w:val="none"/>
        </w:rPr>
        <w:t xml:space="preserve">  排水工程施工安装应符合现行国家标准《给水排水管道工程施工及验收规范》GB 50268、《给水排水构筑物工程施工及验收规范》GB 50141和《建筑给水排水及采暖工程施工质量验收规范》GB 50242的有关规定：</w:t>
      </w:r>
    </w:p>
    <w:p w14:paraId="3ABA348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排水沟、集水</w:t>
      </w:r>
      <w:r>
        <w:rPr>
          <w:rFonts w:hint="eastAsia" w:ascii="Times New Roman" w:hAnsi="Times New Roman" w:eastAsia="方正书宋简体" w:cs="Times New Roman"/>
          <w:color w:val="000000" w:themeColor="text1"/>
          <w:highlight w:val="none"/>
          <w14:textFill>
            <w14:solidFill>
              <w14:schemeClr w14:val="tx1"/>
            </w14:solidFill>
          </w14:textFill>
        </w:rPr>
        <w:t>坑</w:t>
      </w:r>
      <w:r>
        <w:rPr>
          <w:rFonts w:ascii="Times New Roman" w:hAnsi="Times New Roman" w:eastAsia="方正书宋简体" w:cs="Times New Roman"/>
          <w:color w:val="000000" w:themeColor="text1"/>
          <w:highlight w:val="none"/>
          <w14:textFill>
            <w14:solidFill>
              <w14:schemeClr w14:val="tx1"/>
            </w14:solidFill>
          </w14:textFill>
        </w:rPr>
        <w:t>结构类型、结构尺寸、工艺布置、平面尺寸及高程等应符合设计要求</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74A3F59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排水沟、集水</w:t>
      </w:r>
      <w:r>
        <w:rPr>
          <w:rFonts w:hint="eastAsia" w:ascii="Times New Roman" w:hAnsi="Times New Roman" w:eastAsia="方正书宋简体" w:cs="Times New Roman"/>
          <w:color w:val="000000" w:themeColor="text1"/>
          <w:highlight w:val="none"/>
          <w14:textFill>
            <w14:solidFill>
              <w14:schemeClr w14:val="tx1"/>
            </w14:solidFill>
          </w14:textFill>
        </w:rPr>
        <w:t>坑</w:t>
      </w:r>
      <w:r>
        <w:rPr>
          <w:rFonts w:ascii="Times New Roman" w:hAnsi="Times New Roman" w:eastAsia="方正书宋简体" w:cs="Times New Roman"/>
          <w:color w:val="000000" w:themeColor="text1"/>
          <w:highlight w:val="none"/>
          <w14:textFill>
            <w14:solidFill>
              <w14:schemeClr w14:val="tx1"/>
            </w14:solidFill>
          </w14:textFill>
        </w:rPr>
        <w:t>结构表面应平顺。</w:t>
      </w:r>
    </w:p>
    <w:p w14:paraId="7E1D1F21">
      <w:pPr>
        <w:pStyle w:val="5"/>
        <w:rPr>
          <w:highlight w:val="none"/>
        </w:rPr>
      </w:pPr>
      <w:r>
        <w:rPr>
          <w:b/>
          <w:highlight w:val="none"/>
        </w:rPr>
        <w:t>11.7.4</w:t>
      </w:r>
      <w:r>
        <w:rPr>
          <w:highlight w:val="none"/>
        </w:rPr>
        <w:t xml:space="preserve">  水泵安装应符合现行国家标准《泵站安装及验收规范》SL 317中的有关规定：</w:t>
      </w:r>
    </w:p>
    <w:p w14:paraId="6350E1F1">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潜水泵吊装应就位正确，与底座配合良好</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310CA9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潜水泵的防抬机装置安装应符合设计要求，不应有轴向位移间隙</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1378361F">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 xml:space="preserve"> 管道阀门和管件的型号和规格应符合设计文件要求，安装方向应准确。</w:t>
      </w:r>
    </w:p>
    <w:p w14:paraId="7BEDE54C">
      <w:pPr>
        <w:pStyle w:val="4"/>
        <w:spacing w:before="156" w:after="156"/>
        <w:rPr>
          <w:b/>
          <w:color w:val="000000" w:themeColor="text1"/>
          <w:highlight w:val="none"/>
          <w14:textFill>
            <w14:solidFill>
              <w14:schemeClr w14:val="tx1"/>
            </w14:solidFill>
          </w14:textFill>
        </w:rPr>
      </w:pPr>
      <w:bookmarkStart w:id="133" w:name="_Toc37689792"/>
      <w:r>
        <w:rPr>
          <w:b/>
          <w:bCs w:val="0"/>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t xml:space="preserve">  标 识 系 统</w:t>
      </w:r>
      <w:bookmarkEnd w:id="133"/>
    </w:p>
    <w:p w14:paraId="203F784E">
      <w:pPr>
        <w:pStyle w:val="5"/>
        <w:rPr>
          <w:highlight w:val="none"/>
        </w:rPr>
      </w:pPr>
      <w:r>
        <w:rPr>
          <w:b/>
          <w:highlight w:val="none"/>
        </w:rPr>
        <w:t xml:space="preserve">11.8.1 </w:t>
      </w:r>
      <w:r>
        <w:rPr>
          <w:highlight w:val="none"/>
        </w:rPr>
        <w:t xml:space="preserve"> 综合管廊标识系统施工应满足现行国家标准《城市综合管廊技术</w:t>
      </w:r>
      <w:r>
        <w:rPr>
          <w:rFonts w:hint="eastAsia"/>
          <w:highlight w:val="none"/>
        </w:rPr>
        <w:t>标准</w:t>
      </w:r>
      <w:r>
        <w:rPr>
          <w:highlight w:val="none"/>
        </w:rPr>
        <w:t>》GB</w:t>
      </w:r>
      <w:r>
        <w:rPr>
          <w:rFonts w:hint="eastAsia"/>
          <w:highlight w:val="none"/>
        </w:rPr>
        <w:t>/T</w:t>
      </w:r>
      <w:r>
        <w:rPr>
          <w:highlight w:val="none"/>
        </w:rPr>
        <w:t xml:space="preserve"> 50838的有关规定。</w:t>
      </w:r>
    </w:p>
    <w:p w14:paraId="368F17A2">
      <w:pPr>
        <w:pStyle w:val="5"/>
        <w:rPr>
          <w:highlight w:val="none"/>
        </w:rPr>
      </w:pPr>
      <w:r>
        <w:rPr>
          <w:b/>
          <w:highlight w:val="none"/>
        </w:rPr>
        <w:t>11.8.2</w:t>
      </w:r>
      <w:r>
        <w:rPr>
          <w:highlight w:val="none"/>
        </w:rPr>
        <w:t xml:space="preserve">  标识应设置在便于观察的部位，挂（贴）牢固、内容完整。</w:t>
      </w:r>
    </w:p>
    <w:p w14:paraId="67651ABE">
      <w:pPr>
        <w:pStyle w:val="5"/>
        <w:rPr>
          <w:highlight w:val="none"/>
        </w:rPr>
      </w:pPr>
      <w:r>
        <w:rPr>
          <w:b/>
          <w:highlight w:val="none"/>
        </w:rPr>
        <w:t>11.8.3</w:t>
      </w:r>
      <w:r>
        <w:rPr>
          <w:highlight w:val="none"/>
        </w:rPr>
        <w:t xml:space="preserve">  采用喷漆或粘贴方式进行标识时，管道表面应清理干净、干燥。采用自喷漆时，喷涂应防止污染，周围应保护到位。喷涂或粘贴要牢固、清晰，喷涂无流坠，粘贴无翘边。</w:t>
      </w:r>
    </w:p>
    <w:p w14:paraId="46610623">
      <w:pPr>
        <w:pStyle w:val="5"/>
        <w:rPr>
          <w:highlight w:val="none"/>
        </w:rPr>
      </w:pPr>
      <w:r>
        <w:rPr>
          <w:b/>
          <w:highlight w:val="none"/>
        </w:rPr>
        <w:t>11.8.4</w:t>
      </w:r>
      <w:r>
        <w:rPr>
          <w:highlight w:val="none"/>
        </w:rPr>
        <w:t xml:space="preserve">  设备、阀门编号应做统一标识。</w:t>
      </w:r>
    </w:p>
    <w:p w14:paraId="01CEFE62">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1DE964E9">
      <w:pPr>
        <w:pStyle w:val="2"/>
        <w:rPr>
          <w:b w:val="0"/>
          <w:bCs w:val="0"/>
          <w:color w:val="000000" w:themeColor="text1"/>
          <w:highlight w:val="none"/>
          <w14:textFill>
            <w14:solidFill>
              <w14:schemeClr w14:val="tx1"/>
            </w14:solidFill>
          </w14:textFill>
        </w:rPr>
      </w:pPr>
      <w:bookmarkStart w:id="134" w:name="_Toc37689793"/>
      <w:bookmarkStart w:id="135" w:name="_Hlk17735886"/>
      <w:r>
        <w:rPr>
          <w:color w:val="000000" w:themeColor="text1"/>
          <w:highlight w:val="none"/>
          <w14:textFill>
            <w14:solidFill>
              <w14:schemeClr w14:val="tx1"/>
            </w14:solidFill>
          </w14:textFill>
        </w:rPr>
        <w:t xml:space="preserve">12  </w:t>
      </w:r>
      <w:r>
        <w:rPr>
          <w:b w:val="0"/>
          <w:bCs w:val="0"/>
          <w:color w:val="000000" w:themeColor="text1"/>
          <w:highlight w:val="none"/>
          <w14:textFill>
            <w14:solidFill>
              <w14:schemeClr w14:val="tx1"/>
            </w14:solidFill>
          </w14:textFill>
        </w:rPr>
        <w:t>管线工程施工</w:t>
      </w:r>
      <w:bookmarkEnd w:id="134"/>
    </w:p>
    <w:bookmarkEnd w:id="135"/>
    <w:p w14:paraId="16DABC0D">
      <w:pPr>
        <w:pStyle w:val="4"/>
        <w:spacing w:before="156" w:after="156"/>
        <w:rPr>
          <w:b/>
          <w:color w:val="000000" w:themeColor="text1"/>
          <w:highlight w:val="none"/>
          <w14:textFill>
            <w14:solidFill>
              <w14:schemeClr w14:val="tx1"/>
            </w14:solidFill>
          </w14:textFill>
        </w:rPr>
      </w:pPr>
      <w:bookmarkStart w:id="136" w:name="_Toc37689794"/>
      <w:r>
        <w:rPr>
          <w:b/>
          <w:bCs w:val="0"/>
          <w:color w:val="000000" w:themeColor="text1"/>
          <w:highlight w:val="none"/>
          <w14:textFill>
            <w14:solidFill>
              <w14:schemeClr w14:val="tx1"/>
            </w14:solidFill>
          </w14:textFill>
        </w:rPr>
        <w:t>12.1</w:t>
      </w:r>
      <w:r>
        <w:rPr>
          <w:color w:val="000000" w:themeColor="text1"/>
          <w:highlight w:val="none"/>
          <w14:textFill>
            <w14:solidFill>
              <w14:schemeClr w14:val="tx1"/>
            </w14:solidFill>
          </w14:textFill>
        </w:rPr>
        <w:t xml:space="preserve">  一 般 规 定</w:t>
      </w:r>
      <w:bookmarkEnd w:id="136"/>
    </w:p>
    <w:p w14:paraId="64D24EDA">
      <w:pPr>
        <w:pStyle w:val="5"/>
        <w:rPr>
          <w:highlight w:val="none"/>
        </w:rPr>
      </w:pPr>
      <w:r>
        <w:rPr>
          <w:b/>
          <w:highlight w:val="none"/>
        </w:rPr>
        <w:t>12.1.1</w:t>
      </w:r>
      <w:r>
        <w:rPr>
          <w:highlight w:val="none"/>
        </w:rPr>
        <w:t xml:space="preserve">  总包单位应协调各专业管线施工单位，统一安排管线的施工，制定管线施工总体方案，合理安排施工顺序，限定区域、时间并形成文件，要求各专业单位必须严格按文件要求执行，有效的保证施工的顺畅。</w:t>
      </w:r>
    </w:p>
    <w:p w14:paraId="5E0B3D39">
      <w:pPr>
        <w:pStyle w:val="5"/>
        <w:rPr>
          <w:highlight w:val="none"/>
        </w:rPr>
      </w:pPr>
      <w:bookmarkStart w:id="137" w:name="_Hlk18331674"/>
      <w:r>
        <w:rPr>
          <w:b/>
          <w:highlight w:val="none"/>
        </w:rPr>
        <w:t>12.1.2</w:t>
      </w:r>
      <w:r>
        <w:rPr>
          <w:highlight w:val="none"/>
        </w:rPr>
        <w:t xml:space="preserve">  管线施工原则：先管后线，先大管后小管，阀件少的让阀件多的，施工简单的避让施工难度大的、工程量小的让工程量大的、技术要求低的管线让技术要求高的管线。</w:t>
      </w:r>
    </w:p>
    <w:bookmarkEnd w:id="137"/>
    <w:p w14:paraId="55B814B1">
      <w:pPr>
        <w:pStyle w:val="5"/>
        <w:rPr>
          <w:highlight w:val="none"/>
        </w:rPr>
      </w:pPr>
      <w:r>
        <w:rPr>
          <w:b/>
          <w:highlight w:val="none"/>
        </w:rPr>
        <w:t>12.1.3</w:t>
      </w:r>
      <w:r>
        <w:rPr>
          <w:highlight w:val="none"/>
        </w:rPr>
        <w:t xml:space="preserve">  管廊环境属于通风不良的地下受限空间，管线施工时应采取通风及防触电、防机械损害的措施。</w:t>
      </w:r>
    </w:p>
    <w:p w14:paraId="044074A6">
      <w:pPr>
        <w:pStyle w:val="5"/>
        <w:rPr>
          <w:highlight w:val="none"/>
        </w:rPr>
      </w:pPr>
      <w:bookmarkStart w:id="138" w:name="_Toc37689795"/>
      <w:r>
        <w:rPr>
          <w:b/>
          <w:highlight w:val="none"/>
        </w:rPr>
        <w:t>12.1.4</w:t>
      </w:r>
      <w:r>
        <w:rPr>
          <w:highlight w:val="none"/>
        </w:rPr>
        <w:t xml:space="preserve">  各管线施工单位应制定成品保护方案，</w:t>
      </w:r>
      <w:r>
        <w:rPr>
          <w:rFonts w:hint="eastAsia"/>
          <w:highlight w:val="none"/>
          <w:lang w:val="en-US" w:eastAsia="zh-CN"/>
        </w:rPr>
        <w:t>做</w:t>
      </w:r>
      <w:r>
        <w:rPr>
          <w:highlight w:val="none"/>
        </w:rPr>
        <w:t>好成品防护。</w:t>
      </w:r>
    </w:p>
    <w:p w14:paraId="1F73F26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t xml:space="preserve">  给水及再生水管道</w:t>
      </w:r>
      <w:bookmarkEnd w:id="138"/>
    </w:p>
    <w:p w14:paraId="104A33F4">
      <w:pPr>
        <w:pStyle w:val="5"/>
        <w:rPr>
          <w:highlight w:val="none"/>
        </w:rPr>
      </w:pPr>
      <w:r>
        <w:rPr>
          <w:b/>
          <w:highlight w:val="none"/>
        </w:rPr>
        <w:t xml:space="preserve">12.2.1  </w:t>
      </w:r>
      <w:r>
        <w:rPr>
          <w:highlight w:val="none"/>
        </w:rPr>
        <w:t>给水、再生水管道的施工及验收应符合现行国家标准《给水排水管道工程施工及验收规范》GB 50268和《建筑给水排水及采暖工程施工质量验收规范》GB 50242的有关规定。</w:t>
      </w:r>
    </w:p>
    <w:p w14:paraId="65BB649F">
      <w:pPr>
        <w:pStyle w:val="5"/>
        <w:rPr>
          <w:highlight w:val="none"/>
        </w:rPr>
      </w:pPr>
      <w:r>
        <w:rPr>
          <w:b/>
          <w:highlight w:val="none"/>
        </w:rPr>
        <w:t xml:space="preserve">12.2.2  </w:t>
      </w:r>
      <w:r>
        <w:rPr>
          <w:highlight w:val="none"/>
        </w:rPr>
        <w:t>给水管道应采用与管材配套使用的管件，生活给水系统所使用材料应符合设计及国家有关标准规定。</w:t>
      </w:r>
    </w:p>
    <w:p w14:paraId="0151E21F">
      <w:pPr>
        <w:pStyle w:val="5"/>
        <w:rPr>
          <w:highlight w:val="none"/>
        </w:rPr>
      </w:pPr>
      <w:r>
        <w:rPr>
          <w:b/>
          <w:highlight w:val="none"/>
        </w:rPr>
        <w:t xml:space="preserve">12.2.3  </w:t>
      </w:r>
      <w:r>
        <w:rPr>
          <w:highlight w:val="none"/>
        </w:rPr>
        <w:t>给水管道内外防腐施工中应采取可靠保护措施，施工完成后应对破坏的防腐层进行修补。</w:t>
      </w:r>
    </w:p>
    <w:p w14:paraId="6E742958">
      <w:pPr>
        <w:pStyle w:val="5"/>
        <w:rPr>
          <w:highlight w:val="none"/>
        </w:rPr>
      </w:pPr>
      <w:r>
        <w:rPr>
          <w:b/>
          <w:highlight w:val="none"/>
        </w:rPr>
        <w:t xml:space="preserve">12.2.4  </w:t>
      </w:r>
      <w:r>
        <w:rPr>
          <w:highlight w:val="none"/>
        </w:rPr>
        <w:t>采用钢管施工时，选用管道弯头弯曲半径设计无规定时应符合下列要求：</w:t>
      </w:r>
    </w:p>
    <w:p w14:paraId="741741BD">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热弯：不小于管道外径3.5倍</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3B7A0DAF">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冷弯：不小于管道外径4倍</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4FB4748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冲压弯头：不小于管道外径</w:t>
      </w:r>
      <w:r>
        <w:rPr>
          <w:rFonts w:hint="eastAsia" w:ascii="Times New Roman" w:hAnsi="Times New Roman" w:eastAsia="方正书宋简体" w:cs="Times New Roman"/>
          <w:color w:val="000000" w:themeColor="text1"/>
          <w:highlight w:val="none"/>
          <w14:textFill>
            <w14:solidFill>
              <w14:schemeClr w14:val="tx1"/>
            </w14:solidFill>
          </w14:textFill>
        </w:rPr>
        <w:t>；</w:t>
      </w:r>
    </w:p>
    <w:p w14:paraId="55A997F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焊接弯头：不小于管道外径1.5倍。</w:t>
      </w:r>
    </w:p>
    <w:p w14:paraId="07604F5C">
      <w:pPr>
        <w:pStyle w:val="4"/>
        <w:spacing w:before="156" w:after="156"/>
        <w:rPr>
          <w:b/>
          <w:color w:val="000000" w:themeColor="text1"/>
          <w:highlight w:val="none"/>
          <w14:textFill>
            <w14:solidFill>
              <w14:schemeClr w14:val="tx1"/>
            </w14:solidFill>
          </w14:textFill>
        </w:rPr>
      </w:pPr>
      <w:bookmarkStart w:id="139" w:name="_Toc37689796"/>
      <w:r>
        <w:rPr>
          <w:b/>
          <w:bCs w:val="0"/>
          <w:color w:val="000000" w:themeColor="text1"/>
          <w:highlight w:val="none"/>
          <w14:textFill>
            <w14:solidFill>
              <w14:schemeClr w14:val="tx1"/>
            </w14:solidFill>
          </w14:textFill>
        </w:rPr>
        <w:t xml:space="preserve">12.3  </w:t>
      </w:r>
      <w:r>
        <w:rPr>
          <w:color w:val="000000" w:themeColor="text1"/>
          <w:highlight w:val="none"/>
          <w14:textFill>
            <w14:solidFill>
              <w14:schemeClr w14:val="tx1"/>
            </w14:solidFill>
          </w14:textFill>
        </w:rPr>
        <w:t>排 水 管 道</w:t>
      </w:r>
      <w:bookmarkEnd w:id="139"/>
    </w:p>
    <w:p w14:paraId="69A1A5DF">
      <w:pPr>
        <w:pStyle w:val="5"/>
        <w:rPr>
          <w:highlight w:val="none"/>
        </w:rPr>
      </w:pPr>
      <w:r>
        <w:rPr>
          <w:b/>
          <w:highlight w:val="none"/>
        </w:rPr>
        <w:t xml:space="preserve">12.3.1  </w:t>
      </w:r>
      <w:r>
        <w:rPr>
          <w:highlight w:val="none"/>
        </w:rPr>
        <w:t>排水管渠及附属构筑物的施工及验收应符合现行国家标准《给水排水管道工程施工及验收规范》GB 50268及《给水排水构筑物工程施工及验收规范》GB 50141的有关规定。</w:t>
      </w:r>
    </w:p>
    <w:p w14:paraId="28680789">
      <w:pPr>
        <w:pStyle w:val="5"/>
        <w:rPr>
          <w:highlight w:val="none"/>
        </w:rPr>
      </w:pPr>
      <w:r>
        <w:rPr>
          <w:b/>
          <w:highlight w:val="none"/>
        </w:rPr>
        <w:t xml:space="preserve">12.3.2  </w:t>
      </w:r>
      <w:r>
        <w:rPr>
          <w:highlight w:val="none"/>
        </w:rPr>
        <w:t>雨水管（渠）、污水管线进入综合管廊前应按设计要求设置检修闸门或闸槽。</w:t>
      </w:r>
    </w:p>
    <w:p w14:paraId="42E07EEE">
      <w:pPr>
        <w:pStyle w:val="5"/>
        <w:rPr>
          <w:highlight w:val="none"/>
        </w:rPr>
      </w:pPr>
      <w:r>
        <w:rPr>
          <w:b/>
          <w:highlight w:val="none"/>
        </w:rPr>
        <w:t xml:space="preserve">12.3.3  </w:t>
      </w:r>
      <w:r>
        <w:rPr>
          <w:highlight w:val="none"/>
        </w:rPr>
        <w:t>雨水、污水管道系统应严格密闭。管道进行严格闭水试验。</w:t>
      </w:r>
    </w:p>
    <w:p w14:paraId="5C16FA50">
      <w:pPr>
        <w:pStyle w:val="5"/>
        <w:rPr>
          <w:highlight w:val="none"/>
        </w:rPr>
      </w:pPr>
      <w:r>
        <w:rPr>
          <w:b/>
          <w:highlight w:val="none"/>
        </w:rPr>
        <w:t>12.3.4</w:t>
      </w:r>
      <w:r>
        <w:rPr>
          <w:highlight w:val="none"/>
        </w:rPr>
        <w:t xml:space="preserve">  雨水、污水管道的通气装置应符合设计要求，并且严格密闭。</w:t>
      </w:r>
    </w:p>
    <w:p w14:paraId="385DA209">
      <w:pPr>
        <w:pStyle w:val="5"/>
        <w:rPr>
          <w:highlight w:val="none"/>
        </w:rPr>
      </w:pPr>
      <w:r>
        <w:rPr>
          <w:b/>
          <w:highlight w:val="none"/>
        </w:rPr>
        <w:t xml:space="preserve">12.3.5  </w:t>
      </w:r>
      <w:r>
        <w:rPr>
          <w:highlight w:val="none"/>
        </w:rPr>
        <w:t>若设计利用综合管廊结构本体排除雨水时，施工应保证雨水</w:t>
      </w:r>
      <w:r>
        <w:rPr>
          <w:spacing w:val="-6"/>
          <w:highlight w:val="none"/>
        </w:rPr>
        <w:t>舱结构完全独立密封，并采取防止雨水倒灌或渗漏至其他舱室的措</w:t>
      </w:r>
      <w:r>
        <w:rPr>
          <w:highlight w:val="none"/>
        </w:rPr>
        <w:t>施。</w:t>
      </w:r>
    </w:p>
    <w:p w14:paraId="28DFB197">
      <w:pPr>
        <w:pStyle w:val="5"/>
        <w:rPr>
          <w:highlight w:val="none"/>
        </w:rPr>
      </w:pPr>
      <w:bookmarkStart w:id="140" w:name="_Toc37689797"/>
      <w:r>
        <w:rPr>
          <w:b/>
          <w:highlight w:val="none"/>
        </w:rPr>
        <w:t xml:space="preserve">12.3.6  </w:t>
      </w:r>
      <w:r>
        <w:rPr>
          <w:highlight w:val="none"/>
        </w:rPr>
        <w:t>雨水管（渠）、污水管线坡度应符合设计要求，严禁无坡、倒坡。</w:t>
      </w:r>
    </w:p>
    <w:p w14:paraId="5F26179A">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12.4</w:t>
      </w:r>
      <w:r>
        <w:rPr>
          <w:color w:val="000000" w:themeColor="text1"/>
          <w:highlight w:val="none"/>
          <w14:textFill>
            <w14:solidFill>
              <w14:schemeClr w14:val="tx1"/>
            </w14:solidFill>
          </w14:textFill>
        </w:rPr>
        <w:t xml:space="preserve">  燃 气 管 道</w:t>
      </w:r>
      <w:bookmarkEnd w:id="140"/>
    </w:p>
    <w:p w14:paraId="03171860">
      <w:pPr>
        <w:pStyle w:val="5"/>
        <w:rPr>
          <w:highlight w:val="none"/>
        </w:rPr>
      </w:pPr>
      <w:r>
        <w:rPr>
          <w:b/>
          <w:highlight w:val="none"/>
        </w:rPr>
        <w:t>12.4.1</w:t>
      </w:r>
      <w:r>
        <w:rPr>
          <w:highlight w:val="none"/>
        </w:rPr>
        <w:t xml:space="preserve">  天然气管道施工安装应符合国家现行标准《城镇燃气设计规范》GB 50028、</w:t>
      </w:r>
      <w:r>
        <w:rPr>
          <w:rFonts w:hint="eastAsia" w:ascii="方正书宋简体" w:hAnsi="方正书宋简体" w:cs="方正书宋简体"/>
          <w:highlight w:val="none"/>
          <w:u w:val="none"/>
          <w:shd w:val="clear" w:color="auto" w:fill="FFFFFF"/>
        </w:rPr>
        <w:t>《城镇燃气输配工程施工及验收标准》</w:t>
      </w:r>
      <w:r>
        <w:rPr>
          <w:highlight w:val="none"/>
          <w:u w:val="none"/>
        </w:rPr>
        <w:t>GB/T 51455</w:t>
      </w:r>
      <w:r>
        <w:rPr>
          <w:highlight w:val="none"/>
        </w:rPr>
        <w:t>的有关规定。</w:t>
      </w:r>
    </w:p>
    <w:p w14:paraId="4E86E521">
      <w:pPr>
        <w:pStyle w:val="5"/>
        <w:rPr>
          <w:highlight w:val="none"/>
        </w:rPr>
      </w:pPr>
      <w:r>
        <w:rPr>
          <w:b/>
          <w:highlight w:val="none"/>
        </w:rPr>
        <w:t>12.4.2</w:t>
      </w:r>
      <w:r>
        <w:rPr>
          <w:highlight w:val="none"/>
        </w:rPr>
        <w:t xml:space="preserve">  工程所用设备、管道组成件等，应符合国家现行有关产品标准的规定，且必须具有产品合格文件。</w:t>
      </w:r>
    </w:p>
    <w:p w14:paraId="3D52B82E">
      <w:pPr>
        <w:pStyle w:val="5"/>
        <w:rPr>
          <w:highlight w:val="none"/>
        </w:rPr>
      </w:pPr>
      <w:r>
        <w:rPr>
          <w:b/>
          <w:highlight w:val="none"/>
        </w:rPr>
        <w:t>12.4.3</w:t>
      </w:r>
      <w:r>
        <w:rPr>
          <w:highlight w:val="none"/>
        </w:rPr>
        <w:t xml:space="preserve">  承担燃气钢质管道、设备焊接的人员、必须具有锅炉、压力容器、压力管道特种设备操作人员资格证（焊接）焊工合格证书，且在证书的有效期及合格范围内从事焊接工作。</w:t>
      </w:r>
    </w:p>
    <w:p w14:paraId="69712128">
      <w:pPr>
        <w:pStyle w:val="5"/>
        <w:rPr>
          <w:highlight w:val="none"/>
        </w:rPr>
      </w:pPr>
      <w:r>
        <w:rPr>
          <w:b/>
          <w:highlight w:val="none"/>
        </w:rPr>
        <w:t>12.4.4</w:t>
      </w:r>
      <w:r>
        <w:rPr>
          <w:highlight w:val="none"/>
        </w:rPr>
        <w:t xml:space="preserve">  安装前应对管道组成件进行检查，其材质、规格、型号应符合设计文件和合同的规定，弯头、三通、异径接头，宜采用机制管件，并应按现行的国家产品标准进行外观检查。</w:t>
      </w:r>
    </w:p>
    <w:p w14:paraId="2F8DBF3C">
      <w:pPr>
        <w:pStyle w:val="5"/>
        <w:rPr>
          <w:highlight w:val="none"/>
        </w:rPr>
      </w:pPr>
      <w:r>
        <w:rPr>
          <w:b/>
          <w:highlight w:val="none"/>
        </w:rPr>
        <w:t xml:space="preserve">12.4.5 </w:t>
      </w:r>
      <w:r>
        <w:rPr>
          <w:highlight w:val="none"/>
        </w:rPr>
        <w:t xml:space="preserve"> 钢管表面防腐前的预处理应符合国家现行标准《涂装前钢材表面预处理规范》SY/T 0407和所使用的防腐材料对钢管除锈的要求。各种防腐材料的防腐施工及验收要求，应符合下列国家现行标准《城镇燃气埋地钢质管道腐蚀控制技术规程》CJJ 95、《钢质管道熔结环氧粉末外涂层技术标准》SY/T 0315、《钢质管道聚乙烯防腐层技术标准》SY/T 0413的规定。</w:t>
      </w:r>
    </w:p>
    <w:p w14:paraId="18DF4550">
      <w:pPr>
        <w:pStyle w:val="5"/>
        <w:rPr>
          <w:highlight w:val="none"/>
        </w:rPr>
      </w:pPr>
      <w:r>
        <w:rPr>
          <w:b/>
          <w:highlight w:val="none"/>
        </w:rPr>
        <w:t>12.4.6</w:t>
      </w:r>
      <w:r>
        <w:rPr>
          <w:highlight w:val="none"/>
        </w:rPr>
        <w:t xml:space="preserve">  天然气管道进、出地下综合管廊和穿过防火隔墙时必须敷设于套管中，且宜与套管同轴，套管内不得设有任何形式的连接接头，套管与燃气管道之间的间隙应采用密封性能良好的柔性防腐、防水材料密实，套管伸出管廊舱墙体面200mm。</w:t>
      </w:r>
    </w:p>
    <w:p w14:paraId="50369D71">
      <w:pPr>
        <w:pStyle w:val="5"/>
        <w:rPr>
          <w:highlight w:val="none"/>
        </w:rPr>
      </w:pPr>
      <w:r>
        <w:rPr>
          <w:b/>
          <w:highlight w:val="none"/>
        </w:rPr>
        <w:t>12.4.7</w:t>
      </w:r>
      <w:r>
        <w:rPr>
          <w:highlight w:val="none"/>
        </w:rPr>
        <w:t xml:space="preserve">  燃气管道应按照设计图纸的要求控制管道的高程、坡度。</w:t>
      </w:r>
    </w:p>
    <w:p w14:paraId="7DF8FCBC">
      <w:pPr>
        <w:pStyle w:val="5"/>
        <w:rPr>
          <w:highlight w:val="none"/>
        </w:rPr>
      </w:pPr>
      <w:r>
        <w:rPr>
          <w:b/>
          <w:highlight w:val="none"/>
        </w:rPr>
        <w:t>12.4.8</w:t>
      </w:r>
      <w:r>
        <w:rPr>
          <w:highlight w:val="none"/>
        </w:rPr>
        <w:t xml:space="preserve">  金属燃气管道焊接应按现行国家标准《工业金属管道工程施工及验收规范》GB 50235和《</w:t>
      </w:r>
      <w:r>
        <w:rPr>
          <w:rFonts w:hint="eastAsia"/>
          <w:highlight w:val="none"/>
        </w:rPr>
        <w:t>现场设备、工业管道焊接工程施工规范</w:t>
      </w:r>
      <w:r>
        <w:rPr>
          <w:highlight w:val="none"/>
        </w:rPr>
        <w:t>》GB 50236的有关规定执行。</w:t>
      </w:r>
    </w:p>
    <w:p w14:paraId="3064A7D5">
      <w:pPr>
        <w:pStyle w:val="5"/>
        <w:rPr>
          <w:highlight w:val="none"/>
        </w:rPr>
      </w:pPr>
      <w:r>
        <w:rPr>
          <w:b/>
          <w:highlight w:val="none"/>
        </w:rPr>
        <w:t>12.4.9</w:t>
      </w:r>
      <w:r>
        <w:rPr>
          <w:highlight w:val="none"/>
        </w:rPr>
        <w:t xml:space="preserve">  燃气管道安装、管道附件与设备安装、管道强度试压、严密性试验、管道吹扫、验收应符合现行行业标准</w:t>
      </w:r>
      <w:r>
        <w:rPr>
          <w:rFonts w:hint="eastAsia" w:ascii="方正书宋简体" w:hAnsi="方正书宋简体" w:cs="方正书宋简体"/>
          <w:highlight w:val="none"/>
          <w:u w:val="none"/>
          <w:shd w:val="clear" w:color="auto" w:fill="FFFFFF"/>
        </w:rPr>
        <w:t>《城镇燃气输配工程施工及验收标准》</w:t>
      </w:r>
      <w:r>
        <w:rPr>
          <w:highlight w:val="none"/>
          <w:u w:val="none"/>
        </w:rPr>
        <w:t>GB/T 51455</w:t>
      </w:r>
      <w:r>
        <w:rPr>
          <w:highlight w:val="none"/>
        </w:rPr>
        <w:t>的有关规定，强度试验、严密性试验时间应参照现行国家标准《输气管道工程设计规范》GB 50251、《油气输送管道穿越工程设计规范》GB 50423的规定。</w:t>
      </w:r>
    </w:p>
    <w:p w14:paraId="07E5E3F7">
      <w:pPr>
        <w:pStyle w:val="5"/>
        <w:rPr>
          <w:highlight w:val="none"/>
        </w:rPr>
      </w:pPr>
      <w:bookmarkStart w:id="141" w:name="_Toc37689798"/>
      <w:r>
        <w:rPr>
          <w:b/>
          <w:highlight w:val="none"/>
        </w:rPr>
        <w:t>12.4.10</w:t>
      </w:r>
      <w:r>
        <w:rPr>
          <w:highlight w:val="none"/>
        </w:rPr>
        <w:t xml:space="preserve">  天然气管道进出综合管廊附近的埋地管线、放散管、天然气设备等均应满足防雷、防静电接地的要求。</w:t>
      </w:r>
    </w:p>
    <w:p w14:paraId="6A2BE2A6">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12.5</w:t>
      </w:r>
      <w:r>
        <w:rPr>
          <w:color w:val="000000" w:themeColor="text1"/>
          <w:highlight w:val="none"/>
          <w14:textFill>
            <w14:solidFill>
              <w14:schemeClr w14:val="tx1"/>
            </w14:solidFill>
          </w14:textFill>
        </w:rPr>
        <w:t xml:space="preserve">  热 力 管 道</w:t>
      </w:r>
      <w:bookmarkEnd w:id="141"/>
    </w:p>
    <w:p w14:paraId="35A14008">
      <w:pPr>
        <w:pStyle w:val="5"/>
        <w:rPr>
          <w:highlight w:val="none"/>
        </w:rPr>
      </w:pPr>
      <w:r>
        <w:rPr>
          <w:b/>
          <w:highlight w:val="none"/>
        </w:rPr>
        <w:t>12.5.1</w:t>
      </w:r>
      <w:r>
        <w:rPr>
          <w:highlight w:val="none"/>
        </w:rPr>
        <w:t xml:space="preserve">  管廊内架空敷设的热力管道及管件的材质、规格、外护层材料、保温层的厚度、焊接材料，应符合设计要求及国家现行有关标准的规定。</w:t>
      </w:r>
    </w:p>
    <w:p w14:paraId="03AFA1E7">
      <w:pPr>
        <w:pStyle w:val="5"/>
        <w:rPr>
          <w:highlight w:val="none"/>
        </w:rPr>
      </w:pPr>
      <w:r>
        <w:rPr>
          <w:b/>
          <w:highlight w:val="none"/>
        </w:rPr>
        <w:t xml:space="preserve">12.5.2 </w:t>
      </w:r>
      <w:r>
        <w:rPr>
          <w:highlight w:val="none"/>
        </w:rPr>
        <w:t xml:space="preserve"> 预制保温管在现场存放、运输、安装过程中，应采取必要措施封闭端口，不得拖拽保温管，以免损坏管端口和外护层。</w:t>
      </w:r>
    </w:p>
    <w:p w14:paraId="498E9395">
      <w:pPr>
        <w:pStyle w:val="5"/>
        <w:rPr>
          <w:highlight w:val="none"/>
        </w:rPr>
      </w:pPr>
      <w:r>
        <w:rPr>
          <w:b/>
          <w:highlight w:val="none"/>
        </w:rPr>
        <w:t xml:space="preserve">12.5.3 </w:t>
      </w:r>
      <w:r>
        <w:rPr>
          <w:highlight w:val="none"/>
        </w:rPr>
        <w:t xml:space="preserve"> 管道连接应采用对接坡口焊接型式，焊缝应进行100%射线无损检验，检验结果应符合现行国家标准《无损检测金属管道熔化焊环向对接接头射线照相检测方法》GB/T 12605的规定，达到II级合格标准。</w:t>
      </w:r>
    </w:p>
    <w:p w14:paraId="6A55486F">
      <w:pPr>
        <w:pStyle w:val="5"/>
        <w:rPr>
          <w:highlight w:val="none"/>
        </w:rPr>
      </w:pPr>
      <w:r>
        <w:rPr>
          <w:b/>
          <w:highlight w:val="none"/>
        </w:rPr>
        <w:t xml:space="preserve">12.5.4 </w:t>
      </w:r>
      <w:r>
        <w:rPr>
          <w:highlight w:val="none"/>
        </w:rPr>
        <w:t xml:space="preserve"> 管道安装前，应对管廊内的固定支架及预埋锚板的位置、标高、尺寸进行复核。</w:t>
      </w:r>
    </w:p>
    <w:p w14:paraId="1B8A2754">
      <w:pPr>
        <w:pStyle w:val="5"/>
        <w:rPr>
          <w:highlight w:val="none"/>
        </w:rPr>
      </w:pPr>
      <w:r>
        <w:rPr>
          <w:b/>
          <w:highlight w:val="none"/>
        </w:rPr>
        <w:t>12.5.5</w:t>
      </w:r>
      <w:r>
        <w:rPr>
          <w:highlight w:val="none"/>
        </w:rPr>
        <w:t xml:space="preserve">  管廊内的阀门、补偿器、分支管道滑动支座的安装位置及固定支架的构造和设置部位，必须符合设计要求及国家现行有关标准的规定。</w:t>
      </w:r>
    </w:p>
    <w:p w14:paraId="13F4C71D">
      <w:pPr>
        <w:pStyle w:val="5"/>
        <w:rPr>
          <w:highlight w:val="none"/>
        </w:rPr>
      </w:pPr>
      <w:r>
        <w:rPr>
          <w:b/>
          <w:highlight w:val="none"/>
        </w:rPr>
        <w:t>12.5.6</w:t>
      </w:r>
      <w:r>
        <w:rPr>
          <w:highlight w:val="none"/>
        </w:rPr>
        <w:t xml:space="preserve">  管廊内的管道接口、管件、补偿器、阀门的保温应符合下列规定：</w:t>
      </w:r>
    </w:p>
    <w:p w14:paraId="10F0716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 xml:space="preserve"> 接口保温应在管道安装完毕，焊缝检验合格、强度试验合格后进行；</w:t>
      </w:r>
    </w:p>
    <w:p w14:paraId="39682B30">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保温的结构、保温材料的材质及厚度应与预制保温管相同，采用阻燃型聚氨酯发泡时，环境温度宜为25℃，且不应低于10℃；</w:t>
      </w:r>
    </w:p>
    <w:p w14:paraId="4F02BF34">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接口外护层与其两侧的保温管外护管的搭接长度不应小于100mm。</w:t>
      </w:r>
    </w:p>
    <w:p w14:paraId="49CB4623">
      <w:pPr>
        <w:pStyle w:val="5"/>
        <w:rPr>
          <w:highlight w:val="none"/>
        </w:rPr>
      </w:pPr>
      <w:r>
        <w:rPr>
          <w:b/>
          <w:highlight w:val="none"/>
        </w:rPr>
        <w:t>12.5.7</w:t>
      </w:r>
      <w:r>
        <w:rPr>
          <w:highlight w:val="none"/>
        </w:rPr>
        <w:t xml:space="preserve">  管道压力试验过程中发现渗漏时，严禁带压处理，消除缺陷后，应重新进行压力试验。</w:t>
      </w:r>
    </w:p>
    <w:p w14:paraId="0A6D841F">
      <w:pPr>
        <w:pStyle w:val="5"/>
        <w:rPr>
          <w:highlight w:val="none"/>
        </w:rPr>
      </w:pPr>
      <w:r>
        <w:rPr>
          <w:b/>
          <w:highlight w:val="none"/>
        </w:rPr>
        <w:t>12.5.8</w:t>
      </w:r>
      <w:r>
        <w:rPr>
          <w:highlight w:val="none"/>
        </w:rPr>
        <w:t xml:space="preserve">  管道冲洗宜按主干线→支干线→支线顺序进行，不与管道同时冲洗的设备、仪表应隔离或拆除，排水时，不得形成负压。</w:t>
      </w:r>
    </w:p>
    <w:p w14:paraId="4C65143E">
      <w:pPr>
        <w:pStyle w:val="5"/>
        <w:rPr>
          <w:highlight w:val="none"/>
        </w:rPr>
      </w:pPr>
      <w:bookmarkStart w:id="142" w:name="_Toc37689799"/>
      <w:r>
        <w:rPr>
          <w:b/>
          <w:highlight w:val="none"/>
        </w:rPr>
        <w:t>12.5.9</w:t>
      </w:r>
      <w:r>
        <w:rPr>
          <w:highlight w:val="none"/>
        </w:rPr>
        <w:t xml:space="preserve">  管廊内热力管道施工应符合现行行业标准《城镇供热管网工程施工及验收规范》CJJ 28和现行国家标准《现场设备、工业管道焊接工程施工规范》GB 50236的有关规定。</w:t>
      </w:r>
    </w:p>
    <w:p w14:paraId="0C04696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12.6</w:t>
      </w:r>
      <w:r>
        <w:rPr>
          <w:color w:val="000000" w:themeColor="text1"/>
          <w:highlight w:val="none"/>
          <w14:textFill>
            <w14:solidFill>
              <w14:schemeClr w14:val="tx1"/>
            </w14:solidFill>
          </w14:textFill>
        </w:rPr>
        <w:t xml:space="preserve">  电 力 电 缆</w:t>
      </w:r>
      <w:bookmarkEnd w:id="142"/>
    </w:p>
    <w:p w14:paraId="3D58A7E7">
      <w:pPr>
        <w:pStyle w:val="5"/>
        <w:rPr>
          <w:highlight w:val="none"/>
        </w:rPr>
      </w:pPr>
      <w:r>
        <w:rPr>
          <w:b/>
          <w:highlight w:val="none"/>
        </w:rPr>
        <w:t>12.6.1</w:t>
      </w:r>
      <w:r>
        <w:rPr>
          <w:highlight w:val="none"/>
        </w:rPr>
        <w:t xml:space="preserve">  电力电缆施工应符合现行国家标准《电气装置安装工程  电缆线路施工及验收</w:t>
      </w:r>
      <w:r>
        <w:rPr>
          <w:rFonts w:hint="eastAsia"/>
          <w:highlight w:val="none"/>
          <w:u w:val="none"/>
        </w:rPr>
        <w:t>标准</w:t>
      </w:r>
      <w:r>
        <w:rPr>
          <w:highlight w:val="none"/>
        </w:rPr>
        <w:t>》GB 50168和《电气装置安装工程  接地装置施工及验收规范》GB 50169的有关规定。</w:t>
      </w:r>
    </w:p>
    <w:p w14:paraId="0B25EB50">
      <w:pPr>
        <w:pStyle w:val="5"/>
        <w:rPr>
          <w:highlight w:val="none"/>
        </w:rPr>
      </w:pPr>
      <w:r>
        <w:rPr>
          <w:b/>
          <w:highlight w:val="none"/>
        </w:rPr>
        <w:t xml:space="preserve">12.6.2 </w:t>
      </w:r>
      <w:r>
        <w:rPr>
          <w:highlight w:val="none"/>
        </w:rPr>
        <w:t xml:space="preserve"> 电缆敷设时，应根据管廊内直线距离、转弯角度大小、转弯数量、倒虹段结构等情况，确定电缆放置位置及落户位置，确定电缆段长和绞磨拖拉位置。电缆入管廊前一段应在</w:t>
      </w:r>
      <w:r>
        <w:rPr>
          <w:rFonts w:hint="eastAsia"/>
          <w:highlight w:val="none"/>
        </w:rPr>
        <w:t>吊装</w:t>
      </w:r>
      <w:r>
        <w:rPr>
          <w:highlight w:val="none"/>
        </w:rPr>
        <w:t>口延长线上15m~20m处，电缆地面走线角度不超过45°。</w:t>
      </w:r>
    </w:p>
    <w:p w14:paraId="0D2241BB">
      <w:pPr>
        <w:pStyle w:val="5"/>
        <w:rPr>
          <w:highlight w:val="none"/>
        </w:rPr>
      </w:pPr>
      <w:r>
        <w:rPr>
          <w:b/>
          <w:highlight w:val="none"/>
        </w:rPr>
        <w:t>12.6.3</w:t>
      </w:r>
      <w:r>
        <w:rPr>
          <w:highlight w:val="none"/>
        </w:rPr>
        <w:t xml:space="preserve">  电缆管不应有穿孔，裂缝和显著的凹凸不平，内壁应光滑；金属电缆管不应有严重锈蚀。硬质塑料管不得用在温度过高或过低的场所。在易受机械损伤的地方和在受力较大处直埋时，应采用足够强度的管材。</w:t>
      </w:r>
    </w:p>
    <w:p w14:paraId="381C8502">
      <w:pPr>
        <w:pStyle w:val="5"/>
        <w:rPr>
          <w:highlight w:val="none"/>
        </w:rPr>
      </w:pPr>
      <w:r>
        <w:rPr>
          <w:b/>
          <w:highlight w:val="none"/>
        </w:rPr>
        <w:t xml:space="preserve">12.6.4 </w:t>
      </w:r>
      <w:r>
        <w:rPr>
          <w:highlight w:val="none"/>
        </w:rPr>
        <w:t xml:space="preserve"> 电缆进出管廊、穿过防火墙处电缆应有一定机械强度的保护管或加装保护罩。</w:t>
      </w:r>
    </w:p>
    <w:p w14:paraId="6BE7466D">
      <w:pPr>
        <w:pStyle w:val="5"/>
        <w:rPr>
          <w:highlight w:val="none"/>
        </w:rPr>
      </w:pPr>
      <w:r>
        <w:rPr>
          <w:b/>
          <w:highlight w:val="none"/>
        </w:rPr>
        <w:t>12.6.</w:t>
      </w:r>
      <w:r>
        <w:rPr>
          <w:rFonts w:hint="eastAsia"/>
          <w:b/>
          <w:highlight w:val="none"/>
        </w:rPr>
        <w:t>5</w:t>
      </w:r>
      <w:r>
        <w:rPr>
          <w:highlight w:val="none"/>
        </w:rPr>
        <w:t xml:space="preserve"> </w:t>
      </w:r>
      <w:r>
        <w:rPr>
          <w:rFonts w:hint="eastAsia"/>
          <w:highlight w:val="none"/>
        </w:rPr>
        <w:t xml:space="preserve"> </w:t>
      </w:r>
      <w:r>
        <w:rPr>
          <w:highlight w:val="none"/>
        </w:rPr>
        <w:t>电缆支架的加工应符合下列要求：</w:t>
      </w:r>
    </w:p>
    <w:p w14:paraId="29DA9F3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钢材应平直，无明显扭曲。下料误差应在5mm范围内，切口应无卷边、毛刺；</w:t>
      </w:r>
    </w:p>
    <w:p w14:paraId="4A920EF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支架焊接应牢固，无显著变形。各横撑间的垂直净距与设计偏差不应大于5mm；</w:t>
      </w:r>
    </w:p>
    <w:p w14:paraId="13AD3211">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金属电缆支架必须进行防腐处理。</w:t>
      </w:r>
    </w:p>
    <w:p w14:paraId="19984D3B">
      <w:pPr>
        <w:pStyle w:val="5"/>
        <w:rPr>
          <w:highlight w:val="none"/>
        </w:rPr>
      </w:pPr>
      <w:r>
        <w:rPr>
          <w:b/>
          <w:highlight w:val="none"/>
        </w:rPr>
        <w:t>12.6.</w:t>
      </w:r>
      <w:r>
        <w:rPr>
          <w:rFonts w:hint="eastAsia"/>
          <w:b/>
          <w:highlight w:val="none"/>
          <w:lang w:val="en-US" w:eastAsia="zh-CN"/>
        </w:rPr>
        <w:t>6</w:t>
      </w:r>
      <w:r>
        <w:rPr>
          <w:b/>
          <w:highlight w:val="none"/>
        </w:rPr>
        <w:t xml:space="preserve"> </w:t>
      </w:r>
      <w:r>
        <w:rPr>
          <w:highlight w:val="none"/>
        </w:rPr>
        <w:t xml:space="preserve"> 最下层支架距综合管廊底板的最小净距不小于100mm。</w:t>
      </w:r>
    </w:p>
    <w:p w14:paraId="6ED93A11">
      <w:pPr>
        <w:pStyle w:val="5"/>
        <w:rPr>
          <w:highlight w:val="none"/>
        </w:rPr>
      </w:pPr>
      <w:r>
        <w:rPr>
          <w:b/>
          <w:highlight w:val="none"/>
        </w:rPr>
        <w:t>12.6.</w:t>
      </w:r>
      <w:r>
        <w:rPr>
          <w:rFonts w:hint="eastAsia"/>
          <w:b/>
          <w:highlight w:val="none"/>
          <w:lang w:val="en-US" w:eastAsia="zh-CN"/>
        </w:rPr>
        <w:t>7</w:t>
      </w:r>
      <w:r>
        <w:rPr>
          <w:highlight w:val="none"/>
        </w:rPr>
        <w:t xml:space="preserve">  电缆支架应安装牢固，横平竖直。各支架的同层横档应在同一水平面上，其高低偏差不应大于5mm，支架的固定方式应按设计要求进行。</w:t>
      </w:r>
    </w:p>
    <w:p w14:paraId="5F7EDA40">
      <w:pPr>
        <w:pStyle w:val="5"/>
        <w:rPr>
          <w:highlight w:val="none"/>
        </w:rPr>
      </w:pPr>
      <w:r>
        <w:rPr>
          <w:b/>
          <w:highlight w:val="none"/>
        </w:rPr>
        <w:t>12.6.</w:t>
      </w:r>
      <w:r>
        <w:rPr>
          <w:rFonts w:hint="eastAsia"/>
          <w:b/>
          <w:highlight w:val="none"/>
          <w:lang w:val="en-US" w:eastAsia="zh-CN"/>
        </w:rPr>
        <w:t>8</w:t>
      </w:r>
      <w:r>
        <w:rPr>
          <w:highlight w:val="none"/>
        </w:rPr>
        <w:t xml:space="preserve">  电缆在支架上的敷设应符合下列要求：</w:t>
      </w:r>
    </w:p>
    <w:p w14:paraId="6395F22D">
      <w:pPr>
        <w:pStyle w:val="42"/>
        <w:overflowPunct w:val="0"/>
        <w:spacing w:line="348" w:lineRule="exact"/>
        <w:ind w:firstLine="424"/>
        <w:rPr>
          <w:rFonts w:ascii="Times New Roman" w:hAnsi="Times New Roman" w:eastAsia="方正书宋简体" w:cs="Times New Roman"/>
          <w:color w:val="000000" w:themeColor="text1"/>
          <w:spacing w:val="6"/>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控</w:t>
      </w:r>
      <w:r>
        <w:rPr>
          <w:rFonts w:ascii="Times New Roman" w:hAnsi="Times New Roman" w:eastAsia="方正书宋简体" w:cs="Times New Roman"/>
          <w:color w:val="000000" w:themeColor="text1"/>
          <w:spacing w:val="6"/>
          <w:highlight w:val="none"/>
          <w14:textFill>
            <w14:solidFill>
              <w14:schemeClr w14:val="tx1"/>
            </w14:solidFill>
          </w14:textFill>
        </w:rPr>
        <w:t>制电缆在普通支架上，不宜超过1层；桥架上不宜超过3层</w:t>
      </w:r>
      <w:r>
        <w:rPr>
          <w:rFonts w:ascii="Times New Roman" w:hAnsi="Times New Roman" w:eastAsia="方正书宋简体" w:cs="Times New Roman"/>
          <w:color w:val="000000" w:themeColor="text1"/>
          <w:highlight w:val="none"/>
          <w14:textFill>
            <w14:solidFill>
              <w14:schemeClr w14:val="tx1"/>
            </w14:solidFill>
          </w14:textFill>
        </w:rPr>
        <w:t>；</w:t>
      </w:r>
    </w:p>
    <w:p w14:paraId="10DBB923">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交流三芯电力电缆，在普通支吊架上不宜超过1层；桥架上不宜超过2层；</w:t>
      </w:r>
    </w:p>
    <w:p w14:paraId="0A456BA5">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交流单芯电力电缆，应布置在同侧支架上，并加以固定。当按紧贴的正三角</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形</w:t>
      </w:r>
      <w:r>
        <w:rPr>
          <w:rFonts w:ascii="Times New Roman" w:hAnsi="Times New Roman" w:eastAsia="方正书宋简体" w:cs="Times New Roman"/>
          <w:color w:val="000000" w:themeColor="text1"/>
          <w:highlight w:val="none"/>
          <w14:textFill>
            <w14:solidFill>
              <w14:schemeClr w14:val="tx1"/>
            </w14:solidFill>
          </w14:textFill>
        </w:rPr>
        <w:t>排列时，应每隔一定的距离用绑带扎牢，以免松散。</w:t>
      </w:r>
    </w:p>
    <w:p w14:paraId="188558D0">
      <w:pPr>
        <w:pStyle w:val="5"/>
        <w:rPr>
          <w:highlight w:val="none"/>
        </w:rPr>
      </w:pPr>
      <w:r>
        <w:rPr>
          <w:b/>
          <w:highlight w:val="none"/>
        </w:rPr>
        <w:t>12.6.</w:t>
      </w:r>
      <w:r>
        <w:rPr>
          <w:rFonts w:hint="eastAsia"/>
          <w:b/>
          <w:highlight w:val="none"/>
          <w:lang w:val="en-US" w:eastAsia="zh-CN"/>
        </w:rPr>
        <w:t>9</w:t>
      </w:r>
      <w:r>
        <w:rPr>
          <w:highlight w:val="none"/>
        </w:rPr>
        <w:t xml:space="preserve">  支架应符合下列规定：</w:t>
      </w:r>
    </w:p>
    <w:p w14:paraId="009CDED8">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表面应光滑无毛刺；</w:t>
      </w:r>
    </w:p>
    <w:p w14:paraId="7D5E4D6A">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应适应环境的耐久稳固；</w:t>
      </w:r>
    </w:p>
    <w:p w14:paraId="6F78E861">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应满足所需的承载能力；</w:t>
      </w:r>
    </w:p>
    <w:p w14:paraId="38A12E87">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应符合工程防火要求。</w:t>
      </w:r>
    </w:p>
    <w:p w14:paraId="2319AF48">
      <w:pPr>
        <w:pStyle w:val="5"/>
        <w:rPr>
          <w:highlight w:val="none"/>
        </w:rPr>
      </w:pPr>
      <w:r>
        <w:rPr>
          <w:b/>
          <w:highlight w:val="none"/>
        </w:rPr>
        <w:t>12.6.1</w:t>
      </w:r>
      <w:r>
        <w:rPr>
          <w:rFonts w:hint="eastAsia"/>
          <w:b/>
          <w:highlight w:val="none"/>
          <w:lang w:val="en-US" w:eastAsia="zh-CN"/>
        </w:rPr>
        <w:t>0</w:t>
      </w:r>
      <w:r>
        <w:rPr>
          <w:highlight w:val="none"/>
        </w:rPr>
        <w:t xml:space="preserve">  电缆放线架应放置妥当，钢轴的强度和长度应与电缆盘重量和宽度相匹配。</w:t>
      </w:r>
    </w:p>
    <w:p w14:paraId="0D48BCEB">
      <w:pPr>
        <w:pStyle w:val="5"/>
        <w:rPr>
          <w:highlight w:val="none"/>
        </w:rPr>
      </w:pPr>
      <w:r>
        <w:rPr>
          <w:b/>
          <w:highlight w:val="none"/>
        </w:rPr>
        <w:t>12.6.1</w:t>
      </w:r>
      <w:r>
        <w:rPr>
          <w:rFonts w:hint="eastAsia"/>
          <w:b/>
          <w:highlight w:val="none"/>
          <w:lang w:val="en-US" w:eastAsia="zh-CN"/>
        </w:rPr>
        <w:t>1</w:t>
      </w:r>
      <w:r>
        <w:rPr>
          <w:highlight w:val="none"/>
        </w:rPr>
        <w:t xml:space="preserve">  电缆敷设应排列整齐、顺直，不宜发生交叉，不得存在绞拧、铠装压扁、表面严重划伤和护层断裂等缺陷。管廊内水平敷设的电缆，首尾两端、转弯处及每隔5m~10m设固定点，电缆的首端、尾端和分支处设置电缆标志牌。</w:t>
      </w:r>
    </w:p>
    <w:p w14:paraId="13EA8364">
      <w:pPr>
        <w:pStyle w:val="5"/>
        <w:rPr>
          <w:highlight w:val="none"/>
        </w:rPr>
      </w:pPr>
      <w:r>
        <w:rPr>
          <w:b/>
          <w:highlight w:val="none"/>
        </w:rPr>
        <w:t>12.6.1</w:t>
      </w:r>
      <w:r>
        <w:rPr>
          <w:rFonts w:hint="eastAsia"/>
          <w:b/>
          <w:highlight w:val="none"/>
          <w:lang w:val="en-US" w:eastAsia="zh-CN"/>
        </w:rPr>
        <w:t>2</w:t>
      </w:r>
      <w:r>
        <w:rPr>
          <w:highlight w:val="none"/>
        </w:rPr>
        <w:t xml:space="preserve">  金属电缆桥架及支架和引入或引出的金属管线必须接地或接零可靠。</w:t>
      </w:r>
    </w:p>
    <w:p w14:paraId="56C9B3B2">
      <w:pPr>
        <w:pStyle w:val="5"/>
        <w:rPr>
          <w:highlight w:val="none"/>
        </w:rPr>
      </w:pPr>
      <w:bookmarkStart w:id="143" w:name="_Toc37689800"/>
      <w:r>
        <w:rPr>
          <w:b/>
          <w:highlight w:val="none"/>
        </w:rPr>
        <w:t>12.6.1</w:t>
      </w:r>
      <w:r>
        <w:rPr>
          <w:rFonts w:hint="eastAsia"/>
          <w:b/>
          <w:highlight w:val="none"/>
          <w:lang w:val="en-US" w:eastAsia="zh-CN"/>
        </w:rPr>
        <w:t>3</w:t>
      </w:r>
      <w:r>
        <w:rPr>
          <w:highlight w:val="none"/>
        </w:rPr>
        <w:t xml:space="preserve">  电力电缆在终端头与接头附近宜留有备用长度。</w:t>
      </w:r>
    </w:p>
    <w:p w14:paraId="48C6AE08">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12.7</w:t>
      </w:r>
      <w:r>
        <w:rPr>
          <w:color w:val="000000" w:themeColor="text1"/>
          <w:highlight w:val="none"/>
          <w14:textFill>
            <w14:solidFill>
              <w14:schemeClr w14:val="tx1"/>
            </w14:solidFill>
          </w14:textFill>
        </w:rPr>
        <w:t xml:space="preserve">  通 信 线 缆</w:t>
      </w:r>
      <w:bookmarkEnd w:id="143"/>
    </w:p>
    <w:p w14:paraId="60759A28">
      <w:pPr>
        <w:pStyle w:val="5"/>
        <w:rPr>
          <w:highlight w:val="none"/>
        </w:rPr>
      </w:pPr>
      <w:r>
        <w:rPr>
          <w:b/>
          <w:highlight w:val="none"/>
        </w:rPr>
        <w:t>12.7.1</w:t>
      </w:r>
      <w:r>
        <w:rPr>
          <w:highlight w:val="none"/>
        </w:rPr>
        <w:t xml:space="preserve">  通信管线施工应符合国家现行标准《综合布线系统工程验收规范》GB/T 50312及《通信线路工程验收规范》YD 5121、《光缆进线室验收规定》YD/T 5152的有关规定。</w:t>
      </w:r>
    </w:p>
    <w:p w14:paraId="79403352">
      <w:pPr>
        <w:pStyle w:val="5"/>
        <w:rPr>
          <w:highlight w:val="none"/>
        </w:rPr>
      </w:pPr>
      <w:r>
        <w:rPr>
          <w:b/>
          <w:highlight w:val="none"/>
        </w:rPr>
        <w:t>12.7.2</w:t>
      </w:r>
      <w:r>
        <w:rPr>
          <w:highlight w:val="none"/>
        </w:rPr>
        <w:t xml:space="preserve">  通信线缆的布放应自然平直，不得产生扭绞、打圈、接头等现象，不应受外力的挤压和损伤。</w:t>
      </w:r>
    </w:p>
    <w:p w14:paraId="05FB627F">
      <w:pPr>
        <w:pStyle w:val="5"/>
        <w:rPr>
          <w:highlight w:val="none"/>
        </w:rPr>
      </w:pPr>
      <w:r>
        <w:rPr>
          <w:b/>
          <w:highlight w:val="none"/>
        </w:rPr>
        <w:t>12.7.3</w:t>
      </w:r>
      <w:r>
        <w:rPr>
          <w:highlight w:val="none"/>
        </w:rPr>
        <w:t xml:space="preserve">  通信对绞电缆预留长度应满足设计要求。</w:t>
      </w:r>
    </w:p>
    <w:p w14:paraId="18CA36B1">
      <w:pPr>
        <w:pStyle w:val="5"/>
        <w:rPr>
          <w:highlight w:val="none"/>
        </w:rPr>
      </w:pPr>
      <w:r>
        <w:rPr>
          <w:b/>
          <w:highlight w:val="none"/>
        </w:rPr>
        <w:t>12.7.4</w:t>
      </w:r>
      <w:r>
        <w:rPr>
          <w:highlight w:val="none"/>
        </w:rPr>
        <w:t xml:space="preserve">  对于有安全保密要求的工程，通信线缆与信号线、电力线、接地线的间距应符合相应的保密规定。</w:t>
      </w:r>
    </w:p>
    <w:p w14:paraId="5EABBB07">
      <w:pPr>
        <w:pStyle w:val="5"/>
        <w:rPr>
          <w:highlight w:val="none"/>
        </w:rPr>
      </w:pPr>
      <w:r>
        <w:rPr>
          <w:b/>
          <w:highlight w:val="none"/>
        </w:rPr>
        <w:t>12.7.5</w:t>
      </w:r>
      <w:r>
        <w:rPr>
          <w:highlight w:val="none"/>
        </w:rPr>
        <w:t xml:space="preserve">  通信线缆采用桥架形式敷设时，桥架转弯半径不得小于桥架内线缆最小允许弯曲半径。</w:t>
      </w:r>
    </w:p>
    <w:p w14:paraId="48E70142">
      <w:pPr>
        <w:pStyle w:val="5"/>
        <w:rPr>
          <w:highlight w:val="none"/>
        </w:rPr>
      </w:pPr>
      <w:r>
        <w:rPr>
          <w:b/>
          <w:highlight w:val="none"/>
        </w:rPr>
        <w:t>12.7.6</w:t>
      </w:r>
      <w:r>
        <w:rPr>
          <w:highlight w:val="none"/>
        </w:rPr>
        <w:t xml:space="preserve">  光缆开盘后应先检查光缆端头封装是否良好。光缆外包装或光缆护套如有损伤，应对该盘光缆进行光纤性能指标测试，如有断纤，应进行处理，待检查合格才允许使用。光纤检测完毕，光缆端头应密封固定，恢复外包装。</w:t>
      </w:r>
    </w:p>
    <w:p w14:paraId="437FFC77">
      <w:pPr>
        <w:pStyle w:val="5"/>
        <w:rPr>
          <w:highlight w:val="none"/>
        </w:rPr>
      </w:pPr>
      <w:r>
        <w:rPr>
          <w:b/>
          <w:highlight w:val="none"/>
        </w:rPr>
        <w:t>12.7.7</w:t>
      </w:r>
      <w:r>
        <w:rPr>
          <w:highlight w:val="none"/>
        </w:rPr>
        <w:t xml:space="preserve">  桥架或线槽穿越防火隔墙时，缆线布放完后应采取防火封堵措施。</w:t>
      </w:r>
    </w:p>
    <w:p w14:paraId="4D721FFE">
      <w:pPr>
        <w:rPr>
          <w:highlight w:val="none"/>
        </w:rPr>
      </w:pPr>
      <w:r>
        <w:rPr>
          <w:highlight w:val="none"/>
        </w:rPr>
        <w:br w:type="page"/>
      </w:r>
    </w:p>
    <w:p w14:paraId="52B7CD51">
      <w:pPr>
        <w:pStyle w:val="2"/>
        <w:rPr>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3</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工程质量验收与资料管理</w:t>
      </w:r>
    </w:p>
    <w:p w14:paraId="578B80D4">
      <w:pPr>
        <w:pStyle w:val="4"/>
        <w:spacing w:before="156" w:after="156"/>
        <w:rPr>
          <w:rFonts w:hint="eastAsia" w:eastAsia="方正黑体简体"/>
          <w:b/>
          <w:color w:val="000000" w:themeColor="text1"/>
          <w:highlight w:val="none"/>
          <w:u w:val="none"/>
          <w:lang w:eastAsia="zh-CN"/>
          <w14:textFill>
            <w14:solidFill>
              <w14:schemeClr w14:val="tx1"/>
            </w14:solidFill>
          </w14:textFill>
        </w:rPr>
      </w:pPr>
      <w:r>
        <w:rPr>
          <w:rFonts w:hint="eastAsia"/>
          <w:b/>
          <w:bCs w:val="0"/>
          <w:color w:val="000000" w:themeColor="text1"/>
          <w:highlight w:val="none"/>
          <w:u w:val="none"/>
          <w:lang w:val="en-US" w:eastAsia="zh-CN"/>
          <w14:textFill>
            <w14:solidFill>
              <w14:schemeClr w14:val="tx1"/>
            </w14:solidFill>
          </w14:textFill>
        </w:rPr>
        <w:t>13</w:t>
      </w:r>
      <w:r>
        <w:rPr>
          <w:b/>
          <w:bCs w:val="0"/>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质 量 验 收</w:t>
      </w:r>
    </w:p>
    <w:p w14:paraId="3A5F2C1F">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 xml:space="preserve">.1.1 </w:t>
      </w:r>
      <w:r>
        <w:rPr>
          <w:highlight w:val="none"/>
          <w:u w:val="none"/>
        </w:rPr>
        <w:t xml:space="preserve"> </w:t>
      </w:r>
      <w:r>
        <w:rPr>
          <w:rFonts w:hint="eastAsia"/>
          <w:highlight w:val="none"/>
          <w:u w:val="none"/>
          <w:lang w:val="en-US" w:eastAsia="zh-CN"/>
        </w:rPr>
        <w:t>一般规定</w:t>
      </w:r>
      <w:r>
        <w:rPr>
          <w:highlight w:val="none"/>
          <w:u w:val="none"/>
        </w:rPr>
        <w:t>应符合下列规定：</w:t>
      </w:r>
    </w:p>
    <w:p w14:paraId="556CB43C">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综合管廊工程质量验收应遵循"验评分离、强化验收、过程控制"的原则</w:t>
      </w:r>
      <w:r>
        <w:rPr>
          <w:color w:val="000000" w:themeColor="text1"/>
          <w:highlight w:val="none"/>
          <w:u w:val="none"/>
          <w14:textFill>
            <w14:solidFill>
              <w14:schemeClr w14:val="tx1"/>
            </w14:solidFill>
          </w14:textFill>
        </w:rPr>
        <w:t>；</w:t>
      </w:r>
    </w:p>
    <w:p w14:paraId="027244A0">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工程质量验收应划分为检验批、分项工程、分部工程和单位工程四个层次</w:t>
      </w:r>
      <w:r>
        <w:rPr>
          <w:color w:val="000000" w:themeColor="text1"/>
          <w:highlight w:val="none"/>
          <w:u w:val="none"/>
          <w14:textFill>
            <w14:solidFill>
              <w14:schemeClr w14:val="tx1"/>
            </w14:solidFill>
          </w14:textFill>
        </w:rPr>
        <w:t>；</w:t>
      </w:r>
    </w:p>
    <w:p w14:paraId="2AC54974">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参加工程施工质量验收的各方人员应具备规定的资格，各种检查记录签证人员应报建设单位确认、备案</w:t>
      </w:r>
      <w:r>
        <w:rPr>
          <w:color w:val="000000" w:themeColor="text1"/>
          <w:highlight w:val="none"/>
          <w:u w:val="none"/>
          <w14:textFill>
            <w14:solidFill>
              <w14:schemeClr w14:val="tx1"/>
            </w14:solidFill>
          </w14:textFill>
        </w:rPr>
        <w:t>；</w:t>
      </w:r>
    </w:p>
    <w:p w14:paraId="2BE6189C">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工程施工质量验收均应在施工单位自检合格的基础上进行</w:t>
      </w:r>
      <w:r>
        <w:rPr>
          <w:color w:val="000000" w:themeColor="text1"/>
          <w:highlight w:val="none"/>
          <w:u w:val="none"/>
          <w14:textFill>
            <w14:solidFill>
              <w14:schemeClr w14:val="tx1"/>
            </w14:solidFill>
          </w14:textFill>
        </w:rPr>
        <w:t>；</w:t>
      </w:r>
    </w:p>
    <w:p w14:paraId="6E65A981">
      <w:pPr>
        <w:pStyle w:val="59"/>
        <w:pBdr>
          <w:top w:val="none" w:color="auto" w:sz="0" w:space="0"/>
          <w:left w:val="none" w:color="auto" w:sz="0" w:space="0"/>
          <w:bottom w:val="none" w:color="auto" w:sz="0" w:space="0"/>
          <w:right w:val="none" w:color="auto" w:sz="0" w:space="0"/>
          <w:between w:val="none" w:color="auto" w:sz="0" w:space="0"/>
        </w:pBdr>
        <w:ind w:firstLine="424"/>
        <w:rPr>
          <w:rFonts w:ascii="Times New Roman" w:hAnsi="Times New Roman" w:eastAsia="方正书宋简体" w:cs="Times New Roman"/>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5</w:t>
      </w:r>
      <w:r>
        <w:rPr>
          <w:color w:val="000000" w:themeColor="text1"/>
          <w:highlight w:val="none"/>
          <w:u w:val="none"/>
          <w14:textFill>
            <w14:solidFill>
              <w14:schemeClr w14:val="tx1"/>
            </w14:solidFill>
          </w14:textFill>
        </w:rPr>
        <w:t xml:space="preserve">  </w:t>
      </w:r>
      <w:r>
        <w:rPr>
          <w:highlight w:val="none"/>
          <w:u w:val="none"/>
        </w:rPr>
        <w:t>隐蔽工程在隐蔽前应由施工单位通知监理单位进行验收，并形成验收文件。</w:t>
      </w:r>
    </w:p>
    <w:p w14:paraId="03604589">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.1.</w:t>
      </w:r>
      <w:r>
        <w:rPr>
          <w:rFonts w:hint="eastAsia"/>
          <w:b/>
          <w:highlight w:val="none"/>
          <w:u w:val="none"/>
          <w:lang w:val="en-US" w:eastAsia="zh-CN"/>
        </w:rPr>
        <w:t>2</w:t>
      </w:r>
      <w:r>
        <w:rPr>
          <w:b/>
          <w:highlight w:val="none"/>
          <w:u w:val="none"/>
        </w:rPr>
        <w:t xml:space="preserve"> </w:t>
      </w:r>
      <w:r>
        <w:rPr>
          <w:highlight w:val="none"/>
          <w:u w:val="none"/>
        </w:rPr>
        <w:t xml:space="preserve"> </w:t>
      </w:r>
      <w:r>
        <w:rPr>
          <w:rFonts w:hint="eastAsia"/>
          <w:highlight w:val="none"/>
          <w:u w:val="none"/>
          <w:lang w:val="en-US" w:eastAsia="zh-CN"/>
        </w:rPr>
        <w:t>验收依据</w:t>
      </w:r>
      <w:r>
        <w:rPr>
          <w:highlight w:val="none"/>
          <w:u w:val="none"/>
        </w:rPr>
        <w:t>应符合下列规定：</w:t>
      </w:r>
    </w:p>
    <w:p w14:paraId="430480AA">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综合管廊工程施工质量验收应按照国家标准《建筑工程施工质量验收统一标准》GB 50300和《工业安装工程施工质量验收统一标准》GB/T 50252的有关规定执行</w:t>
      </w:r>
      <w:r>
        <w:rPr>
          <w:color w:val="000000" w:themeColor="text1"/>
          <w:highlight w:val="none"/>
          <w:u w:val="none"/>
          <w14:textFill>
            <w14:solidFill>
              <w14:schemeClr w14:val="tx1"/>
            </w14:solidFill>
          </w14:textFill>
        </w:rPr>
        <w:t>；</w:t>
      </w:r>
    </w:p>
    <w:p w14:paraId="00DA0BC0">
      <w:pPr>
        <w:pStyle w:val="59"/>
        <w:pBdr>
          <w:top w:val="none" w:color="auto" w:sz="0" w:space="0"/>
          <w:left w:val="none" w:color="auto" w:sz="0" w:space="0"/>
          <w:bottom w:val="none" w:color="auto" w:sz="0" w:space="0"/>
          <w:right w:val="none" w:color="auto" w:sz="0" w:space="0"/>
          <w:between w:val="none" w:color="auto" w:sz="0" w:space="0"/>
        </w:pBdr>
        <w:ind w:firstLine="424"/>
        <w:rPr>
          <w:rFonts w:ascii="Times New Roman" w:hAnsi="Times New Roman" w:eastAsia="方正书宋简体" w:cs="Times New Roman"/>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各专业工程的质量验收应符合相应专业验收规范的规定</w:t>
      </w:r>
      <w:r>
        <w:rPr>
          <w:color w:val="000000" w:themeColor="text1"/>
          <w:highlight w:val="none"/>
          <w:u w:val="none"/>
          <w14:textFill>
            <w14:solidFill>
              <w14:schemeClr w14:val="tx1"/>
            </w14:solidFill>
          </w14:textFill>
        </w:rPr>
        <w:t>；</w:t>
      </w:r>
    </w:p>
    <w:p w14:paraId="180E3693">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.1.</w:t>
      </w:r>
      <w:r>
        <w:rPr>
          <w:rFonts w:hint="eastAsia"/>
          <w:b/>
          <w:highlight w:val="none"/>
          <w:u w:val="none"/>
          <w:lang w:val="en-US" w:eastAsia="zh-CN"/>
        </w:rPr>
        <w:t>3</w:t>
      </w:r>
      <w:r>
        <w:rPr>
          <w:b/>
          <w:highlight w:val="none"/>
          <w:u w:val="none"/>
        </w:rPr>
        <w:t xml:space="preserve"> </w:t>
      </w:r>
      <w:r>
        <w:rPr>
          <w:highlight w:val="none"/>
          <w:u w:val="none"/>
        </w:rPr>
        <w:t xml:space="preserve"> </w:t>
      </w:r>
      <w:r>
        <w:rPr>
          <w:rFonts w:hint="eastAsia"/>
          <w:highlight w:val="none"/>
          <w:u w:val="none"/>
          <w:lang w:val="en-US" w:eastAsia="zh-CN"/>
        </w:rPr>
        <w:t>分部分项工程验收</w:t>
      </w:r>
      <w:r>
        <w:rPr>
          <w:highlight w:val="none"/>
          <w:u w:val="none"/>
        </w:rPr>
        <w:t>应符合下列规定：</w:t>
      </w:r>
    </w:p>
    <w:p w14:paraId="2DEEBF2D">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eastAsia="方正书宋简体"/>
          <w:color w:val="000000" w:themeColor="text1"/>
          <w:highlight w:val="none"/>
          <w:u w:val="none"/>
          <w:lang w:eastAsia="zh-CN"/>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 xml:space="preserve"> </w:t>
      </w:r>
      <w:r>
        <w:rPr>
          <w:highlight w:val="none"/>
          <w:u w:val="none"/>
        </w:rPr>
        <w:t>基础与结构工程质量验收</w:t>
      </w:r>
      <w:r>
        <w:rPr>
          <w:rFonts w:hint="eastAsia"/>
          <w:highlight w:val="none"/>
          <w:u w:val="none"/>
          <w:lang w:eastAsia="zh-CN"/>
        </w:rPr>
        <w:t>：</w:t>
      </w:r>
      <w:r>
        <w:rPr>
          <w:highlight w:val="none"/>
          <w:u w:val="none"/>
        </w:rPr>
        <w:t>地基、沟槽（基坑）工程施工质量验收应符合现行国家标准《建筑地基基础工程施工质量验收标准》GB 50202的规定</w:t>
      </w:r>
      <w:r>
        <w:rPr>
          <w:rFonts w:hint="eastAsia"/>
          <w:highlight w:val="none"/>
          <w:u w:val="none"/>
          <w:lang w:eastAsia="zh-CN"/>
        </w:rPr>
        <w:t>；</w:t>
      </w:r>
      <w:r>
        <w:rPr>
          <w:highlight w:val="none"/>
          <w:u w:val="none"/>
        </w:rPr>
        <w:t>混凝土结构工程施工质量验收应符合现行国家标准《混凝土结构工程施工质量验收规范》GB 50204的规定；防水工程质量验收应符合现行国家标准《地下防水工程质量验收规范》GB 50208的规定；特殊施工方法的质量验收应符合相应专业验收规范的规定</w:t>
      </w:r>
    </w:p>
    <w:p w14:paraId="60DFBB17">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eastAsia="方正书宋简体"/>
          <w:color w:val="000000" w:themeColor="text1"/>
          <w:highlight w:val="none"/>
          <w:u w:val="none"/>
          <w:lang w:eastAsia="zh-CN"/>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 xml:space="preserve"> </w:t>
      </w:r>
      <w:r>
        <w:rPr>
          <w:highlight w:val="none"/>
          <w:u w:val="none"/>
        </w:rPr>
        <w:t>附属工程质量验收</w:t>
      </w:r>
      <w:r>
        <w:rPr>
          <w:rFonts w:hint="eastAsia"/>
          <w:highlight w:val="none"/>
          <w:u w:val="none"/>
          <w:lang w:eastAsia="zh-CN"/>
        </w:rPr>
        <w:t>：</w:t>
      </w:r>
      <w:r>
        <w:rPr>
          <w:highlight w:val="none"/>
          <w:u w:val="none"/>
        </w:rPr>
        <w:t>消防系统质量验收应符合现行国家标准《建筑设计防火规范》GB 50016及相关专业验收规范的规定；通风系统质量验收应符合现行国家标准《通风与空调工程施工质量验收规范》GB 50243的规定；供电系统质量验收应符合现行国家标准《建筑电气工程施工质量验收规范》GB 50303的规定；照明系统质量验收应符合现行国家标准《建筑电气照明装置施工与验收规范》GB 50617的规定；监控与报警系统质量验收应符合现行国家标准《智能建筑工程质量验收规范》GB 50339的规定；排水系统质量验收应符合现行国家标准《建筑给水排水及采暖工程施工质量验收规范》GB 50242的规定。</w:t>
      </w:r>
    </w:p>
    <w:p w14:paraId="237FDF3B">
      <w:pPr>
        <w:pStyle w:val="59"/>
        <w:pBdr>
          <w:top w:val="none" w:color="auto" w:sz="0" w:space="0"/>
          <w:left w:val="none" w:color="auto" w:sz="0" w:space="0"/>
          <w:bottom w:val="none" w:color="auto" w:sz="0" w:space="0"/>
          <w:right w:val="none" w:color="auto" w:sz="0" w:space="0"/>
          <w:between w:val="none" w:color="auto" w:sz="0" w:space="0"/>
        </w:pBdr>
        <w:ind w:firstLine="424"/>
        <w:rPr>
          <w:highlight w:val="none"/>
          <w:u w:val="none"/>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管线工程质量验收</w:t>
      </w:r>
      <w:r>
        <w:rPr>
          <w:rFonts w:hint="eastAsia"/>
          <w:highlight w:val="none"/>
          <w:u w:val="none"/>
          <w:lang w:eastAsia="zh-CN"/>
        </w:rPr>
        <w:t>：</w:t>
      </w:r>
      <w:r>
        <w:rPr>
          <w:highlight w:val="none"/>
          <w:u w:val="none"/>
        </w:rPr>
        <w:t>给水、再生水、排水管道工程质量验收应符合现行国家标准《给水排水管道工程施工及验收规范》GB 50268的规定；燃气管道工程质量验收应符合现行行业标准《城镇燃气输配工程施工及验收标准》GB/T 51455的规定；热力管道工程质量验收应符合现行行业标准《城镇供热管网工程施工及验收规范》CJJ 28的规定；电力电缆工程质量验收应符合现行国家标准《电气装置安装工程电缆线路施工及验收标准》GB 50168的规定；通信线缆工程质量验收应符合现行国家标准《综合布线系统工程验收规范》GB/T 50312的规定。</w:t>
      </w:r>
    </w:p>
    <w:p w14:paraId="5C07E441">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.1.</w:t>
      </w:r>
      <w:r>
        <w:rPr>
          <w:rFonts w:hint="eastAsia"/>
          <w:b/>
          <w:highlight w:val="none"/>
          <w:u w:val="none"/>
          <w:lang w:val="en-US" w:eastAsia="zh-CN"/>
        </w:rPr>
        <w:t>4</w:t>
      </w:r>
      <w:r>
        <w:rPr>
          <w:b/>
          <w:highlight w:val="none"/>
          <w:u w:val="none"/>
        </w:rPr>
        <w:t xml:space="preserve"> </w:t>
      </w:r>
      <w:r>
        <w:rPr>
          <w:highlight w:val="none"/>
          <w:u w:val="none"/>
        </w:rPr>
        <w:t xml:space="preserve"> </w:t>
      </w:r>
      <w:r>
        <w:rPr>
          <w:rFonts w:hint="eastAsia"/>
          <w:highlight w:val="none"/>
          <w:u w:val="none"/>
          <w:lang w:val="en-US" w:eastAsia="zh-CN"/>
        </w:rPr>
        <w:t>验收程序</w:t>
      </w:r>
      <w:r>
        <w:rPr>
          <w:highlight w:val="none"/>
          <w:u w:val="none"/>
        </w:rPr>
        <w:t>应符合下列规定：</w:t>
      </w:r>
    </w:p>
    <w:p w14:paraId="10EDD238">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检验批验收：由监理工程师组织施工单位项目专业质量负责人进行验收</w:t>
      </w:r>
      <w:r>
        <w:rPr>
          <w:color w:val="000000" w:themeColor="text1"/>
          <w:highlight w:val="none"/>
          <w:u w:val="none"/>
          <w14:textFill>
            <w14:solidFill>
              <w14:schemeClr w14:val="tx1"/>
            </w14:solidFill>
          </w14:textFill>
        </w:rPr>
        <w:t>；</w:t>
      </w:r>
    </w:p>
    <w:p w14:paraId="4B452164">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分项工程验收：由监理工程师组织施工单位项目专业技术负责人进行验收</w:t>
      </w:r>
      <w:r>
        <w:rPr>
          <w:color w:val="000000" w:themeColor="text1"/>
          <w:highlight w:val="none"/>
          <w:u w:val="none"/>
          <w14:textFill>
            <w14:solidFill>
              <w14:schemeClr w14:val="tx1"/>
            </w14:solidFill>
          </w14:textFill>
        </w:rPr>
        <w:t>；</w:t>
      </w:r>
    </w:p>
    <w:p w14:paraId="2CBE0A89">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分部工程验收：由总监理工程师组织施工单位项目负责人和技术、质量负责人进行验收</w:t>
      </w:r>
      <w:r>
        <w:rPr>
          <w:color w:val="000000" w:themeColor="text1"/>
          <w:highlight w:val="none"/>
          <w:u w:val="none"/>
          <w14:textFill>
            <w14:solidFill>
              <w14:schemeClr w14:val="tx1"/>
            </w14:solidFill>
          </w14:textFill>
        </w:rPr>
        <w:t>；</w:t>
      </w:r>
    </w:p>
    <w:p w14:paraId="35377B25">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单位工程验收：由建设单位组织设计、施工、监理等单位进行验收</w:t>
      </w:r>
      <w:r>
        <w:rPr>
          <w:color w:val="000000" w:themeColor="text1"/>
          <w:highlight w:val="none"/>
          <w:u w:val="none"/>
          <w14:textFill>
            <w14:solidFill>
              <w14:schemeClr w14:val="tx1"/>
            </w14:solidFill>
          </w14:textFill>
        </w:rPr>
        <w:t>；</w:t>
      </w:r>
    </w:p>
    <w:p w14:paraId="783EDB6F">
      <w:pPr>
        <w:pStyle w:val="4"/>
        <w:spacing w:before="156" w:after="156"/>
        <w:rPr>
          <w:rFonts w:hint="eastAsia" w:eastAsia="方正黑体简体"/>
          <w:b/>
          <w:color w:val="000000" w:themeColor="text1"/>
          <w:highlight w:val="none"/>
          <w:u w:val="none"/>
          <w:lang w:eastAsia="zh-CN"/>
          <w14:textFill>
            <w14:solidFill>
              <w14:schemeClr w14:val="tx1"/>
            </w14:solidFill>
          </w14:textFill>
        </w:rPr>
      </w:pPr>
      <w:r>
        <w:rPr>
          <w:rFonts w:hint="eastAsia"/>
          <w:b/>
          <w:bCs w:val="0"/>
          <w:color w:val="000000" w:themeColor="text1"/>
          <w:highlight w:val="none"/>
          <w:u w:val="none"/>
          <w:lang w:val="en-US" w:eastAsia="zh-CN"/>
          <w14:textFill>
            <w14:solidFill>
              <w14:schemeClr w14:val="tx1"/>
            </w14:solidFill>
          </w14:textFill>
        </w:rPr>
        <w:t>13</w:t>
      </w:r>
      <w:r>
        <w:rPr>
          <w:b/>
          <w:bCs w:val="0"/>
          <w:color w:val="000000" w:themeColor="text1"/>
          <w:highlight w:val="none"/>
          <w:u w:val="none"/>
          <w14:textFill>
            <w14:solidFill>
              <w14:schemeClr w14:val="tx1"/>
            </w14:solidFill>
          </w14:textFill>
        </w:rPr>
        <w:t>.</w:t>
      </w:r>
      <w:r>
        <w:rPr>
          <w:rFonts w:hint="eastAsia"/>
          <w:b/>
          <w:bCs w:val="0"/>
          <w:color w:val="000000" w:themeColor="text1"/>
          <w:highlight w:val="none"/>
          <w:u w:val="none"/>
          <w:lang w:val="en-US" w:eastAsia="zh-CN"/>
          <w14:textFill>
            <w14:solidFill>
              <w14:schemeClr w14:val="tx1"/>
            </w14:solidFill>
          </w14:textFill>
        </w:rPr>
        <w:t>2</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资 料 管 理</w:t>
      </w:r>
    </w:p>
    <w:p w14:paraId="71969742">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w:t>
      </w:r>
      <w:r>
        <w:rPr>
          <w:rFonts w:hint="eastAsia"/>
          <w:b/>
          <w:highlight w:val="none"/>
          <w:u w:val="none"/>
          <w:lang w:val="en-US" w:eastAsia="zh-CN"/>
        </w:rPr>
        <w:t>2</w:t>
      </w:r>
      <w:r>
        <w:rPr>
          <w:b/>
          <w:highlight w:val="none"/>
          <w:u w:val="none"/>
        </w:rPr>
        <w:t xml:space="preserve">.1 </w:t>
      </w:r>
      <w:r>
        <w:rPr>
          <w:highlight w:val="none"/>
          <w:u w:val="none"/>
        </w:rPr>
        <w:t xml:space="preserve"> </w:t>
      </w:r>
      <w:r>
        <w:rPr>
          <w:rFonts w:hint="eastAsia"/>
          <w:highlight w:val="none"/>
          <w:u w:val="none"/>
          <w:lang w:val="en-US" w:eastAsia="zh-CN"/>
        </w:rPr>
        <w:t>一般规定</w:t>
      </w:r>
      <w:r>
        <w:rPr>
          <w:highlight w:val="none"/>
          <w:u w:val="none"/>
        </w:rPr>
        <w:t>应符合下列规定：</w:t>
      </w:r>
    </w:p>
    <w:p w14:paraId="65F24DBC">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综合管廊工程资料管理应遵循"及时、准确、完整、系统"的原则</w:t>
      </w:r>
      <w:r>
        <w:rPr>
          <w:color w:val="000000" w:themeColor="text1"/>
          <w:highlight w:val="none"/>
          <w:u w:val="none"/>
          <w14:textFill>
            <w14:solidFill>
              <w14:schemeClr w14:val="tx1"/>
            </w14:solidFill>
          </w14:textFill>
        </w:rPr>
        <w:t>；</w:t>
      </w:r>
    </w:p>
    <w:p w14:paraId="0A3EA0BA">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工程资料应与工程进度同步收集、整理，并按规定移交</w:t>
      </w:r>
      <w:r>
        <w:rPr>
          <w:color w:val="000000" w:themeColor="text1"/>
          <w:highlight w:val="none"/>
          <w:u w:val="none"/>
          <w14:textFill>
            <w14:solidFill>
              <w14:schemeClr w14:val="tx1"/>
            </w14:solidFill>
          </w14:textFill>
        </w:rPr>
        <w:t>；</w:t>
      </w:r>
    </w:p>
    <w:p w14:paraId="0AFBEEA1">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工程资料应为原件，当为复印件时，应加盖复印件提供单位的公章，并注明原件存放处</w:t>
      </w:r>
      <w:r>
        <w:rPr>
          <w:color w:val="000000" w:themeColor="text1"/>
          <w:highlight w:val="none"/>
          <w:u w:val="none"/>
          <w14:textFill>
            <w14:solidFill>
              <w14:schemeClr w14:val="tx1"/>
            </w14:solidFill>
          </w14:textFill>
        </w:rPr>
        <w:t>；</w:t>
      </w:r>
    </w:p>
    <w:p w14:paraId="6812AB2B">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eastAsia="方正书宋简体"/>
          <w:color w:val="000000" w:themeColor="text1"/>
          <w:highlight w:val="none"/>
          <w:u w:val="none"/>
          <w:lang w:eastAsia="zh-CN"/>
          <w14:textFill>
            <w14:solidFill>
              <w14:schemeClr w14:val="tx1"/>
            </w14:solidFill>
          </w14:textFill>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工程资料的填写应规范、清晰，签字</w:t>
      </w:r>
      <w:r>
        <w:rPr>
          <w:rFonts w:hint="eastAsia"/>
          <w:highlight w:val="none"/>
          <w:u w:val="none"/>
          <w:lang w:val="en-US" w:eastAsia="zh-CN"/>
        </w:rPr>
        <w:t>盖章</w:t>
      </w:r>
      <w:r>
        <w:rPr>
          <w:highlight w:val="none"/>
          <w:u w:val="none"/>
        </w:rPr>
        <w:t>手续应齐全</w:t>
      </w:r>
      <w:r>
        <w:rPr>
          <w:rFonts w:hint="eastAsia"/>
          <w:color w:val="000000" w:themeColor="text1"/>
          <w:highlight w:val="none"/>
          <w:u w:val="none"/>
          <w:lang w:eastAsia="zh-CN"/>
          <w14:textFill>
            <w14:solidFill>
              <w14:schemeClr w14:val="tx1"/>
            </w14:solidFill>
          </w14:textFill>
        </w:rPr>
        <w:t>。</w:t>
      </w:r>
    </w:p>
    <w:p w14:paraId="76409C21">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w:t>
      </w:r>
      <w:r>
        <w:rPr>
          <w:rFonts w:hint="eastAsia"/>
          <w:b/>
          <w:highlight w:val="none"/>
          <w:u w:val="none"/>
          <w:lang w:val="en-US" w:eastAsia="zh-CN"/>
        </w:rPr>
        <w:t>2</w:t>
      </w:r>
      <w:r>
        <w:rPr>
          <w:b/>
          <w:highlight w:val="none"/>
          <w:u w:val="none"/>
        </w:rPr>
        <w:t>.</w:t>
      </w:r>
      <w:r>
        <w:rPr>
          <w:rFonts w:hint="eastAsia"/>
          <w:b/>
          <w:highlight w:val="none"/>
          <w:u w:val="none"/>
          <w:lang w:val="en-US" w:eastAsia="zh-CN"/>
        </w:rPr>
        <w:t>2</w:t>
      </w:r>
      <w:r>
        <w:rPr>
          <w:b/>
          <w:highlight w:val="none"/>
          <w:u w:val="none"/>
        </w:rPr>
        <w:t xml:space="preserve"> </w:t>
      </w:r>
      <w:r>
        <w:rPr>
          <w:highlight w:val="none"/>
          <w:u w:val="none"/>
        </w:rPr>
        <w:t xml:space="preserve"> </w:t>
      </w:r>
      <w:r>
        <w:rPr>
          <w:rFonts w:hint="eastAsia"/>
          <w:highlight w:val="none"/>
          <w:u w:val="none"/>
          <w:lang w:val="en-US" w:eastAsia="zh-CN"/>
        </w:rPr>
        <w:t>资料分类</w:t>
      </w:r>
      <w:r>
        <w:rPr>
          <w:highlight w:val="none"/>
          <w:u w:val="none"/>
        </w:rPr>
        <w:t>应符合下列规定：</w:t>
      </w:r>
    </w:p>
    <w:p w14:paraId="25E80887">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基建文件：包括立项文件、建设用地文件、勘察设计文件、招投标文件、合同文件等；</w:t>
      </w:r>
    </w:p>
    <w:p w14:paraId="1A26E222">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监理资料：包括监理规划、监理实施细则、监理月报、监理会议纪要、质量控制资料等；</w:t>
      </w:r>
    </w:p>
    <w:p w14:paraId="1FFA16E1">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施工资料：包括施工管理资料、施工技术资料、施工测量记录、施工物资资料、施工记录、施工试验记录、施工质量验收记录等；</w:t>
      </w:r>
    </w:p>
    <w:p w14:paraId="575FE345">
      <w:pPr>
        <w:pStyle w:val="59"/>
        <w:pBdr>
          <w:top w:val="none" w:color="auto" w:sz="0" w:space="0"/>
          <w:left w:val="none" w:color="auto" w:sz="0" w:space="0"/>
          <w:bottom w:val="none" w:color="auto" w:sz="0" w:space="0"/>
          <w:right w:val="none" w:color="auto" w:sz="0" w:space="0"/>
          <w:between w:val="none" w:color="auto" w:sz="0" w:space="0"/>
        </w:pBdr>
        <w:ind w:firstLine="424"/>
        <w:rPr>
          <w:highlight w:val="none"/>
          <w:u w:val="none"/>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竣工图资料：包括综合管廊总体竣工图、结构竣工图、附属设施竣工图、管线安装竣工图等</w:t>
      </w:r>
    </w:p>
    <w:p w14:paraId="51D2476C">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w:t>
      </w:r>
      <w:r>
        <w:rPr>
          <w:rFonts w:hint="eastAsia"/>
          <w:b/>
          <w:highlight w:val="none"/>
          <w:u w:val="none"/>
          <w:lang w:val="en-US" w:eastAsia="zh-CN"/>
        </w:rPr>
        <w:t>2</w:t>
      </w:r>
      <w:r>
        <w:rPr>
          <w:b/>
          <w:highlight w:val="none"/>
          <w:u w:val="none"/>
        </w:rPr>
        <w:t>.</w:t>
      </w:r>
      <w:r>
        <w:rPr>
          <w:rFonts w:hint="eastAsia"/>
          <w:b/>
          <w:highlight w:val="none"/>
          <w:u w:val="none"/>
          <w:lang w:val="en-US" w:eastAsia="zh-CN"/>
        </w:rPr>
        <w:t>3</w:t>
      </w:r>
      <w:r>
        <w:rPr>
          <w:b/>
          <w:highlight w:val="none"/>
          <w:u w:val="none"/>
        </w:rPr>
        <w:t xml:space="preserve"> </w:t>
      </w:r>
      <w:r>
        <w:rPr>
          <w:highlight w:val="none"/>
          <w:u w:val="none"/>
        </w:rPr>
        <w:t xml:space="preserve"> </w:t>
      </w:r>
      <w:r>
        <w:rPr>
          <w:rFonts w:hint="eastAsia"/>
          <w:highlight w:val="none"/>
          <w:u w:val="none"/>
          <w:lang w:val="en-US" w:eastAsia="zh-CN"/>
        </w:rPr>
        <w:t>资料归档</w:t>
      </w:r>
      <w:r>
        <w:rPr>
          <w:highlight w:val="none"/>
          <w:u w:val="none"/>
        </w:rPr>
        <w:t>应符合下列规定：</w:t>
      </w:r>
    </w:p>
    <w:p w14:paraId="38002820">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工程资料归档应符合现行国家标准《建设工程文件归档规范》GB/T 50328的规定；</w:t>
      </w:r>
    </w:p>
    <w:p w14:paraId="4C649494">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归档资料应按专业、系统进行整理，做到分类有序、装订整齐；</w:t>
      </w:r>
    </w:p>
    <w:p w14:paraId="5D29B295">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工程竣工验收前，施工单位应完成工程资料的整理、组卷工作；</w:t>
      </w:r>
    </w:p>
    <w:p w14:paraId="757DD7CC">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highlight w:val="none"/>
          <w:u w:val="none"/>
          <w:lang w:eastAsia="zh-CN"/>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工程竣工验收后，建设单位应在规定时间内将工程资料移交城建档案管理部门</w:t>
      </w:r>
      <w:r>
        <w:rPr>
          <w:rFonts w:hint="eastAsia"/>
          <w:highlight w:val="none"/>
          <w:u w:val="none"/>
          <w:lang w:eastAsia="zh-CN"/>
        </w:rPr>
        <w:t>。</w:t>
      </w:r>
    </w:p>
    <w:p w14:paraId="40F4F6CF">
      <w:pPr>
        <w:pStyle w:val="5"/>
        <w:rPr>
          <w:highlight w:val="none"/>
          <w:u w:val="none"/>
        </w:rPr>
      </w:pPr>
      <w:r>
        <w:rPr>
          <w:b/>
          <w:highlight w:val="none"/>
          <w:u w:val="none"/>
        </w:rPr>
        <w:t>1</w:t>
      </w:r>
      <w:r>
        <w:rPr>
          <w:rFonts w:hint="eastAsia"/>
          <w:b/>
          <w:highlight w:val="none"/>
          <w:u w:val="none"/>
          <w:lang w:val="en-US" w:eastAsia="zh-CN"/>
        </w:rPr>
        <w:t>3</w:t>
      </w:r>
      <w:r>
        <w:rPr>
          <w:b/>
          <w:highlight w:val="none"/>
          <w:u w:val="none"/>
        </w:rPr>
        <w:t>.</w:t>
      </w:r>
      <w:r>
        <w:rPr>
          <w:rFonts w:hint="eastAsia"/>
          <w:b/>
          <w:highlight w:val="none"/>
          <w:u w:val="none"/>
          <w:lang w:val="en-US" w:eastAsia="zh-CN"/>
        </w:rPr>
        <w:t>2</w:t>
      </w:r>
      <w:r>
        <w:rPr>
          <w:b/>
          <w:highlight w:val="none"/>
          <w:u w:val="none"/>
        </w:rPr>
        <w:t>.</w:t>
      </w:r>
      <w:r>
        <w:rPr>
          <w:rFonts w:hint="eastAsia"/>
          <w:b/>
          <w:highlight w:val="none"/>
          <w:u w:val="none"/>
          <w:lang w:val="en-US" w:eastAsia="zh-CN"/>
        </w:rPr>
        <w:t>4</w:t>
      </w:r>
      <w:r>
        <w:rPr>
          <w:b/>
          <w:highlight w:val="none"/>
          <w:u w:val="none"/>
        </w:rPr>
        <w:t xml:space="preserve"> </w:t>
      </w:r>
      <w:r>
        <w:rPr>
          <w:highlight w:val="none"/>
          <w:u w:val="none"/>
        </w:rPr>
        <w:t xml:space="preserve"> </w:t>
      </w:r>
      <w:r>
        <w:rPr>
          <w:rFonts w:hint="eastAsia"/>
          <w:highlight w:val="none"/>
          <w:u w:val="none"/>
          <w:lang w:val="en-US" w:eastAsia="zh-CN"/>
        </w:rPr>
        <w:t>数字化管理</w:t>
      </w:r>
      <w:r>
        <w:rPr>
          <w:highlight w:val="none"/>
          <w:u w:val="none"/>
        </w:rPr>
        <w:t>应符合下列规定：</w:t>
      </w:r>
    </w:p>
    <w:p w14:paraId="4747B82D">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1</w:t>
      </w:r>
      <w:r>
        <w:rPr>
          <w:color w:val="000000" w:themeColor="text1"/>
          <w:highlight w:val="none"/>
          <w:u w:val="none"/>
          <w14:textFill>
            <w14:solidFill>
              <w14:schemeClr w14:val="tx1"/>
            </w14:solidFill>
          </w14:textFill>
        </w:rPr>
        <w:t xml:space="preserve">  </w:t>
      </w:r>
      <w:r>
        <w:rPr>
          <w:highlight w:val="none"/>
          <w:u w:val="none"/>
        </w:rPr>
        <w:t>鼓励采用信息化技术进行工程资料管理，建立电子档案；</w:t>
      </w:r>
    </w:p>
    <w:p w14:paraId="63CFBDA3">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w:t>
      </w:r>
      <w:r>
        <w:rPr>
          <w:highlight w:val="none"/>
          <w:u w:val="none"/>
        </w:rPr>
        <w:t>电子档案的形成、收集、整理、归档应符合相关标准规范的规定；</w:t>
      </w:r>
    </w:p>
    <w:p w14:paraId="50DA6D0B">
      <w:pPr>
        <w:pStyle w:val="59"/>
        <w:pBdr>
          <w:top w:val="none" w:color="auto" w:sz="0" w:space="0"/>
          <w:left w:val="none" w:color="auto" w:sz="0" w:space="0"/>
          <w:bottom w:val="none" w:color="auto" w:sz="0" w:space="0"/>
          <w:right w:val="none" w:color="auto" w:sz="0" w:space="0"/>
          <w:between w:val="none" w:color="auto" w:sz="0" w:space="0"/>
        </w:pBdr>
        <w:ind w:firstLine="424"/>
        <w:rPr>
          <w:color w:val="000000" w:themeColor="text1"/>
          <w:highlight w:val="none"/>
          <w:u w:val="none"/>
          <w14:textFill>
            <w14:solidFill>
              <w14:schemeClr w14:val="tx1"/>
            </w14:solidFill>
          </w14:textFill>
        </w:rPr>
      </w:pPr>
      <w:r>
        <w:rPr>
          <w:b/>
          <w:bCs/>
          <w:color w:val="000000" w:themeColor="text1"/>
          <w:highlight w:val="none"/>
          <w:u w:val="none"/>
          <w14:textFill>
            <w14:solidFill>
              <w14:schemeClr w14:val="tx1"/>
            </w14:solidFill>
          </w14:textFill>
        </w:rPr>
        <w:t>3</w:t>
      </w:r>
      <w:r>
        <w:rPr>
          <w:color w:val="000000" w:themeColor="text1"/>
          <w:highlight w:val="none"/>
          <w:u w:val="none"/>
          <w14:textFill>
            <w14:solidFill>
              <w14:schemeClr w14:val="tx1"/>
            </w14:solidFill>
          </w14:textFill>
        </w:rPr>
        <w:t xml:space="preserve">  </w:t>
      </w:r>
      <w:r>
        <w:rPr>
          <w:highlight w:val="none"/>
          <w:u w:val="none"/>
        </w:rPr>
        <w:t>电子档案应具有真实性、完整性、可用性和安全性；</w:t>
      </w:r>
    </w:p>
    <w:p w14:paraId="6ABDB072">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highlight w:val="none"/>
          <w:u w:val="none"/>
          <w:lang w:eastAsia="zh-CN"/>
        </w:rPr>
      </w:pPr>
      <w:r>
        <w:rPr>
          <w:b/>
          <w:bCs/>
          <w:color w:val="000000" w:themeColor="text1"/>
          <w:highlight w:val="none"/>
          <w:u w:val="none"/>
          <w14:textFill>
            <w14:solidFill>
              <w14:schemeClr w14:val="tx1"/>
            </w14:solidFill>
          </w14:textFill>
        </w:rPr>
        <w:t>4</w:t>
      </w:r>
      <w:r>
        <w:rPr>
          <w:color w:val="000000" w:themeColor="text1"/>
          <w:highlight w:val="none"/>
          <w:u w:val="none"/>
          <w14:textFill>
            <w14:solidFill>
              <w14:schemeClr w14:val="tx1"/>
            </w14:solidFill>
          </w14:textFill>
        </w:rPr>
        <w:t xml:space="preserve">  </w:t>
      </w:r>
      <w:r>
        <w:rPr>
          <w:highlight w:val="none"/>
          <w:u w:val="none"/>
        </w:rPr>
        <w:t>重要的工程资料应同时保存纸质档案和电子档案</w:t>
      </w:r>
      <w:r>
        <w:rPr>
          <w:rFonts w:hint="eastAsia"/>
          <w:highlight w:val="none"/>
          <w:u w:val="none"/>
          <w:lang w:eastAsia="zh-CN"/>
        </w:rPr>
        <w:t>。</w:t>
      </w:r>
    </w:p>
    <w:p w14:paraId="7FE37AC9">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highlight w:val="none"/>
          <w:lang w:eastAsia="zh-CN"/>
        </w:rPr>
      </w:pPr>
    </w:p>
    <w:p w14:paraId="50329281">
      <w:pPr>
        <w:pStyle w:val="59"/>
        <w:pBdr>
          <w:top w:val="none" w:color="auto" w:sz="0" w:space="0"/>
          <w:left w:val="none" w:color="auto" w:sz="0" w:space="0"/>
          <w:bottom w:val="none" w:color="auto" w:sz="0" w:space="0"/>
          <w:right w:val="none" w:color="auto" w:sz="0" w:space="0"/>
          <w:between w:val="none" w:color="auto" w:sz="0" w:space="0"/>
        </w:pBdr>
        <w:ind w:firstLine="424"/>
        <w:rPr>
          <w:rFonts w:hint="eastAsia"/>
          <w:highlight w:val="none"/>
          <w:lang w:eastAsia="zh-CN"/>
        </w:rPr>
        <w:sectPr>
          <w:footerReference r:id="rId11" w:type="default"/>
          <w:pgSz w:w="7937" w:h="11509"/>
          <w:pgMar w:top="1020" w:right="907" w:bottom="1020" w:left="907" w:header="737" w:footer="737" w:gutter="0"/>
          <w:pgNumType w:fmt="decimal" w:start="36"/>
          <w:cols w:space="0" w:num="1"/>
          <w:docGrid w:type="linesAndChars" w:linePitch="312" w:charSpace="233"/>
        </w:sectPr>
      </w:pPr>
    </w:p>
    <w:p w14:paraId="732E2547">
      <w:pPr>
        <w:pStyle w:val="2"/>
        <w:rPr>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14:textFill>
            <w14:solidFill>
              <w14:schemeClr w14:val="tx1"/>
            </w14:solidFill>
          </w14:textFill>
        </w:rPr>
        <w:t>4</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安全与绿色施工</w:t>
      </w:r>
    </w:p>
    <w:p w14:paraId="09F7CCD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w:t>
      </w:r>
      <w:r>
        <w:rPr>
          <w:rFonts w:hint="eastAsia"/>
          <w:b/>
          <w:bCs w:val="0"/>
          <w:color w:val="000000" w:themeColor="text1"/>
          <w:highlight w:val="none"/>
          <w14:textFill>
            <w14:solidFill>
              <w14:schemeClr w14:val="tx1"/>
            </w14:solidFill>
          </w14:textFill>
        </w:rPr>
        <w:t>4</w:t>
      </w:r>
      <w:r>
        <w:rPr>
          <w:b/>
          <w:bCs w:val="0"/>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安 全 施 工</w:t>
      </w:r>
    </w:p>
    <w:p w14:paraId="099B2BC2">
      <w:pPr>
        <w:pStyle w:val="5"/>
        <w:rPr>
          <w:highlight w:val="none"/>
        </w:rPr>
      </w:pPr>
      <w:r>
        <w:rPr>
          <w:b/>
          <w:highlight w:val="none"/>
        </w:rPr>
        <w:t>1</w:t>
      </w:r>
      <w:r>
        <w:rPr>
          <w:rFonts w:hint="eastAsia"/>
          <w:b/>
          <w:highlight w:val="none"/>
        </w:rPr>
        <w:t>4</w:t>
      </w:r>
      <w:r>
        <w:rPr>
          <w:b/>
          <w:highlight w:val="none"/>
        </w:rPr>
        <w:t xml:space="preserve">.1.1 </w:t>
      </w:r>
      <w:r>
        <w:rPr>
          <w:highlight w:val="none"/>
        </w:rPr>
        <w:t xml:space="preserve"> 施工单位必须取得安全生产许可证，并应遵守有关施工安全、劳动保护、防火、防毒的法律、法规，建立安全管理体系和安全生产责任制，确保安全施工。</w:t>
      </w:r>
    </w:p>
    <w:p w14:paraId="2E6D5F9C">
      <w:pPr>
        <w:pStyle w:val="5"/>
        <w:rPr>
          <w:highlight w:val="none"/>
        </w:rPr>
      </w:pPr>
      <w:r>
        <w:rPr>
          <w:b/>
          <w:highlight w:val="none"/>
        </w:rPr>
        <w:t>1</w:t>
      </w:r>
      <w:r>
        <w:rPr>
          <w:rFonts w:hint="eastAsia"/>
          <w:b/>
          <w:highlight w:val="none"/>
        </w:rPr>
        <w:t>4</w:t>
      </w:r>
      <w:r>
        <w:rPr>
          <w:b/>
          <w:highlight w:val="none"/>
        </w:rPr>
        <w:t>.1.2</w:t>
      </w:r>
      <w:r>
        <w:rPr>
          <w:highlight w:val="none"/>
        </w:rPr>
        <w:t xml:space="preserve">  项目经理、专职安全员和特殊工种的作业人员应持证上岗。</w:t>
      </w:r>
    </w:p>
    <w:p w14:paraId="0E2A3643">
      <w:pPr>
        <w:pStyle w:val="5"/>
        <w:rPr>
          <w:highlight w:val="none"/>
        </w:rPr>
      </w:pPr>
      <w:r>
        <w:rPr>
          <w:b/>
          <w:highlight w:val="none"/>
        </w:rPr>
        <w:t>1</w:t>
      </w:r>
      <w:r>
        <w:rPr>
          <w:rFonts w:hint="eastAsia"/>
          <w:b/>
          <w:highlight w:val="none"/>
        </w:rPr>
        <w:t>4</w:t>
      </w:r>
      <w:r>
        <w:rPr>
          <w:b/>
          <w:highlight w:val="none"/>
        </w:rPr>
        <w:t>.1.3</w:t>
      </w:r>
      <w:r>
        <w:rPr>
          <w:highlight w:val="none"/>
        </w:rPr>
        <w:t xml:space="preserve">  施工现场项目管理机构应建立安全生产责任制，制定安全生产管理目标，对目标进行分解并考核；应编制安全资金使用计划，并按计划实施。</w:t>
      </w:r>
    </w:p>
    <w:p w14:paraId="01AB07FD">
      <w:pPr>
        <w:pStyle w:val="5"/>
        <w:rPr>
          <w:highlight w:val="none"/>
        </w:rPr>
      </w:pPr>
      <w:r>
        <w:rPr>
          <w:b/>
          <w:highlight w:val="none"/>
        </w:rPr>
        <w:t>1</w:t>
      </w:r>
      <w:r>
        <w:rPr>
          <w:rFonts w:hint="eastAsia"/>
          <w:b/>
          <w:highlight w:val="none"/>
        </w:rPr>
        <w:t>4</w:t>
      </w:r>
      <w:r>
        <w:rPr>
          <w:b/>
          <w:highlight w:val="none"/>
        </w:rPr>
        <w:t>.1.4</w:t>
      </w:r>
      <w:r>
        <w:rPr>
          <w:highlight w:val="none"/>
        </w:rPr>
        <w:t xml:space="preserve">  施工现场项目管理机构应有各工种安全技术操作规程，按规定配备专职安全员。</w:t>
      </w:r>
    </w:p>
    <w:p w14:paraId="3FD87EC3">
      <w:pPr>
        <w:pStyle w:val="5"/>
        <w:rPr>
          <w:highlight w:val="none"/>
        </w:rPr>
      </w:pPr>
      <w:r>
        <w:rPr>
          <w:b/>
          <w:highlight w:val="none"/>
        </w:rPr>
        <w:t>1</w:t>
      </w:r>
      <w:r>
        <w:rPr>
          <w:rFonts w:hint="eastAsia"/>
          <w:b/>
          <w:highlight w:val="none"/>
        </w:rPr>
        <w:t>4</w:t>
      </w:r>
      <w:r>
        <w:rPr>
          <w:b/>
          <w:highlight w:val="none"/>
        </w:rPr>
        <w:t>.1.5</w:t>
      </w:r>
      <w:r>
        <w:rPr>
          <w:highlight w:val="none"/>
        </w:rPr>
        <w:t xml:space="preserve">  施工现场项目管理机构在编制施工组织设计时，应针对工程特点、施工工艺制定安全技术措施，应识别危险性较大的分部分项工程，编制施工安全专项方案，对于超过一定规模危险性较大的分部分项工程，应当组织召开专家论证会对专项施工方案进行论证。</w:t>
      </w:r>
    </w:p>
    <w:p w14:paraId="429C1456">
      <w:pPr>
        <w:pStyle w:val="5"/>
        <w:rPr>
          <w:highlight w:val="none"/>
        </w:rPr>
      </w:pPr>
      <w:r>
        <w:rPr>
          <w:b/>
          <w:highlight w:val="none"/>
        </w:rPr>
        <w:t>1</w:t>
      </w:r>
      <w:r>
        <w:rPr>
          <w:rFonts w:hint="eastAsia"/>
          <w:b/>
          <w:highlight w:val="none"/>
        </w:rPr>
        <w:t>4</w:t>
      </w:r>
      <w:r>
        <w:rPr>
          <w:b/>
          <w:highlight w:val="none"/>
        </w:rPr>
        <w:t>.1.6</w:t>
      </w:r>
      <w:r>
        <w:rPr>
          <w:highlight w:val="none"/>
        </w:rPr>
        <w:t xml:space="preserve">  施工负责人在分派施工任务时，应对相关管理人员、施工作业人员进行书面安全技术交底，安全技术交底应由交底人、被交底人、专职安全员进行签字确认。</w:t>
      </w:r>
    </w:p>
    <w:p w14:paraId="68D7FCE1">
      <w:pPr>
        <w:pStyle w:val="5"/>
        <w:rPr>
          <w:highlight w:val="none"/>
        </w:rPr>
      </w:pPr>
      <w:r>
        <w:rPr>
          <w:b/>
          <w:highlight w:val="none"/>
        </w:rPr>
        <w:t>1</w:t>
      </w:r>
      <w:r>
        <w:rPr>
          <w:rFonts w:hint="eastAsia"/>
          <w:b/>
          <w:highlight w:val="none"/>
        </w:rPr>
        <w:t>4</w:t>
      </w:r>
      <w:r>
        <w:rPr>
          <w:b/>
          <w:highlight w:val="none"/>
        </w:rPr>
        <w:t>.1.7</w:t>
      </w:r>
      <w:r>
        <w:rPr>
          <w:highlight w:val="none"/>
        </w:rPr>
        <w:t xml:space="preserve">  施工现场项目管理机构应建立安全检查制度，对检查中发现</w:t>
      </w:r>
      <w:r>
        <w:rPr>
          <w:spacing w:val="6"/>
          <w:highlight w:val="none"/>
        </w:rPr>
        <w:t>的事故隐患应下达隐患整改通知单，定人、定时间、定措施进行整</w:t>
      </w:r>
      <w:r>
        <w:rPr>
          <w:highlight w:val="none"/>
        </w:rPr>
        <w:t>改。</w:t>
      </w:r>
    </w:p>
    <w:p w14:paraId="2E1720D0">
      <w:pPr>
        <w:pStyle w:val="5"/>
        <w:rPr>
          <w:highlight w:val="none"/>
        </w:rPr>
      </w:pPr>
      <w:r>
        <w:rPr>
          <w:b/>
          <w:highlight w:val="none"/>
        </w:rPr>
        <w:t>1</w:t>
      </w:r>
      <w:r>
        <w:rPr>
          <w:rFonts w:hint="eastAsia"/>
          <w:b/>
          <w:highlight w:val="none"/>
        </w:rPr>
        <w:t>4</w:t>
      </w:r>
      <w:r>
        <w:rPr>
          <w:b/>
          <w:highlight w:val="none"/>
        </w:rPr>
        <w:t>.1.8</w:t>
      </w:r>
      <w:r>
        <w:rPr>
          <w:highlight w:val="none"/>
        </w:rPr>
        <w:t xml:space="preserve">  施工现场项目管理机构应建立安全教育培训制度，当施工人员入场时，项目部应组织进行以国家安全法律法规、企业安全制度、施工现场安全管理规定及各工种安全技术操作规程为主要内容的三级安全教育培训和考核</w:t>
      </w:r>
      <w:r>
        <w:rPr>
          <w:rFonts w:hint="eastAsia"/>
          <w:highlight w:val="none"/>
        </w:rPr>
        <w:t>。</w:t>
      </w:r>
    </w:p>
    <w:p w14:paraId="281CF6AB">
      <w:pPr>
        <w:pStyle w:val="5"/>
        <w:rPr>
          <w:highlight w:val="none"/>
        </w:rPr>
      </w:pPr>
      <w:r>
        <w:rPr>
          <w:b/>
          <w:highlight w:val="none"/>
        </w:rPr>
        <w:t>1</w:t>
      </w:r>
      <w:r>
        <w:rPr>
          <w:rFonts w:hint="eastAsia"/>
          <w:b/>
          <w:highlight w:val="none"/>
        </w:rPr>
        <w:t>4</w:t>
      </w:r>
      <w:r>
        <w:rPr>
          <w:b/>
          <w:highlight w:val="none"/>
        </w:rPr>
        <w:t xml:space="preserve">.1.9 </w:t>
      </w:r>
      <w:r>
        <w:rPr>
          <w:highlight w:val="none"/>
        </w:rPr>
        <w:t xml:space="preserve"> 施工现场项目管理机构应制定项目安全生产管理计划，在实施中根据实际情况进行补充和调整；施工前，应识别可能的紧急情况和突发风险，编制安全应急预案，定期组织员工进行应急救援演练；对施工现场易发生重大安全事故的部位、环节进行监控。</w:t>
      </w:r>
    </w:p>
    <w:p w14:paraId="75C511EA">
      <w:pPr>
        <w:pStyle w:val="5"/>
        <w:rPr>
          <w:highlight w:val="none"/>
        </w:rPr>
      </w:pPr>
      <w:r>
        <w:rPr>
          <w:b/>
          <w:highlight w:val="none"/>
        </w:rPr>
        <w:t>1</w:t>
      </w:r>
      <w:r>
        <w:rPr>
          <w:rFonts w:hint="eastAsia"/>
          <w:b/>
          <w:highlight w:val="none"/>
        </w:rPr>
        <w:t>4</w:t>
      </w:r>
      <w:r>
        <w:rPr>
          <w:b/>
          <w:highlight w:val="none"/>
        </w:rPr>
        <w:t>.1.10</w:t>
      </w:r>
      <w:r>
        <w:rPr>
          <w:highlight w:val="none"/>
        </w:rPr>
        <w:t xml:space="preserve">  施工现场必须配备齐全的安全设施，施工现场入口处及主要施工区域、危险部位应设置相应的安全警示标志牌。</w:t>
      </w:r>
    </w:p>
    <w:p w14:paraId="6730E583">
      <w:pPr>
        <w:pStyle w:val="5"/>
        <w:rPr>
          <w:highlight w:val="none"/>
        </w:rPr>
      </w:pPr>
      <w:r>
        <w:rPr>
          <w:b/>
          <w:highlight w:val="none"/>
        </w:rPr>
        <w:t>1</w:t>
      </w:r>
      <w:r>
        <w:rPr>
          <w:rFonts w:hint="eastAsia"/>
          <w:b/>
          <w:highlight w:val="none"/>
        </w:rPr>
        <w:t>4</w:t>
      </w:r>
      <w:r>
        <w:rPr>
          <w:b/>
          <w:highlight w:val="none"/>
        </w:rPr>
        <w:t>.1.11</w:t>
      </w:r>
      <w:r>
        <w:rPr>
          <w:highlight w:val="none"/>
        </w:rPr>
        <w:t xml:space="preserve">  综合管廊沟槽（基坑）开挖应符合下列规定：</w:t>
      </w:r>
    </w:p>
    <w:p w14:paraId="2C9765A1">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开挖前，应按照设计要求做到妥善可靠的支护围护措施，</w:t>
      </w:r>
      <w:r>
        <w:rPr>
          <w:rFonts w:ascii="Times New Roman" w:hAnsi="Times New Roman" w:eastAsia="方正书宋简体" w:cs="Times New Roman"/>
          <w:color w:val="000000" w:themeColor="text1"/>
          <w:spacing w:val="6"/>
          <w:highlight w:val="none"/>
          <w14:textFill>
            <w14:solidFill>
              <w14:schemeClr w14:val="tx1"/>
            </w14:solidFill>
          </w14:textFill>
        </w:rPr>
        <w:t>并随基坑开挖深度进行实时加固，确保支护围护结构本身的安全可</w:t>
      </w:r>
      <w:r>
        <w:rPr>
          <w:rFonts w:ascii="Times New Roman" w:hAnsi="Times New Roman" w:eastAsia="方正书宋简体" w:cs="Times New Roman"/>
          <w:color w:val="000000" w:themeColor="text1"/>
          <w:highlight w:val="none"/>
          <w14:textFill>
            <w14:solidFill>
              <w14:schemeClr w14:val="tx1"/>
            </w14:solidFill>
          </w14:textFill>
        </w:rPr>
        <w:t>靠；</w:t>
      </w:r>
    </w:p>
    <w:p w14:paraId="584344DE">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降水施工提前于基坑开挖2d进行，在开挖过程中，按需降水，随时监测水位变化情况、周边建筑物、地下管线和地表沉降情况；</w:t>
      </w:r>
    </w:p>
    <w:p w14:paraId="3CE49681">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基坑开挖过程中，严格按照分层、分段、对称开挖，严禁超挖，随挖随加固，基坑开挖见底后，及时施工混凝土垫层和结</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构</w:t>
      </w:r>
      <w:r>
        <w:rPr>
          <w:rFonts w:ascii="Times New Roman" w:hAnsi="Times New Roman" w:eastAsia="方正书宋简体" w:cs="Times New Roman"/>
          <w:color w:val="000000" w:themeColor="text1"/>
          <w:highlight w:val="none"/>
          <w14:textFill>
            <w14:solidFill>
              <w14:schemeClr w14:val="tx1"/>
            </w14:solidFill>
          </w14:textFill>
        </w:rPr>
        <w:t>底板；</w:t>
      </w:r>
    </w:p>
    <w:p w14:paraId="47A743F3">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基坑开挖的土方不应在基坑周边影响范围内堆放，并应及时外运，严禁大型机械设备、运输车辆在基坑周边行驶；</w:t>
      </w:r>
    </w:p>
    <w:p w14:paraId="4A0BD389">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 </w:t>
      </w:r>
      <w:r>
        <w:rPr>
          <w:rFonts w:ascii="Times New Roman" w:hAnsi="Times New Roman" w:eastAsia="方正书宋简体" w:cs="Times New Roman"/>
          <w:color w:val="000000" w:themeColor="text1"/>
          <w:highlight w:val="none"/>
          <w14:textFill>
            <w14:solidFill>
              <w14:schemeClr w14:val="tx1"/>
            </w14:solidFill>
          </w14:textFill>
        </w:rPr>
        <w:t xml:space="preserve"> 管廊基坑边缘应设置高度1.2m硬质围护栏杆，基坑应设置顺畅、便捷、安全的上下通道。</w:t>
      </w:r>
    </w:p>
    <w:p w14:paraId="046F4D00">
      <w:pPr>
        <w:pStyle w:val="5"/>
        <w:rPr>
          <w:highlight w:val="none"/>
        </w:rPr>
      </w:pPr>
      <w:r>
        <w:rPr>
          <w:b/>
          <w:highlight w:val="none"/>
        </w:rPr>
        <w:t>1</w:t>
      </w:r>
      <w:r>
        <w:rPr>
          <w:rFonts w:hint="eastAsia"/>
          <w:b/>
          <w:highlight w:val="none"/>
        </w:rPr>
        <w:t>4</w:t>
      </w:r>
      <w:r>
        <w:rPr>
          <w:b/>
          <w:highlight w:val="none"/>
        </w:rPr>
        <w:t xml:space="preserve">.1.12 </w:t>
      </w:r>
      <w:r>
        <w:rPr>
          <w:highlight w:val="none"/>
        </w:rPr>
        <w:t xml:space="preserve"> 综合管廊施工时用电设施和输电线路架设必须严格按照《施工现场临时用电安全技术规范》JGJ 46的要求进行。</w:t>
      </w:r>
    </w:p>
    <w:p w14:paraId="2CEB2BB1">
      <w:pPr>
        <w:pStyle w:val="5"/>
        <w:rPr>
          <w:highlight w:val="none"/>
        </w:rPr>
      </w:pPr>
      <w:r>
        <w:rPr>
          <w:b/>
          <w:highlight w:val="none"/>
        </w:rPr>
        <w:t>1</w:t>
      </w:r>
      <w:r>
        <w:rPr>
          <w:rFonts w:hint="eastAsia"/>
          <w:b/>
          <w:highlight w:val="none"/>
        </w:rPr>
        <w:t>4</w:t>
      </w:r>
      <w:r>
        <w:rPr>
          <w:b/>
          <w:highlight w:val="none"/>
        </w:rPr>
        <w:t xml:space="preserve">.1.13 </w:t>
      </w:r>
      <w:r>
        <w:rPr>
          <w:highlight w:val="none"/>
        </w:rPr>
        <w:t xml:space="preserve"> 预制拼装综合管廊施工应符合下列规定：</w:t>
      </w:r>
    </w:p>
    <w:p w14:paraId="6EB3B09E">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施工单位应对从事预制构件吊装作业的相关人员进行安全培训与交底，明确预制构件进场、卸车、存放，吊装就位等各环节的作业风险，并制定防止危险情况发生的措施；</w:t>
      </w:r>
    </w:p>
    <w:p w14:paraId="084FE3C3">
      <w:pPr>
        <w:pStyle w:val="42"/>
        <w:overflowPunct w:val="0"/>
        <w:spacing w:line="348" w:lineRule="exact"/>
        <w:ind w:firstLine="527" w:firstLineChars="2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预制构件卸车时，应按照规定的装卸顺序进行，确保车辆平衡，</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避</w:t>
      </w:r>
      <w:r>
        <w:rPr>
          <w:rFonts w:ascii="Times New Roman" w:hAnsi="Times New Roman" w:eastAsia="方正书宋简体" w:cs="Times New Roman"/>
          <w:color w:val="000000" w:themeColor="text1"/>
          <w:highlight w:val="none"/>
          <w14:textFill>
            <w14:solidFill>
              <w14:schemeClr w14:val="tx1"/>
            </w14:solidFill>
          </w14:textFill>
        </w:rPr>
        <w:t>免由于卸车顺序不合理导致车辆倾覆；</w:t>
      </w:r>
    </w:p>
    <w:p w14:paraId="571E61B8">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预制构件卸车后，应将构件按编号或使用顺序，合理有序存放于构件存放场地，并应设置临时固定措施避免构件失稳造成构件倾覆；</w:t>
      </w:r>
    </w:p>
    <w:p w14:paraId="726F0D96">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安装作业开始前，应对安装作业区进行围护并做出明显的标识，拉线，并派专人看管，严禁与安装作业无关的人员进入；</w:t>
      </w:r>
    </w:p>
    <w:p w14:paraId="225DD430">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应定期对预制构件吊装作业所用的安装工器具进行检查，发现有可能存在使用风险时，应立即停止使用；</w:t>
      </w:r>
    </w:p>
    <w:p w14:paraId="586960C5">
      <w:pPr>
        <w:pStyle w:val="42"/>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w:t>
      </w:r>
      <w:r>
        <w:rPr>
          <w:rFonts w:ascii="Times New Roman" w:hAnsi="Times New Roman" w:eastAsia="方正书宋简体" w:cs="Times New Roman"/>
          <w:color w:val="000000" w:themeColor="text1"/>
          <w:highlight w:val="none"/>
          <w14:textFill>
            <w14:solidFill>
              <w14:schemeClr w14:val="tx1"/>
            </w14:solidFill>
          </w14:textFill>
        </w:rPr>
        <w:t xml:space="preserve">  吊机吊装区域内，非作业人员严禁进入。吊运预制构件时，构件下方严禁站人，应待预制构件降落至距离地面1m以内方准作业人员靠近，就位固定后方可脱钩。遇到雨、雪、雾天气，或者风力大于6级时，不得进行吊装作业。</w:t>
      </w:r>
    </w:p>
    <w:p w14:paraId="795647C5">
      <w:pPr>
        <w:pStyle w:val="5"/>
        <w:keepNext w:val="0"/>
        <w:keepLines w:val="0"/>
        <w:pageBreakBefore w:val="0"/>
        <w:widowControl w:val="0"/>
        <w:kinsoku/>
        <w:wordWrap/>
        <w:topLinePunct w:val="0"/>
        <w:autoSpaceDE/>
        <w:autoSpaceDN/>
        <w:bidi w:val="0"/>
        <w:adjustRightInd/>
        <w:snapToGrid/>
        <w:spacing w:line="348" w:lineRule="exact"/>
        <w:textAlignment w:val="auto"/>
        <w:rPr>
          <w:highlight w:val="none"/>
        </w:rPr>
      </w:pPr>
      <w:r>
        <w:rPr>
          <w:b/>
          <w:highlight w:val="none"/>
        </w:rPr>
        <w:t>1</w:t>
      </w:r>
      <w:r>
        <w:rPr>
          <w:rFonts w:hint="eastAsia"/>
          <w:b/>
          <w:highlight w:val="none"/>
        </w:rPr>
        <w:t>4</w:t>
      </w:r>
      <w:r>
        <w:rPr>
          <w:b/>
          <w:highlight w:val="none"/>
        </w:rPr>
        <w:t>.</w:t>
      </w:r>
      <w:r>
        <w:rPr>
          <w:rFonts w:hint="eastAsia"/>
          <w:b/>
          <w:highlight w:val="none"/>
        </w:rPr>
        <w:t>1</w:t>
      </w:r>
      <w:r>
        <w:rPr>
          <w:b/>
          <w:highlight w:val="none"/>
        </w:rPr>
        <w:t>.</w:t>
      </w:r>
      <w:r>
        <w:rPr>
          <w:rFonts w:hint="eastAsia"/>
          <w:b/>
          <w:highlight w:val="none"/>
        </w:rPr>
        <w:t>14</w:t>
      </w:r>
      <w:r>
        <w:rPr>
          <w:rFonts w:hint="eastAsia"/>
          <w:highlight w:val="none"/>
        </w:rPr>
        <w:t xml:space="preserve">  综合管廊内附属设施施工时，应保持空气流通良好，严格执行“先通风再检测后操作”流程；</w:t>
      </w:r>
      <w:r>
        <w:rPr>
          <w:highlight w:val="none"/>
        </w:rPr>
        <w:t>应采用风机强制通风或管道送风，应对作业段内的气体浓度进行严格监测。</w:t>
      </w:r>
    </w:p>
    <w:p w14:paraId="4D604D55">
      <w:pPr>
        <w:keepNext w:val="0"/>
        <w:keepLines w:val="0"/>
        <w:pageBreakBefore w:val="0"/>
        <w:widowControl w:val="0"/>
        <w:kinsoku/>
        <w:wordWrap/>
        <w:topLinePunct w:val="0"/>
        <w:autoSpaceDE/>
        <w:autoSpaceDN/>
        <w:bidi w:val="0"/>
        <w:adjustRightInd/>
        <w:snapToGrid/>
        <w:spacing w:line="348" w:lineRule="exact"/>
        <w:textAlignment w:val="auto"/>
        <w:rPr>
          <w:rFonts w:ascii="方正书宋简体" w:hAnsi="方正书宋简体" w:eastAsia="方正书宋简体" w:cs="方正书宋简体"/>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15</w:t>
      </w:r>
      <w:r>
        <w:rPr>
          <w:rFonts w:ascii="Times New Roman" w:hAnsi="Times New Roman" w:eastAsia="方正书宋简体" w:cs="Times New Roman"/>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color w:val="000000" w:themeColor="text1"/>
          <w:highlight w:val="none"/>
          <w:u w:val="none"/>
          <w14:textFill>
            <w14:solidFill>
              <w14:schemeClr w14:val="tx1"/>
            </w14:solidFill>
          </w14:textFill>
        </w:rPr>
        <w:t>综合管廊内附属设施高处作业施工时，应采用移动式操作平台（带护栏）；安全带应“高挂低用”。</w:t>
      </w:r>
    </w:p>
    <w:p w14:paraId="2179554D">
      <w:pPr>
        <w:keepNext w:val="0"/>
        <w:keepLines w:val="0"/>
        <w:pageBreakBefore w:val="0"/>
        <w:widowControl w:val="0"/>
        <w:kinsoku/>
        <w:wordWrap/>
        <w:topLinePunct w:val="0"/>
        <w:autoSpaceDE/>
        <w:autoSpaceDN/>
        <w:bidi w:val="0"/>
        <w:adjustRightInd/>
        <w:snapToGrid/>
        <w:spacing w:line="348" w:lineRule="exact"/>
        <w:textAlignment w:val="auto"/>
        <w:rPr>
          <w:rFonts w:ascii="方正书宋简体" w:hAnsi="方正书宋简体" w:eastAsia="方正书宋简体" w:cs="方正书宋简体"/>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16</w:t>
      </w:r>
      <w:r>
        <w:rPr>
          <w:rFonts w:ascii="Times New Roman" w:hAnsi="Times New Roman" w:eastAsia="方正书宋简体" w:cs="Times New Roman"/>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color w:val="000000" w:themeColor="text1"/>
          <w:highlight w:val="none"/>
          <w:u w:val="none"/>
          <w14:textFill>
            <w14:solidFill>
              <w14:schemeClr w14:val="tx1"/>
            </w14:solidFill>
          </w14:textFill>
        </w:rPr>
        <w:t>综合管廊内附属设施动火作业施工前需检测可燃气体浓度，配备灭火器+消防沙，监火员应全程值守。</w:t>
      </w:r>
    </w:p>
    <w:p w14:paraId="541234E7">
      <w:pPr>
        <w:pStyle w:val="42"/>
        <w:keepNext w:val="0"/>
        <w:keepLines w:val="0"/>
        <w:pageBreakBefore w:val="0"/>
        <w:widowControl w:val="0"/>
        <w:kinsoku/>
        <w:wordWrap/>
        <w:overflowPunct w:val="0"/>
        <w:topLinePunct w:val="0"/>
        <w:autoSpaceDE/>
        <w:autoSpaceDN/>
        <w:bidi w:val="0"/>
        <w:adjustRightInd/>
        <w:snapToGrid/>
        <w:spacing w:line="348" w:lineRule="exact"/>
        <w:ind w:firstLine="0" w:firstLineChars="0"/>
        <w:textAlignment w:val="auto"/>
        <w:rPr>
          <w:rFonts w:ascii="方正书宋简体" w:hAnsi="方正书宋简体" w:eastAsia="方正书宋简体" w:cs="方正书宋简体"/>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b/>
          <w:bCs/>
          <w:color w:val="000000" w:themeColor="text1"/>
          <w:highlight w:val="none"/>
          <w:u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17</w:t>
      </w:r>
      <w:r>
        <w:rPr>
          <w:rFonts w:ascii="Times New Roman" w:hAnsi="Times New Roman" w:eastAsia="方正书宋简体" w:cs="Times New Roman"/>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b/>
          <w:color w:val="000000" w:themeColor="text1"/>
          <w:highlight w:val="none"/>
          <w:u w:val="none"/>
          <w14:textFill>
            <w14:solidFill>
              <w14:schemeClr w14:val="tx1"/>
            </w14:solidFill>
          </w14:textFill>
        </w:rPr>
        <w:t xml:space="preserve"> </w:t>
      </w:r>
      <w:r>
        <w:rPr>
          <w:rFonts w:hint="eastAsia" w:ascii="方正书宋简体" w:hAnsi="方正书宋简体" w:eastAsia="方正书宋简体" w:cs="方正书宋简体"/>
          <w:color w:val="000000" w:themeColor="text1"/>
          <w:highlight w:val="none"/>
          <w:u w:val="none"/>
          <w14:textFill>
            <w14:solidFill>
              <w14:schemeClr w14:val="tx1"/>
            </w14:solidFill>
          </w14:textFill>
        </w:rPr>
        <w:t>综合管廊内附属设施工照明电压应小</w:t>
      </w:r>
      <w:r>
        <w:rPr>
          <w:rFonts w:ascii="Times New Roman" w:hAnsi="Times New Roman" w:eastAsia="方正书宋简体" w:cs="Times New Roman"/>
          <w:color w:val="000000" w:themeColor="text1"/>
          <w:highlight w:val="none"/>
          <w:u w:val="none"/>
          <w14:textFill>
            <w14:solidFill>
              <w14:schemeClr w14:val="tx1"/>
            </w14:solidFill>
          </w14:textFill>
        </w:rPr>
        <w:t>于或等于36V。</w:t>
      </w:r>
    </w:p>
    <w:p w14:paraId="18CDC71C">
      <w:pPr>
        <w:pStyle w:val="5"/>
        <w:keepNext w:val="0"/>
        <w:keepLines w:val="0"/>
        <w:pageBreakBefore w:val="0"/>
        <w:widowControl w:val="0"/>
        <w:kinsoku/>
        <w:wordWrap/>
        <w:topLinePunct w:val="0"/>
        <w:autoSpaceDE/>
        <w:autoSpaceDN/>
        <w:bidi w:val="0"/>
        <w:adjustRightInd/>
        <w:snapToGrid/>
        <w:spacing w:line="348" w:lineRule="exact"/>
        <w:textAlignment w:val="auto"/>
        <w:rPr>
          <w:rFonts w:ascii="方正书宋简体" w:hAnsi="方正书宋简体" w:cs="方正书宋简体"/>
          <w:highlight w:val="none"/>
          <w:u w:val="none"/>
        </w:rPr>
      </w:pPr>
      <w:r>
        <w:rPr>
          <w:rFonts w:hint="eastAsia"/>
          <w:b/>
          <w:highlight w:val="none"/>
          <w:u w:val="none"/>
        </w:rPr>
        <w:t>14.1.18</w:t>
      </w:r>
      <w:r>
        <w:rPr>
          <w:highlight w:val="none"/>
          <w:u w:val="none"/>
        </w:rPr>
        <w:t xml:space="preserve"> </w:t>
      </w:r>
      <w:r>
        <w:rPr>
          <w:rFonts w:hint="eastAsia"/>
          <w:highlight w:val="none"/>
          <w:u w:val="none"/>
        </w:rPr>
        <w:t xml:space="preserve"> </w:t>
      </w:r>
      <w:r>
        <w:rPr>
          <w:highlight w:val="none"/>
          <w:u w:val="none"/>
        </w:rPr>
        <w:t>施工现场项目管理机构应依法为施工作业人员办理保险，当施工现场发生生产安全事故时，应按规定及时报告。</w:t>
      </w:r>
    </w:p>
    <w:p w14:paraId="37F74BC0">
      <w:pPr>
        <w:pStyle w:val="4"/>
        <w:spacing w:before="156" w:after="156"/>
        <w:rPr>
          <w:rFonts w:hint="eastAsia" w:eastAsia="方正黑体简体"/>
          <w:b/>
          <w:color w:val="000000" w:themeColor="text1"/>
          <w:highlight w:val="none"/>
          <w:u w:val="none"/>
          <w:lang w:val="en-US" w:eastAsia="zh-CN"/>
          <w14:textFill>
            <w14:solidFill>
              <w14:schemeClr w14:val="tx1"/>
            </w14:solidFill>
          </w14:textFill>
        </w:rPr>
      </w:pPr>
      <w:r>
        <w:rPr>
          <w:b/>
          <w:bCs w:val="0"/>
          <w:color w:val="000000" w:themeColor="text1"/>
          <w:highlight w:val="none"/>
          <w:u w:val="none"/>
          <w14:textFill>
            <w14:solidFill>
              <w14:schemeClr w14:val="tx1"/>
            </w14:solidFill>
          </w14:textFill>
        </w:rPr>
        <w:t>1</w:t>
      </w:r>
      <w:r>
        <w:rPr>
          <w:rFonts w:hint="eastAsia"/>
          <w:b/>
          <w:bCs w:val="0"/>
          <w:color w:val="000000" w:themeColor="text1"/>
          <w:highlight w:val="none"/>
          <w:u w:val="none"/>
          <w14:textFill>
            <w14:solidFill>
              <w14:schemeClr w14:val="tx1"/>
            </w14:solidFill>
          </w14:textFill>
        </w:rPr>
        <w:t>4</w:t>
      </w:r>
      <w:r>
        <w:rPr>
          <w:b/>
          <w:bCs w:val="0"/>
          <w:color w:val="000000" w:themeColor="text1"/>
          <w:highlight w:val="none"/>
          <w:u w:val="none"/>
          <w14:textFill>
            <w14:solidFill>
              <w14:schemeClr w14:val="tx1"/>
            </w14:solidFill>
          </w14:textFill>
        </w:rPr>
        <w:t>.2</w:t>
      </w:r>
      <w:r>
        <w:rPr>
          <w:color w:val="000000" w:themeColor="text1"/>
          <w:highlight w:val="none"/>
          <w:u w:val="none"/>
          <w14:textFill>
            <w14:solidFill>
              <w14:schemeClr w14:val="tx1"/>
            </w14:solidFill>
          </w14:textFill>
        </w:rPr>
        <w:t xml:space="preserve">  绿</w:t>
      </w:r>
      <w:r>
        <w:rPr>
          <w:rFonts w:hint="eastAsia"/>
          <w:color w:val="000000" w:themeColor="text1"/>
          <w:highlight w:val="none"/>
          <w:u w:val="none"/>
          <w:lang w:val="en-US" w:eastAsia="zh-CN"/>
          <w14:textFill>
            <w14:solidFill>
              <w14:schemeClr w14:val="tx1"/>
            </w14:solidFill>
          </w14:textFill>
        </w:rPr>
        <w:t xml:space="preserve"> </w:t>
      </w:r>
      <w:r>
        <w:rPr>
          <w:color w:val="000000" w:themeColor="text1"/>
          <w:highlight w:val="none"/>
          <w:u w:val="none"/>
          <w14:textFill>
            <w14:solidFill>
              <w14:schemeClr w14:val="tx1"/>
            </w14:solidFill>
          </w14:textFill>
        </w:rPr>
        <w:t>色</w:t>
      </w:r>
      <w:r>
        <w:rPr>
          <w:rFonts w:hint="eastAsia"/>
          <w:color w:val="000000" w:themeColor="text1"/>
          <w:highlight w:val="none"/>
          <w:u w:val="none"/>
          <w:lang w:val="en-US" w:eastAsia="zh-CN"/>
          <w14:textFill>
            <w14:solidFill>
              <w14:schemeClr w14:val="tx1"/>
            </w14:solidFill>
          </w14:textFill>
        </w:rPr>
        <w:t xml:space="preserve"> 施 工</w:t>
      </w:r>
    </w:p>
    <w:p w14:paraId="3AAFF374">
      <w:pPr>
        <w:pStyle w:val="5"/>
        <w:rPr>
          <w:highlight w:val="none"/>
        </w:rPr>
      </w:pPr>
      <w:r>
        <w:rPr>
          <w:b/>
          <w:highlight w:val="none"/>
        </w:rPr>
        <w:t>1</w:t>
      </w:r>
      <w:r>
        <w:rPr>
          <w:rFonts w:hint="eastAsia"/>
          <w:b/>
          <w:highlight w:val="none"/>
        </w:rPr>
        <w:t>4</w:t>
      </w:r>
      <w:r>
        <w:rPr>
          <w:b/>
          <w:highlight w:val="none"/>
        </w:rPr>
        <w:t>.2.1</w:t>
      </w:r>
      <w:r>
        <w:rPr>
          <w:highlight w:val="none"/>
        </w:rPr>
        <w:t xml:space="preserve">  项目开工之初应进行绿色施工策划，建立以项目经理为首的绿色施工管理体系，结合项目特点，以科技创新和新技</w:t>
      </w:r>
      <w:r>
        <w:rPr>
          <w:rFonts w:hint="eastAsia"/>
          <w:highlight w:val="none"/>
          <w:lang w:val="en-US" w:eastAsia="zh-CN"/>
        </w:rPr>
        <w:t>术</w:t>
      </w:r>
      <w:r>
        <w:rPr>
          <w:highlight w:val="none"/>
        </w:rPr>
        <w:t>运用为核心，注重深化设计、方案比选、新技术、新材料、新工艺、新设备的引进与应用，最大限度节约资源与减少对环境影响，实现“四节一环保”目标。</w:t>
      </w:r>
    </w:p>
    <w:p w14:paraId="6CA4C854">
      <w:pPr>
        <w:pStyle w:val="5"/>
        <w:rPr>
          <w:highlight w:val="none"/>
        </w:rPr>
      </w:pPr>
      <w:r>
        <w:rPr>
          <w:b/>
          <w:highlight w:val="none"/>
        </w:rPr>
        <w:t>1</w:t>
      </w:r>
      <w:r>
        <w:rPr>
          <w:rFonts w:hint="eastAsia"/>
          <w:b/>
          <w:highlight w:val="none"/>
        </w:rPr>
        <w:t>4</w:t>
      </w:r>
      <w:r>
        <w:rPr>
          <w:b/>
          <w:highlight w:val="none"/>
        </w:rPr>
        <w:t>.2.2</w:t>
      </w:r>
      <w:r>
        <w:rPr>
          <w:highlight w:val="none"/>
        </w:rPr>
        <w:t xml:space="preserve">  充分利用新能源，降低能耗，合理安排各项工序，提高各种机械设备的使用率和满载率。</w:t>
      </w:r>
    </w:p>
    <w:p w14:paraId="18061B8F">
      <w:pPr>
        <w:pStyle w:val="5"/>
        <w:rPr>
          <w:highlight w:val="none"/>
        </w:rPr>
      </w:pPr>
      <w:r>
        <w:rPr>
          <w:b/>
          <w:highlight w:val="none"/>
        </w:rPr>
        <w:t>1</w:t>
      </w:r>
      <w:r>
        <w:rPr>
          <w:rFonts w:hint="eastAsia"/>
          <w:b/>
          <w:highlight w:val="none"/>
        </w:rPr>
        <w:t>4</w:t>
      </w:r>
      <w:r>
        <w:rPr>
          <w:b/>
          <w:highlight w:val="none"/>
        </w:rPr>
        <w:t>.2.3</w:t>
      </w:r>
      <w:r>
        <w:rPr>
          <w:highlight w:val="none"/>
        </w:rPr>
        <w:t xml:space="preserve">  根据工程所在地的水资源状况，制定节水措施；在施工现场水源处设置明显节水标识；施工现场设置废水回收系统，对天然雨水资源保持回收后循环利用。</w:t>
      </w:r>
    </w:p>
    <w:p w14:paraId="5F8B3C38">
      <w:pPr>
        <w:pStyle w:val="5"/>
        <w:rPr>
          <w:highlight w:val="none"/>
        </w:rPr>
      </w:pPr>
      <w:r>
        <w:rPr>
          <w:b/>
          <w:highlight w:val="none"/>
        </w:rPr>
        <w:t>1</w:t>
      </w:r>
      <w:r>
        <w:rPr>
          <w:rFonts w:hint="eastAsia"/>
          <w:b/>
          <w:highlight w:val="none"/>
        </w:rPr>
        <w:t>4</w:t>
      </w:r>
      <w:r>
        <w:rPr>
          <w:b/>
          <w:highlight w:val="none"/>
        </w:rPr>
        <w:t>.2.4</w:t>
      </w:r>
      <w:r>
        <w:rPr>
          <w:highlight w:val="none"/>
        </w:rPr>
        <w:t xml:space="preserve">  对场地总平面进行合理规划布置，减少土地占用，提高土地利用率，预制件尽量采用工厂化制作，减少对场地的占用。</w:t>
      </w:r>
    </w:p>
    <w:p w14:paraId="69AB7CA4">
      <w:pPr>
        <w:pStyle w:val="5"/>
        <w:rPr>
          <w:highlight w:val="none"/>
          <w:u w:val="none"/>
        </w:rPr>
      </w:pPr>
      <w:r>
        <w:rPr>
          <w:b/>
          <w:highlight w:val="none"/>
        </w:rPr>
        <w:t>1</w:t>
      </w:r>
      <w:r>
        <w:rPr>
          <w:rFonts w:hint="eastAsia"/>
          <w:b/>
          <w:highlight w:val="none"/>
        </w:rPr>
        <w:t>4</w:t>
      </w:r>
      <w:r>
        <w:rPr>
          <w:b/>
          <w:highlight w:val="none"/>
        </w:rPr>
        <w:t>.2.5</w:t>
      </w:r>
      <w:r>
        <w:rPr>
          <w:highlight w:val="none"/>
        </w:rPr>
        <w:t xml:space="preserve">  在保证工程安全与质量的前提下，利用技术手段，对施工方案进行节材优化；制定并实施废料的回收管理办法，提高废料利用率；建筑垃圾减量化，尽量利用可循环材料</w:t>
      </w:r>
      <w:r>
        <w:rPr>
          <w:highlight w:val="none"/>
          <w:u w:val="none"/>
        </w:rPr>
        <w:t>，</w:t>
      </w:r>
      <w:r>
        <w:rPr>
          <w:highlight w:val="none"/>
          <w:u w:val="none"/>
          <w:shd w:val="clear" w:color="auto" w:fill="FFFFFF"/>
        </w:rPr>
        <w:t>施工废弃物回收率不应低于 90%，其中钢材、木材回收率100%</w:t>
      </w:r>
      <w:r>
        <w:rPr>
          <w:highlight w:val="none"/>
          <w:u w:val="none"/>
        </w:rPr>
        <w:t>。</w:t>
      </w:r>
    </w:p>
    <w:p w14:paraId="2D445D06">
      <w:pPr>
        <w:pStyle w:val="5"/>
        <w:rPr>
          <w:highlight w:val="none"/>
        </w:rPr>
      </w:pPr>
      <w:r>
        <w:rPr>
          <w:b/>
          <w:highlight w:val="none"/>
        </w:rPr>
        <w:t>1</w:t>
      </w:r>
      <w:r>
        <w:rPr>
          <w:rFonts w:hint="eastAsia"/>
          <w:b/>
          <w:highlight w:val="none"/>
        </w:rPr>
        <w:t>4</w:t>
      </w:r>
      <w:r>
        <w:rPr>
          <w:b/>
          <w:highlight w:val="none"/>
        </w:rPr>
        <w:t>.2.6</w:t>
      </w:r>
      <w:r>
        <w:rPr>
          <w:highlight w:val="none"/>
        </w:rPr>
        <w:t xml:space="preserve">  管廊施工位于市区时，应编制交通导行方案，现场设置交通导行标志，必须严格划分警告区、上游过渡区、缓冲区、作业区、下游过渡区、终止区范围。</w:t>
      </w:r>
    </w:p>
    <w:p w14:paraId="390ABBA6">
      <w:pPr>
        <w:pStyle w:val="5"/>
        <w:rPr>
          <w:highlight w:val="none"/>
        </w:rPr>
      </w:pPr>
      <w:r>
        <w:rPr>
          <w:b/>
          <w:highlight w:val="none"/>
        </w:rPr>
        <w:t>1</w:t>
      </w:r>
      <w:r>
        <w:rPr>
          <w:rFonts w:hint="eastAsia"/>
          <w:b/>
          <w:highlight w:val="none"/>
        </w:rPr>
        <w:t>4</w:t>
      </w:r>
      <w:r>
        <w:rPr>
          <w:b/>
          <w:highlight w:val="none"/>
        </w:rPr>
        <w:t>.2.7</w:t>
      </w:r>
      <w:r>
        <w:rPr>
          <w:highlight w:val="none"/>
        </w:rPr>
        <w:t xml:space="preserve">  施工现场周边应设置连续、密闭的围挡，应设置醒目的施工标牌，现场的主要道路及材料加工区地面应进行硬化处理，现场应设置排水设施，且排水通畅无积水。现场应有防止泥浆、污水、废水污染环境的措施。</w:t>
      </w:r>
    </w:p>
    <w:p w14:paraId="5FC26F70">
      <w:pPr>
        <w:pStyle w:val="5"/>
        <w:rPr>
          <w:highlight w:val="none"/>
        </w:rPr>
      </w:pPr>
      <w:r>
        <w:rPr>
          <w:b/>
          <w:highlight w:val="none"/>
        </w:rPr>
        <w:t>1</w:t>
      </w:r>
      <w:r>
        <w:rPr>
          <w:rFonts w:hint="eastAsia"/>
          <w:b/>
          <w:highlight w:val="none"/>
        </w:rPr>
        <w:t>4</w:t>
      </w:r>
      <w:r>
        <w:rPr>
          <w:b/>
          <w:highlight w:val="none"/>
        </w:rPr>
        <w:t>.2.8</w:t>
      </w:r>
      <w:r>
        <w:rPr>
          <w:highlight w:val="none"/>
        </w:rPr>
        <w:t xml:space="preserve">  建筑材料、构件、料具应严格按施工组织设计中的平面布置图划定的位置堆放整齐，作材料标识，施工现场内裸露场地应采用覆盖措施，作业面应及时苫盖，施工现场内土石方等易飞扬的细颗粒物料应集中堆放，并采用密闭式防尘网覆盖。</w:t>
      </w:r>
    </w:p>
    <w:p w14:paraId="2E379CB5">
      <w:pPr>
        <w:pStyle w:val="5"/>
        <w:rPr>
          <w:highlight w:val="none"/>
        </w:rPr>
      </w:pPr>
      <w:r>
        <w:rPr>
          <w:b/>
          <w:highlight w:val="none"/>
        </w:rPr>
        <w:t>1</w:t>
      </w:r>
      <w:r>
        <w:rPr>
          <w:rFonts w:hint="eastAsia"/>
          <w:b/>
          <w:highlight w:val="none"/>
        </w:rPr>
        <w:t>4</w:t>
      </w:r>
      <w:r>
        <w:rPr>
          <w:b/>
          <w:highlight w:val="none"/>
        </w:rPr>
        <w:t xml:space="preserve">.2.9 </w:t>
      </w:r>
      <w:r>
        <w:rPr>
          <w:highlight w:val="none"/>
        </w:rPr>
        <w:t xml:space="preserve"> 施工现场应配备移动洒水、喷雾设备，安装扬尘监测设备。对建筑物实施拆除时，应采取预湿和喷淋抑尘措施。施工现场出入口应设置车辆冲洗设施，配备专职人员，确保所有车辆干净出场，严禁带泥上路。</w:t>
      </w:r>
    </w:p>
    <w:p w14:paraId="6111ECF5">
      <w:pPr>
        <w:pStyle w:val="5"/>
        <w:rPr>
          <w:highlight w:val="none"/>
        </w:rPr>
      </w:pPr>
      <w:r>
        <w:rPr>
          <w:b/>
          <w:highlight w:val="none"/>
        </w:rPr>
        <w:t>1</w:t>
      </w:r>
      <w:r>
        <w:rPr>
          <w:rFonts w:hint="eastAsia"/>
          <w:b/>
          <w:highlight w:val="none"/>
        </w:rPr>
        <w:t>4</w:t>
      </w:r>
      <w:r>
        <w:rPr>
          <w:b/>
          <w:highlight w:val="none"/>
        </w:rPr>
        <w:t>.2.10</w:t>
      </w:r>
      <w:r>
        <w:rPr>
          <w:highlight w:val="none"/>
        </w:rPr>
        <w:t xml:space="preserve">  建筑土方、工程渣土、建筑垃圾运输应采用封闭措施，防止车辆在行进过程中出现漏撒。</w:t>
      </w:r>
    </w:p>
    <w:p w14:paraId="0391FC47">
      <w:pPr>
        <w:pStyle w:val="5"/>
        <w:rPr>
          <w:highlight w:val="none"/>
          <w:u w:val="none"/>
        </w:rPr>
      </w:pPr>
      <w:r>
        <w:rPr>
          <w:b/>
          <w:highlight w:val="none"/>
        </w:rPr>
        <w:t>1</w:t>
      </w:r>
      <w:r>
        <w:rPr>
          <w:rFonts w:hint="eastAsia"/>
          <w:b/>
          <w:highlight w:val="none"/>
        </w:rPr>
        <w:t>4</w:t>
      </w:r>
      <w:r>
        <w:rPr>
          <w:b/>
          <w:highlight w:val="none"/>
        </w:rPr>
        <w:t>.2.11</w:t>
      </w:r>
      <w:r>
        <w:rPr>
          <w:highlight w:val="none"/>
        </w:rPr>
        <w:t xml:space="preserve">  合理安排施工工序，</w:t>
      </w:r>
      <w:r>
        <w:rPr>
          <w:rFonts w:hint="eastAsia"/>
          <w:highlight w:val="none"/>
          <w:lang w:val="en-US" w:eastAsia="zh-CN"/>
        </w:rPr>
        <w:t>减</w:t>
      </w:r>
      <w:r>
        <w:rPr>
          <w:highlight w:val="none"/>
        </w:rPr>
        <w:t>少夜间施工，避免夜间扰民，遇工艺要求需夜间施工时，提前进行申请备案，并做好周边居民的工作；现场施工采用低噪声的机械设备，对场地噪声进行实时监测与控制，确保现场施工噪声控制在规定范围内。</w:t>
      </w:r>
      <w:r>
        <w:rPr>
          <w:rFonts w:hint="eastAsia"/>
          <w:highlight w:val="none"/>
          <w:u w:val="none"/>
        </w:rPr>
        <w:t>应符合</w:t>
      </w:r>
      <w:r>
        <w:rPr>
          <w:highlight w:val="none"/>
          <w:u w:val="none"/>
        </w:rPr>
        <w:t>国家现行标准《建筑施工场界环境噪声排放标准》GB 12523</w:t>
      </w:r>
      <w:r>
        <w:rPr>
          <w:rFonts w:hint="eastAsia"/>
          <w:highlight w:val="none"/>
          <w:u w:val="none"/>
        </w:rPr>
        <w:t>的有关规定。</w:t>
      </w:r>
    </w:p>
    <w:p w14:paraId="75B637B7">
      <w:pPr>
        <w:pStyle w:val="5"/>
        <w:rPr>
          <w:highlight w:val="none"/>
        </w:rPr>
      </w:pPr>
      <w:r>
        <w:rPr>
          <w:rFonts w:hint="eastAsia"/>
          <w:b/>
          <w:bCs/>
          <w:highlight w:val="none"/>
        </w:rPr>
        <w:t>14.2.12</w:t>
      </w:r>
      <w:r>
        <w:rPr>
          <w:rFonts w:hint="eastAsia"/>
          <w:highlight w:val="none"/>
        </w:rPr>
        <w:t xml:space="preserve">  标准化与模块化设计：优先采用标准化、模块化设计的附属设施，减少现场加工量和材料损耗。</w:t>
      </w:r>
    </w:p>
    <w:p w14:paraId="18E50070">
      <w:pPr>
        <w:pStyle w:val="5"/>
        <w:rPr>
          <w:highlight w:val="none"/>
        </w:rPr>
      </w:pPr>
      <w:r>
        <w:rPr>
          <w:rFonts w:hint="eastAsia"/>
          <w:b/>
          <w:bCs/>
          <w:highlight w:val="none"/>
        </w:rPr>
        <w:t>14.2.13</w:t>
      </w:r>
      <w:r>
        <w:rPr>
          <w:rFonts w:hint="eastAsia"/>
          <w:highlight w:val="none"/>
        </w:rPr>
        <w:t xml:space="preserve">  利用BIM进行管线综合、碰撞检测、施工模拟，优化设备布局和管线路径，减少返工和材料浪费。</w:t>
      </w:r>
    </w:p>
    <w:p w14:paraId="524E5C56">
      <w:pPr>
        <w:pStyle w:val="5"/>
        <w:rPr>
          <w:highlight w:val="none"/>
        </w:rPr>
      </w:pPr>
      <w:r>
        <w:rPr>
          <w:rFonts w:hint="eastAsia"/>
          <w:b/>
          <w:bCs/>
          <w:highlight w:val="none"/>
        </w:rPr>
        <w:t>14.2.14</w:t>
      </w:r>
      <w:r>
        <w:rPr>
          <w:rFonts w:hint="eastAsia"/>
          <w:highlight w:val="none"/>
        </w:rPr>
        <w:t xml:space="preserve">  考虑将部分临时设施设计为永久设施的一部分，或使用永久设施的预留接口，避免重复建设和浪费。</w:t>
      </w:r>
    </w:p>
    <w:p w14:paraId="144AB1F9">
      <w:pPr>
        <w:pStyle w:val="5"/>
        <w:rPr>
          <w:highlight w:val="none"/>
        </w:rPr>
      </w:pPr>
      <w:r>
        <w:rPr>
          <w:rFonts w:hint="eastAsia"/>
          <w:b/>
          <w:bCs/>
          <w:highlight w:val="none"/>
        </w:rPr>
        <w:t>14.2.15</w:t>
      </w:r>
      <w:r>
        <w:rPr>
          <w:rFonts w:hint="eastAsia"/>
          <w:highlight w:val="none"/>
        </w:rPr>
        <w:t xml:space="preserve">  综合管廊廊内管道</w:t>
      </w:r>
      <w:r>
        <w:rPr>
          <w:highlight w:val="none"/>
        </w:rPr>
        <w:t>采用工厂预制管道，减少现场焊接、切割等高能耗作业</w:t>
      </w:r>
      <w:r>
        <w:rPr>
          <w:rFonts w:hint="eastAsia"/>
          <w:highlight w:val="none"/>
        </w:rPr>
        <w:t>，采用</w:t>
      </w:r>
      <w:r>
        <w:rPr>
          <w:highlight w:val="none"/>
        </w:rPr>
        <w:t>模块化拼装技术，降低运输和安装能耗。</w:t>
      </w:r>
    </w:p>
    <w:p w14:paraId="25F8748B">
      <w:pPr>
        <w:pStyle w:val="5"/>
        <w:rPr>
          <w:highlight w:val="none"/>
        </w:rPr>
      </w:pPr>
      <w:r>
        <w:rPr>
          <w:rFonts w:hint="eastAsia"/>
          <w:b/>
          <w:bCs/>
          <w:highlight w:val="none"/>
        </w:rPr>
        <w:t>14.2.16</w:t>
      </w:r>
      <w:r>
        <w:rPr>
          <w:rFonts w:hint="eastAsia"/>
          <w:highlight w:val="none"/>
        </w:rPr>
        <w:t xml:space="preserve">  </w:t>
      </w:r>
      <w:r>
        <w:rPr>
          <w:highlight w:val="none"/>
        </w:rPr>
        <w:t>节材与资源循环利用应符合下列规定：</w:t>
      </w:r>
    </w:p>
    <w:p w14:paraId="3E0055AE">
      <w:pPr>
        <w:pStyle w:val="5"/>
        <w:keepNext w:val="0"/>
        <w:keepLines w:val="0"/>
        <w:pageBreakBefore w:val="0"/>
        <w:widowControl w:val="0"/>
        <w:kinsoku/>
        <w:wordWrap/>
        <w:overflowPunct w:val="0"/>
        <w:topLinePunct w:val="0"/>
        <w:autoSpaceDE/>
        <w:autoSpaceDN/>
        <w:bidi w:val="0"/>
        <w:adjustRightInd/>
        <w:snapToGrid/>
        <w:ind w:firstLine="527" w:firstLineChars="250"/>
        <w:textAlignment w:val="auto"/>
        <w:rPr>
          <w:highlight w:val="none"/>
        </w:rPr>
      </w:pPr>
      <w:r>
        <w:rPr>
          <w:rFonts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1</w:t>
      </w:r>
      <w:r>
        <w:rPr>
          <w:highlight w:val="none"/>
        </w:rPr>
        <w:t xml:space="preserve">  优先选用</w:t>
      </w:r>
      <w:r>
        <w:rPr>
          <w:rFonts w:hint="eastAsia"/>
          <w:highlight w:val="none"/>
        </w:rPr>
        <w:t>“</w:t>
      </w:r>
      <w:r>
        <w:rPr>
          <w:highlight w:val="none"/>
        </w:rPr>
        <w:t>高耐久、可回收材料</w:t>
      </w:r>
      <w:r>
        <w:rPr>
          <w:rFonts w:hint="eastAsia"/>
          <w:highlight w:val="none"/>
        </w:rPr>
        <w:t>”，</w:t>
      </w:r>
      <w:r>
        <w:rPr>
          <w:highlight w:val="none"/>
        </w:rPr>
        <w:t>优先选山西本地溯源及循环体系成熟材料，构配件推广再生合金材料，</w:t>
      </w:r>
      <w:r>
        <w:rPr>
          <w:rFonts w:hint="eastAsia"/>
          <w:highlight w:val="none"/>
        </w:rPr>
        <w:t>应</w:t>
      </w:r>
      <w:r>
        <w:rPr>
          <w:highlight w:val="none"/>
        </w:rPr>
        <w:t>符合《</w:t>
      </w:r>
      <w:r>
        <w:rPr>
          <w:rFonts w:hint="eastAsia"/>
          <w:highlight w:val="none"/>
        </w:rPr>
        <w:t>建筑固废再生利用技术标准</w:t>
      </w:r>
      <w:r>
        <w:rPr>
          <w:highlight w:val="none"/>
        </w:rPr>
        <w:t>》</w:t>
      </w:r>
      <w:r>
        <w:rPr>
          <w:rFonts w:hint="eastAsia"/>
          <w:highlight w:val="none"/>
        </w:rPr>
        <w:t>DBJ04/T384的有关规定；</w:t>
      </w:r>
    </w:p>
    <w:p w14:paraId="6BFAF053">
      <w:pPr>
        <w:pStyle w:val="5"/>
        <w:keepNext w:val="0"/>
        <w:keepLines w:val="0"/>
        <w:pageBreakBefore w:val="0"/>
        <w:widowControl w:val="0"/>
        <w:kinsoku/>
        <w:wordWrap/>
        <w:overflowPunct w:val="0"/>
        <w:topLinePunct w:val="0"/>
        <w:autoSpaceDE/>
        <w:autoSpaceDN/>
        <w:bidi w:val="0"/>
        <w:adjustRightInd/>
        <w:snapToGrid/>
        <w:ind w:firstLine="527" w:firstLineChars="250"/>
        <w:textAlignment w:val="auto"/>
        <w:rPr>
          <w:highlight w:val="none"/>
        </w:rPr>
      </w:pPr>
      <w:r>
        <w:rPr>
          <w:rFonts w:hint="eastAsia"/>
          <w:b/>
          <w:bCs/>
          <w:highlight w:val="none"/>
        </w:rPr>
        <w:t>2</w:t>
      </w:r>
      <w:r>
        <w:rPr>
          <w:highlight w:val="none"/>
        </w:rPr>
        <w:t xml:space="preserve">  减少短管拼接，按山西管廊敷设路径、运输条件模数化设计管段长度，用 BIM 模拟排版，短管优先用于非主体结构，废料率≤3%</w:t>
      </w:r>
      <w:r>
        <w:rPr>
          <w:rFonts w:hint="eastAsia"/>
          <w:highlight w:val="none"/>
        </w:rPr>
        <w:t>；</w:t>
      </w:r>
    </w:p>
    <w:p w14:paraId="1507E2D0">
      <w:pPr>
        <w:pStyle w:val="5"/>
        <w:keepNext w:val="0"/>
        <w:keepLines w:val="0"/>
        <w:pageBreakBefore w:val="0"/>
        <w:widowControl w:val="0"/>
        <w:kinsoku/>
        <w:wordWrap/>
        <w:overflowPunct w:val="0"/>
        <w:topLinePunct w:val="0"/>
        <w:autoSpaceDE/>
        <w:autoSpaceDN/>
        <w:bidi w:val="0"/>
        <w:adjustRightInd/>
        <w:snapToGrid/>
        <w:ind w:firstLine="527" w:firstLineChars="250"/>
        <w:textAlignment w:val="auto"/>
        <w:rPr>
          <w:highlight w:val="none"/>
        </w:rPr>
      </w:pPr>
      <w:r>
        <w:rPr>
          <w:rFonts w:hint="eastAsia"/>
          <w:b/>
          <w:bCs/>
          <w:highlight w:val="none"/>
        </w:rPr>
        <w:t>3</w:t>
      </w:r>
      <w:r>
        <w:rPr>
          <w:highlight w:val="none"/>
        </w:rPr>
        <w:t xml:space="preserve">  现场设分类回收区，与本地回收企业签协议，定期清运溯源，回收利用率≥85% ；特殊包装由供应商 “以旧换新”统一处理</w:t>
      </w:r>
      <w:r>
        <w:rPr>
          <w:rFonts w:hint="eastAsia"/>
          <w:highlight w:val="none"/>
        </w:rPr>
        <w:t>；</w:t>
      </w:r>
    </w:p>
    <w:p w14:paraId="519261D4">
      <w:pPr>
        <w:pStyle w:val="5"/>
        <w:keepNext w:val="0"/>
        <w:keepLines w:val="0"/>
        <w:pageBreakBefore w:val="0"/>
        <w:widowControl w:val="0"/>
        <w:kinsoku/>
        <w:wordWrap/>
        <w:overflowPunct w:val="0"/>
        <w:topLinePunct w:val="0"/>
        <w:autoSpaceDE/>
        <w:autoSpaceDN/>
        <w:bidi w:val="0"/>
        <w:adjustRightInd/>
        <w:snapToGrid/>
        <w:spacing w:line="348" w:lineRule="exact"/>
        <w:ind w:firstLine="527" w:firstLineChars="250"/>
        <w:textAlignment w:val="auto"/>
        <w:rPr>
          <w:highlight w:val="none"/>
        </w:rPr>
      </w:pPr>
      <w:r>
        <w:rPr>
          <w:rFonts w:hint="eastAsia"/>
          <w:b/>
          <w:bCs/>
          <w:highlight w:val="none"/>
        </w:rPr>
        <w:t>4</w:t>
      </w:r>
      <w:r>
        <w:rPr>
          <w:highlight w:val="none"/>
        </w:rPr>
        <w:t xml:space="preserve">  废弃管道管件经检测，强度、防腐达标后，经设计复核可用</w:t>
      </w:r>
      <w:r>
        <w:rPr>
          <w:rFonts w:hint="eastAsia"/>
          <w:highlight w:val="none"/>
          <w:lang w:val="en-US" w:eastAsia="zh-CN"/>
        </w:rPr>
        <w:t>于</w:t>
      </w:r>
      <w:r>
        <w:rPr>
          <w:highlight w:val="none"/>
        </w:rPr>
        <w:t>临时工程（周期≤90天）；鼓励本地建再生线，再生材料经评估优先用于附属设施</w:t>
      </w:r>
      <w:r>
        <w:rPr>
          <w:rFonts w:hint="eastAsia"/>
          <w:highlight w:val="none"/>
        </w:rPr>
        <w:t>。</w:t>
      </w:r>
    </w:p>
    <w:p w14:paraId="2F9DBEE7">
      <w:pPr>
        <w:keepNext w:val="0"/>
        <w:keepLines w:val="0"/>
        <w:pageBreakBefore w:val="0"/>
        <w:widowControl w:val="0"/>
        <w:kinsoku/>
        <w:wordWrap/>
        <w:topLinePunct w:val="0"/>
        <w:autoSpaceDE/>
        <w:autoSpaceDN/>
        <w:bidi w:val="0"/>
        <w:adjustRightInd/>
        <w:snapToGrid/>
        <w:spacing w:line="348" w:lineRule="exact"/>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
          <w:bCs w:val="0"/>
          <w:color w:val="000000" w:themeColor="text1"/>
          <w:highlight w:val="none"/>
          <w:u w:val="none"/>
          <w14:textFill>
            <w14:solidFill>
              <w14:schemeClr w14:val="tx1"/>
            </w14:solidFill>
          </w14:textFill>
        </w:rPr>
        <w:t>14.2.17</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bCs/>
          <w:color w:val="000000" w:themeColor="text1"/>
          <w:highlight w:val="none"/>
          <w:u w:val="none"/>
          <w14:textFill>
            <w14:solidFill>
              <w14:schemeClr w14:val="tx1"/>
            </w14:solidFill>
          </w14:textFill>
        </w:rPr>
        <w:t>节水与防污染措施</w:t>
      </w:r>
      <w:r>
        <w:rPr>
          <w:rFonts w:ascii="Times New Roman" w:hAnsi="Times New Roman" w:cs="Times New Roman"/>
          <w:bCs/>
          <w:color w:val="000000" w:themeColor="text1"/>
          <w:highlight w:val="none"/>
          <w:u w:val="none"/>
          <w14:textFill>
            <w14:solidFill>
              <w14:schemeClr w14:val="tx1"/>
            </w14:solidFill>
          </w14:textFill>
        </w:rPr>
        <w:t>应符合下列规定：</w:t>
      </w:r>
    </w:p>
    <w:p w14:paraId="719862BD">
      <w:pPr>
        <w:keepNext w:val="0"/>
        <w:keepLines w:val="0"/>
        <w:pageBreakBefore w:val="0"/>
        <w:widowControl w:val="0"/>
        <w:kinsoku/>
        <w:wordWrap/>
        <w:overflowPunct/>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val="0"/>
          <w:color w:val="000000" w:themeColor="text1"/>
          <w:highlight w:val="none"/>
          <w:u w:val="none"/>
          <w14:textFill>
            <w14:solidFill>
              <w14:schemeClr w14:val="tx1"/>
            </w14:solidFill>
          </w14:textFill>
        </w:rPr>
        <w:t>1</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试压水应经处理后回用，水质应符合相关标准要求；</w:t>
      </w:r>
    </w:p>
    <w:p w14:paraId="1844A8CB">
      <w:pPr>
        <w:keepNext w:val="0"/>
        <w:keepLines w:val="0"/>
        <w:pageBreakBefore w:val="0"/>
        <w:widowControl w:val="0"/>
        <w:kinsoku/>
        <w:wordWrap/>
        <w:overflowPunct/>
        <w:topLinePunct w:val="0"/>
        <w:autoSpaceDE/>
        <w:autoSpaceDN/>
        <w:bidi w:val="0"/>
        <w:adjustRightInd/>
        <w:snapToGrid/>
        <w:spacing w:line="348" w:lineRule="exact"/>
        <w:ind w:firstLine="527" w:firstLineChars="25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
          <w:bCs w:val="0"/>
          <w:color w:val="000000" w:themeColor="text1"/>
          <w:highlight w:val="none"/>
          <w:u w:val="none"/>
          <w14:textFill>
            <w14:solidFill>
              <w14:schemeClr w14:val="tx1"/>
            </w14:solidFill>
          </w14:textFill>
        </w:rPr>
        <w:t>2</w:t>
      </w:r>
      <w:r>
        <w:rPr>
          <w:rFonts w:ascii="Times New Roman" w:hAnsi="Times New Roman" w:eastAsia="方正书宋简体" w:cs="Times New Roman"/>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焊接、防腐作业应采取有效的环境保护措施，废气排放应符合国家现行有关标准；</w:t>
      </w:r>
    </w:p>
    <w:p w14:paraId="18EAEA3D">
      <w:pPr>
        <w:keepNext w:val="0"/>
        <w:keepLines w:val="0"/>
        <w:pageBreakBefore w:val="0"/>
        <w:widowControl w:val="0"/>
        <w:kinsoku/>
        <w:wordWrap/>
        <w:overflowPunct/>
        <w:topLinePunct w:val="0"/>
        <w:autoSpaceDE/>
        <w:autoSpaceDN/>
        <w:bidi w:val="0"/>
        <w:adjustRightInd/>
        <w:snapToGrid/>
        <w:spacing w:line="348" w:lineRule="exact"/>
        <w:ind w:firstLine="527" w:firstLineChars="250"/>
        <w:textAlignment w:val="auto"/>
        <w:rPr>
          <w:rFonts w:hint="eastAsia"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
          <w:bCs w:val="0"/>
          <w:color w:val="000000" w:themeColor="text1"/>
          <w:highlight w:val="none"/>
          <w:u w:val="none"/>
          <w14:textFill>
            <w14:solidFill>
              <w14:schemeClr w14:val="tx1"/>
            </w14:solidFill>
          </w14:textFill>
        </w:rPr>
        <w:t>3</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水源地保护区内施工应严格控制水污染，实现施工废水"零排放"；</w:t>
      </w:r>
    </w:p>
    <w:p w14:paraId="00761F32">
      <w:pPr>
        <w:keepNext w:val="0"/>
        <w:keepLines w:val="0"/>
        <w:pageBreakBefore w:val="0"/>
        <w:widowControl w:val="0"/>
        <w:kinsoku/>
        <w:wordWrap/>
        <w:overflowPunct/>
        <w:topLinePunct w:val="0"/>
        <w:autoSpaceDE/>
        <w:autoSpaceDN/>
        <w:bidi w:val="0"/>
        <w:adjustRightInd/>
        <w:snapToGrid/>
        <w:spacing w:line="348" w:lineRule="exact"/>
        <w:ind w:firstLine="527" w:firstLineChars="250"/>
        <w:textAlignment w:val="auto"/>
        <w:rPr>
          <w:rFonts w:hint="default" w:ascii="Times New Roman" w:hAnsi="Times New Roman" w:eastAsia="方正书宋简体" w:cs="Times New Roman"/>
          <w:bCs/>
          <w:color w:val="000000" w:themeColor="text1"/>
          <w:highlight w:val="none"/>
          <w:u w:val="none"/>
          <w:lang w:val="en-US" w:eastAsia="zh-CN"/>
          <w14:textFill>
            <w14:solidFill>
              <w14:schemeClr w14:val="tx1"/>
            </w14:solidFill>
          </w14:textFill>
        </w:rPr>
      </w:pPr>
      <w:r>
        <w:rPr>
          <w:rFonts w:hint="eastAsia" w:ascii="Times New Roman" w:hAnsi="Times New Roman" w:eastAsia="方正书宋简体" w:cs="Times New Roman"/>
          <w:b/>
          <w:bCs w:val="0"/>
          <w:color w:val="000000" w:themeColor="text1"/>
          <w:highlight w:val="none"/>
          <w:u w:val="none"/>
          <w:lang w:val="en-US" w:eastAsia="zh-CN"/>
          <w14:textFill>
            <w14:solidFill>
              <w14:schemeClr w14:val="tx1"/>
            </w14:solidFill>
          </w14:textFill>
        </w:rPr>
        <w:t>4</w:t>
      </w:r>
      <w:r>
        <w:rPr>
          <w:rFonts w:hint="eastAsia" w:ascii="Times New Roman" w:hAnsi="Times New Roman" w:eastAsia="方正书宋简体" w:cs="Times New Roman"/>
          <w:bCs/>
          <w:color w:val="000000" w:themeColor="text1"/>
          <w:highlight w:val="none"/>
          <w:u w:val="none"/>
          <w:lang w:val="en-US" w:eastAsia="zh-CN"/>
          <w14:textFill>
            <w14:solidFill>
              <w14:schemeClr w14:val="tx1"/>
            </w14:solidFill>
          </w14:textFill>
        </w:rPr>
        <w:t xml:space="preserve">  基坑降水应优先考虑回灌，水资源利用方案应经相关部门论证。</w:t>
      </w:r>
    </w:p>
    <w:p w14:paraId="5185E494">
      <w:pPr>
        <w:pStyle w:val="2"/>
        <w:rPr>
          <w:rFonts w:eastAsia="方正书宋简体"/>
          <w:color w:val="000000" w:themeColor="text1"/>
          <w:highlight w:val="none"/>
          <w14:textFill>
            <w14:solidFill>
              <w14:schemeClr w14:val="tx1"/>
            </w14:solidFill>
          </w14:textFill>
        </w:rPr>
        <w:sectPr>
          <w:footerReference r:id="rId12" w:type="default"/>
          <w:pgSz w:w="7937" w:h="11509"/>
          <w:pgMar w:top="1020" w:right="907" w:bottom="1020" w:left="907" w:header="737" w:footer="737" w:gutter="0"/>
          <w:pgNumType w:fmt="decimal" w:start="99"/>
          <w:cols w:space="0" w:num="1"/>
          <w:docGrid w:type="linesAndChars" w:linePitch="312" w:charSpace="233"/>
        </w:sectPr>
      </w:pPr>
      <w:r>
        <w:rPr>
          <w:rFonts w:eastAsia="方正书宋简体"/>
          <w:color w:val="000000" w:themeColor="text1"/>
          <w:highlight w:val="none"/>
          <w14:textFill>
            <w14:solidFill>
              <w14:schemeClr w14:val="tx1"/>
            </w14:solidFill>
          </w14:textFill>
        </w:rPr>
        <w:br w:type="page"/>
      </w:r>
    </w:p>
    <w:p w14:paraId="4D0788F4">
      <w:pPr>
        <w:pStyle w:val="2"/>
        <w:rPr>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15  </w:t>
      </w:r>
      <w:r>
        <w:rPr>
          <w:b w:val="0"/>
          <w:bCs w:val="0"/>
          <w:color w:val="000000" w:themeColor="text1"/>
          <w:highlight w:val="none"/>
          <w14:textFill>
            <w14:solidFill>
              <w14:schemeClr w14:val="tx1"/>
            </w14:solidFill>
          </w14:textFill>
        </w:rPr>
        <w:t>运</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营</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维</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护</w:t>
      </w:r>
    </w:p>
    <w:p w14:paraId="3C24A3BD">
      <w:pPr>
        <w:pStyle w:val="5"/>
        <w:rPr>
          <w:highlight w:val="none"/>
        </w:rPr>
      </w:pPr>
      <w:r>
        <w:rPr>
          <w:b/>
          <w:highlight w:val="none"/>
        </w:rPr>
        <w:t>15.0.1</w:t>
      </w:r>
      <w:r>
        <w:rPr>
          <w:highlight w:val="none"/>
        </w:rPr>
        <w:t xml:space="preserve">  综合管廊建成后，应设立专门的运营机构对管廊进行维护管理。运营机构应建立健全综合管廊的安全管理制度、消防保卫制度、安全操作规程、进出综合管廊须知、入廊工作申请程序、入廊施工管理规定、廊内施工作业规定、管廊进出规定、动火作业管理规定、安装工程施工管理规定、巡视巡检规定等。应配备相应的专业技术人员，落实安全保障措施。</w:t>
      </w:r>
    </w:p>
    <w:p w14:paraId="5E6580CB">
      <w:pPr>
        <w:pStyle w:val="5"/>
        <w:rPr>
          <w:highlight w:val="none"/>
          <w:u w:val="none"/>
        </w:rPr>
      </w:pPr>
      <w:r>
        <w:rPr>
          <w:b/>
          <w:highlight w:val="none"/>
        </w:rPr>
        <w:t>15.0.2</w:t>
      </w:r>
      <w:r>
        <w:rPr>
          <w:highlight w:val="none"/>
        </w:rPr>
        <w:t xml:space="preserve">  管廊运营机构应会同各专业管线单位编制管线维护管理办法、年度维护维修计划、实施细则及应急预案，并明确双方的工作界线、权利和义务</w:t>
      </w:r>
      <w:r>
        <w:rPr>
          <w:rFonts w:hint="eastAsia"/>
          <w:highlight w:val="none"/>
        </w:rPr>
        <w:t>，</w:t>
      </w:r>
      <w:r>
        <w:rPr>
          <w:rFonts w:hint="eastAsia"/>
          <w:highlight w:val="none"/>
          <w:u w:val="none"/>
        </w:rPr>
        <w:t>每年至少开展1次综合应急演练，涵盖天然气泄漏、管廊积水等场景，参演单位包括管廊运营方及各管线权属单位</w:t>
      </w:r>
      <w:r>
        <w:rPr>
          <w:highlight w:val="none"/>
          <w:u w:val="none"/>
        </w:rPr>
        <w:t>。</w:t>
      </w:r>
    </w:p>
    <w:p w14:paraId="1DA9E010">
      <w:pPr>
        <w:pStyle w:val="5"/>
        <w:rPr>
          <w:highlight w:val="none"/>
        </w:rPr>
      </w:pPr>
      <w:r>
        <w:rPr>
          <w:b/>
          <w:highlight w:val="none"/>
        </w:rPr>
        <w:t>15.0.3</w:t>
      </w:r>
      <w:r>
        <w:rPr>
          <w:highlight w:val="none"/>
        </w:rPr>
        <w:t xml:space="preserve">  综合管廊本体包括综合管廊的主体结构及人员出入口、吊装口、逃生口、通风口、管线分支口、支吊架、防排水设施、检修通道及风道等构筑物，运营维护应符合下列规定：</w:t>
      </w:r>
    </w:p>
    <w:p w14:paraId="3D722E94">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运营维护主要包括日常巡检、清洁维护、日常监测、专业检测、维修保养等内容；</w:t>
      </w:r>
    </w:p>
    <w:p w14:paraId="36CAEBF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综合管廊的巡视维护人员应采取防护措施，并应配备防护装备，日常巡检应携带便携式氧气及有害气体检测仪；</w:t>
      </w:r>
    </w:p>
    <w:p w14:paraId="7A260BE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 xml:space="preserve"> 涉及综合管廊安全或有强制性规定的检测项目应</w:t>
      </w:r>
      <w:r>
        <w:rPr>
          <w:rFonts w:hint="eastAsia" w:ascii="Times New Roman" w:hAnsi="Times New Roman" w:eastAsia="方正书宋简体" w:cs="Times New Roman"/>
          <w:color w:val="000000" w:themeColor="text1"/>
          <w:highlight w:val="none"/>
          <w14:textFill>
            <w14:solidFill>
              <w14:schemeClr w14:val="tx1"/>
            </w14:solidFill>
          </w14:textFill>
        </w:rPr>
        <w:t>由</w:t>
      </w:r>
      <w:r>
        <w:rPr>
          <w:rFonts w:ascii="Times New Roman" w:hAnsi="Times New Roman" w:eastAsia="方正书宋简体" w:cs="Times New Roman"/>
          <w:color w:val="000000" w:themeColor="text1"/>
          <w:highlight w:val="none"/>
          <w14:textFill>
            <w14:solidFill>
              <w14:schemeClr w14:val="tx1"/>
            </w14:solidFill>
          </w14:textFill>
        </w:rPr>
        <w:t>专业机构进行。</w:t>
      </w:r>
    </w:p>
    <w:p w14:paraId="0CE12F64">
      <w:pPr>
        <w:pStyle w:val="5"/>
        <w:rPr>
          <w:highlight w:val="none"/>
        </w:rPr>
      </w:pPr>
      <w:r>
        <w:rPr>
          <w:b/>
          <w:highlight w:val="none"/>
        </w:rPr>
        <w:t xml:space="preserve">15.0.4 </w:t>
      </w:r>
      <w:r>
        <w:rPr>
          <w:highlight w:val="none"/>
        </w:rPr>
        <w:t xml:space="preserve"> 综合管廊附属设施包括消防、通风、供电、照明、监控与报警、排水及标识等系统，运营维护应符合下列规定：</w:t>
      </w:r>
    </w:p>
    <w:p w14:paraId="2547306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 </w:t>
      </w:r>
      <w:r>
        <w:rPr>
          <w:rFonts w:ascii="Times New Roman" w:hAnsi="Times New Roman" w:eastAsia="方正书宋简体" w:cs="Times New Roman"/>
          <w:color w:val="000000" w:themeColor="text1"/>
          <w:highlight w:val="none"/>
          <w14:textFill>
            <w14:solidFill>
              <w14:schemeClr w14:val="tx1"/>
            </w14:solidFill>
          </w14:textFill>
        </w:rPr>
        <w:t xml:space="preserve"> 综合管廊附属设施维护应按照产品说明书、系统维护手册以及相关技术规范要求实施；</w:t>
      </w:r>
    </w:p>
    <w:p w14:paraId="09EE968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2 </w:t>
      </w:r>
      <w:r>
        <w:rPr>
          <w:rFonts w:ascii="Times New Roman" w:hAnsi="Times New Roman" w:eastAsia="方正书宋简体" w:cs="Times New Roman"/>
          <w:color w:val="000000" w:themeColor="text1"/>
          <w:highlight w:val="none"/>
          <w14:textFill>
            <w14:solidFill>
              <w14:schemeClr w14:val="tx1"/>
            </w14:solidFill>
          </w14:textFill>
        </w:rPr>
        <w:t xml:space="preserve"> 综合管廊附属设施检测及维护宜以系统为单位进行；</w:t>
      </w:r>
    </w:p>
    <w:p w14:paraId="44B492D9">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3 </w:t>
      </w:r>
      <w:r>
        <w:rPr>
          <w:rFonts w:ascii="Times New Roman" w:hAnsi="Times New Roman" w:eastAsia="方正书宋简体" w:cs="Times New Roman"/>
          <w:color w:val="000000" w:themeColor="text1"/>
          <w:highlight w:val="none"/>
          <w14:textFill>
            <w14:solidFill>
              <w14:schemeClr w14:val="tx1"/>
            </w14:solidFill>
          </w14:textFill>
        </w:rPr>
        <w:t xml:space="preserve"> 综合管廊附属设施的日常巡检宜结合本体日常巡检进行。</w:t>
      </w:r>
    </w:p>
    <w:p w14:paraId="2349D019">
      <w:pPr>
        <w:pStyle w:val="5"/>
        <w:rPr>
          <w:highlight w:val="none"/>
        </w:rPr>
      </w:pPr>
      <w:r>
        <w:rPr>
          <w:b/>
          <w:highlight w:val="none"/>
        </w:rPr>
        <w:t>15.0.5</w:t>
      </w:r>
      <w:r>
        <w:rPr>
          <w:highlight w:val="none"/>
        </w:rPr>
        <w:t xml:space="preserve">  入廊管线包括综合管廊内给水及再生水、排水、燃气、热力、电力、通信等市政公用管线，以及随管线建设的支吊架、检测监测装置等，运营维护应由管线管理单位负责，纳入综合管廊的统一管理，并应符合下列规定：</w:t>
      </w:r>
    </w:p>
    <w:p w14:paraId="0E9AEBA0">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接受管廊管理单位的管理、监督及检查，做好相关记录；</w:t>
      </w:r>
    </w:p>
    <w:p w14:paraId="26F71306">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制定管线应急预案，配合管廊管理单位定期开展应急演练；</w:t>
      </w:r>
    </w:p>
    <w:p w14:paraId="551C26BF">
      <w:pPr>
        <w:pStyle w:val="42"/>
        <w:overflowPunct w:val="0"/>
        <w:spacing w:line="348" w:lineRule="exact"/>
        <w:ind w:firstLine="424"/>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入廊管线运行维护过程中，除应满足各专业管线相关要求外，还应重点关注周围环境变化情况和影响附属设施安全的</w:t>
      </w:r>
      <w:r>
        <w:rPr>
          <w:rFonts w:ascii="Times New Roman" w:hAnsi="Times New Roman" w:eastAsia="方正书宋简体" w:cs="Times New Roman"/>
          <w:color w:val="000000" w:themeColor="text1"/>
          <w:highlight w:val="none"/>
          <w:u w:val="none"/>
          <w14:textFill>
            <w14:solidFill>
              <w14:schemeClr w14:val="tx1"/>
            </w14:solidFill>
          </w14:textFill>
        </w:rPr>
        <w:t>活动</w:t>
      </w:r>
      <w:r>
        <w:rPr>
          <w:rFonts w:hint="eastAsia" w:ascii="Times New Roman" w:hAnsi="Times New Roman" w:eastAsia="方正书宋简体" w:cs="Times New Roman"/>
          <w:bCs/>
          <w:color w:val="000000" w:themeColor="text1"/>
          <w:highlight w:val="none"/>
          <w:u w:val="none"/>
          <w14:textFill>
            <w14:solidFill>
              <w14:schemeClr w14:val="tx1"/>
            </w14:solidFill>
          </w14:textFill>
        </w:rPr>
        <w:t>，并配合管廊运营单位介入智慧运维平台</w:t>
      </w:r>
      <w:r>
        <w:rPr>
          <w:rFonts w:ascii="Times New Roman" w:hAnsi="Times New Roman" w:eastAsia="方正书宋简体" w:cs="Times New Roman"/>
          <w:bCs/>
          <w:color w:val="000000" w:themeColor="text1"/>
          <w:highlight w:val="none"/>
          <w:u w:val="none"/>
          <w14:textFill>
            <w14:solidFill>
              <w14:schemeClr w14:val="tx1"/>
            </w14:solidFill>
          </w14:textFill>
        </w:rPr>
        <w:t>。</w:t>
      </w:r>
    </w:p>
    <w:p w14:paraId="2B6D8384">
      <w:pPr>
        <w:pStyle w:val="5"/>
        <w:keepNext w:val="0"/>
        <w:keepLines w:val="0"/>
        <w:pageBreakBefore w:val="0"/>
        <w:widowControl w:val="0"/>
        <w:kinsoku/>
        <w:wordWrap/>
        <w:topLinePunct w:val="0"/>
        <w:autoSpaceDE/>
        <w:autoSpaceDN/>
        <w:bidi w:val="0"/>
        <w:adjustRightInd/>
        <w:snapToGrid/>
        <w:spacing w:line="348" w:lineRule="exact"/>
        <w:textAlignment w:val="auto"/>
        <w:rPr>
          <w:highlight w:val="none"/>
          <w:u w:val="none"/>
        </w:rPr>
      </w:pPr>
      <w:r>
        <w:rPr>
          <w:b/>
          <w:highlight w:val="none"/>
          <w:u w:val="none"/>
        </w:rPr>
        <w:t>15.0.6</w:t>
      </w:r>
      <w:r>
        <w:rPr>
          <w:highlight w:val="none"/>
          <w:u w:val="none"/>
        </w:rPr>
        <w:t xml:space="preserve">  综合管廊的运维应建立基于BIM+GIS</w:t>
      </w:r>
      <w:r>
        <w:rPr>
          <w:rFonts w:hint="eastAsia"/>
          <w:highlight w:val="none"/>
          <w:u w:val="none"/>
        </w:rPr>
        <w:t>+loT</w:t>
      </w:r>
      <w:r>
        <w:rPr>
          <w:highlight w:val="none"/>
          <w:u w:val="none"/>
        </w:rPr>
        <w:t>的一体化</w:t>
      </w:r>
      <w:r>
        <w:rPr>
          <w:rFonts w:hint="eastAsia"/>
          <w:highlight w:val="none"/>
          <w:u w:val="none"/>
        </w:rPr>
        <w:t>智慧</w:t>
      </w:r>
      <w:r>
        <w:rPr>
          <w:highlight w:val="none"/>
          <w:u w:val="none"/>
        </w:rPr>
        <w:t>运维平台，集成各组成系统，满足监控与报警、应急处理和日常维护管理的需要</w:t>
      </w:r>
      <w:r>
        <w:rPr>
          <w:rFonts w:hint="eastAsia"/>
          <w:highlight w:val="none"/>
          <w:u w:val="none"/>
        </w:rPr>
        <w:t>，实现全生命周期数字化管理，并符合下列规定：</w:t>
      </w:r>
    </w:p>
    <w:p w14:paraId="3A4E7B9C">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highlight w:val="none"/>
          <w:u w:val="none"/>
        </w:rPr>
        <w:t xml:space="preserve">  </w:t>
      </w:r>
      <w:r>
        <w:rPr>
          <w:rFonts w:hint="eastAsia" w:ascii="方正书宋简体" w:hAnsi="方正书宋简体" w:eastAsia="方正书宋简体" w:cs="方正书宋简体"/>
          <w:highlight w:val="none"/>
          <w:u w:val="none"/>
        </w:rPr>
        <w:t>平台应集成管廊本体结构、附属设施、入廊管线的三维模型，关联设计参数、施工记录、设备台账等静态数据，以及环境监测、设备状态、巡检记录等动态数据，形成可视化数字孪生体；</w:t>
      </w:r>
    </w:p>
    <w:p w14:paraId="6039C4F9">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应具备实时监测功能，对管廊内温度、湿度、有害气体浓度（如天然气、硫化氢）、水位、结构沉降、管线压力等参数进行连续采集，数据采样频率不低于1次/分钟，异常数据触发自动报警，同步推送预警信息至运维人员手机APP及监控中心；</w:t>
      </w:r>
    </w:p>
    <w:p w14:paraId="173EE905">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应支持设备远程控制，对通风机、排水泵、消防设施、照明系统等实现自动启停和模式切换，其中天然气舱通风设备应与可燃气体探测器联动，响应时间不超过30秒；</w:t>
      </w:r>
    </w:p>
    <w:p w14:paraId="7EABF102">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应内置智能巡检管理模块，支持巡检路线规划、任务派发、缺陷上报、处理跟踪的闭环管理，可对接移动终端（如AR眼镜）实现现场数据实时录入和模型叠加标注。</w:t>
      </w:r>
    </w:p>
    <w:p w14:paraId="1DD53570">
      <w:pPr>
        <w:pStyle w:val="5"/>
        <w:keepNext w:val="0"/>
        <w:keepLines w:val="0"/>
        <w:pageBreakBefore w:val="0"/>
        <w:widowControl w:val="0"/>
        <w:kinsoku/>
        <w:wordWrap/>
        <w:topLinePunct w:val="0"/>
        <w:autoSpaceDE/>
        <w:autoSpaceDN/>
        <w:bidi w:val="0"/>
        <w:adjustRightInd/>
        <w:snapToGrid/>
        <w:spacing w:line="348" w:lineRule="exact"/>
        <w:textAlignment w:val="auto"/>
        <w:rPr>
          <w:highlight w:val="none"/>
          <w:u w:val="none"/>
        </w:rPr>
      </w:pPr>
      <w:r>
        <w:rPr>
          <w:b/>
          <w:highlight w:val="none"/>
          <w:u w:val="none"/>
        </w:rPr>
        <w:t>15.0.7</w:t>
      </w:r>
      <w:r>
        <w:rPr>
          <w:rFonts w:hint="eastAsia"/>
          <w:highlight w:val="none"/>
          <w:u w:val="none"/>
        </w:rPr>
        <w:t xml:space="preserve">  综合管廊安全保护区划定与管理应符合下列规定：</w:t>
      </w:r>
    </w:p>
    <w:p w14:paraId="6F9CF393">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bCs/>
          <w:color w:val="000000" w:themeColor="text1"/>
          <w:highlight w:val="none"/>
          <w:u w:val="none"/>
          <w14:textFill>
            <w14:solidFill>
              <w14:schemeClr w14:val="tx1"/>
            </w14:solidFill>
          </w14:textFill>
        </w:rPr>
        <w:t>安全保护区范围：</w:t>
      </w:r>
    </w:p>
    <w:p w14:paraId="710642C6">
      <w:pPr>
        <w:keepNext w:val="0"/>
        <w:keepLines w:val="0"/>
        <w:pageBreakBefore w:val="0"/>
        <w:widowControl w:val="0"/>
        <w:kinsoku/>
        <w:wordWrap/>
        <w:topLinePunct w:val="0"/>
        <w:autoSpaceDE/>
        <w:autoSpaceDN/>
        <w:bidi w:val="0"/>
        <w:adjustRightInd/>
        <w:snapToGrid/>
        <w:spacing w:line="348" w:lineRule="exact"/>
        <w:ind w:firstLine="633" w:firstLineChars="3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Cs/>
          <w:color w:val="000000" w:themeColor="text1"/>
          <w:highlight w:val="none"/>
          <w:u w:val="none"/>
          <w14:textFill>
            <w14:solidFill>
              <w14:schemeClr w14:val="tx1"/>
            </w14:solidFill>
          </w14:textFill>
        </w:rPr>
        <w:t>1）地下段管廊：结构外侧水平距离5m范围内为核心保护区，5m至10m范围内为一般保护区；</w:t>
      </w:r>
    </w:p>
    <w:p w14:paraId="74E43EAC">
      <w:pPr>
        <w:keepNext w:val="0"/>
        <w:keepLines w:val="0"/>
        <w:pageBreakBefore w:val="0"/>
        <w:widowControl w:val="0"/>
        <w:kinsoku/>
        <w:wordWrap/>
        <w:topLinePunct w:val="0"/>
        <w:autoSpaceDE/>
        <w:autoSpaceDN/>
        <w:bidi w:val="0"/>
        <w:adjustRightInd/>
        <w:snapToGrid/>
        <w:spacing w:line="348" w:lineRule="exact"/>
        <w:ind w:firstLine="633" w:firstLineChars="3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Cs/>
          <w:color w:val="000000" w:themeColor="text1"/>
          <w:highlight w:val="none"/>
          <w:u w:val="none"/>
          <w14:textFill>
            <w14:solidFill>
              <w14:schemeClr w14:val="tx1"/>
            </w14:solidFill>
          </w14:textFill>
        </w:rPr>
        <w:t>2）地上构筑物（如通风口、吊装口、监控中心）：周边3m范围内为核心保护区；</w:t>
      </w:r>
    </w:p>
    <w:p w14:paraId="35CF570C">
      <w:pPr>
        <w:keepNext w:val="0"/>
        <w:keepLines w:val="0"/>
        <w:pageBreakBefore w:val="0"/>
        <w:widowControl w:val="0"/>
        <w:kinsoku/>
        <w:wordWrap/>
        <w:topLinePunct w:val="0"/>
        <w:autoSpaceDE/>
        <w:autoSpaceDN/>
        <w:bidi w:val="0"/>
        <w:adjustRightInd/>
        <w:snapToGrid/>
        <w:spacing w:line="348" w:lineRule="exact"/>
        <w:ind w:firstLine="633" w:firstLineChars="3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Times New Roman" w:hAnsi="Times New Roman" w:eastAsia="方正书宋简体" w:cs="Times New Roman"/>
          <w:bCs/>
          <w:color w:val="000000" w:themeColor="text1"/>
          <w:highlight w:val="none"/>
          <w:u w:val="none"/>
          <w14:textFill>
            <w14:solidFill>
              <w14:schemeClr w14:val="tx1"/>
            </w14:solidFill>
          </w14:textFill>
        </w:rPr>
        <w:t>3）穿越河道、铁路、轨道交通段：核心保护区扩大至管廊结构外侧10m，一般保护区扩大至20m。</w:t>
      </w:r>
    </w:p>
    <w:p w14:paraId="1D82B697">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核心保护区内严禁新建、改建、扩建建筑物，严禁挖掘、爆破、堆放重物及敷设影响管廊安全的管线；一般保护区内作业需提前7个工作日向运营单位提交方案，经审核并采取防护措施后方可施工；</w:t>
      </w:r>
    </w:p>
    <w:p w14:paraId="1B3DFA6B">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安全保护区边界应设置永久性标识牌，标明范围、禁止行为及联系方式，间距不宜大于50m；核心保护区应布设自动化监测设备，数据接入智慧平台，超限时自动报警；</w:t>
      </w:r>
    </w:p>
    <w:p w14:paraId="0DC120E5">
      <w:pPr>
        <w:keepNext w:val="0"/>
        <w:keepLines w:val="0"/>
        <w:pageBreakBefore w:val="0"/>
        <w:widowControl w:val="0"/>
        <w:kinsoku/>
        <w:wordWrap/>
        <w:topLinePunct w:val="0"/>
        <w:autoSpaceDE/>
        <w:autoSpaceDN/>
        <w:bidi w:val="0"/>
        <w:adjustRightInd/>
        <w:snapToGrid/>
        <w:spacing w:line="348" w:lineRule="exact"/>
        <w:ind w:firstLine="422" w:firstLineChars="200"/>
        <w:textAlignment w:val="auto"/>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
          <w:color w:val="000000" w:themeColor="text1"/>
          <w:highlight w:val="none"/>
          <w:u w:val="none"/>
          <w14:textFill>
            <w14:solidFill>
              <w14:schemeClr w14:val="tx1"/>
            </w14:solidFill>
          </w14:textFill>
        </w:rPr>
        <w:t>4</w:t>
      </w:r>
      <w:r>
        <w:rPr>
          <w:rFonts w:hint="eastAsia" w:ascii="Times New Roman" w:hAnsi="Times New Roman" w:eastAsia="方正书宋简体" w:cs="Times New Roman"/>
          <w:bCs/>
          <w:color w:val="000000" w:themeColor="text1"/>
          <w:highlight w:val="none"/>
          <w:u w:val="none"/>
          <w14:textFill>
            <w14:solidFill>
              <w14:schemeClr w14:val="tx1"/>
            </w14:solidFill>
          </w14:textFill>
        </w:rPr>
        <w:t xml:space="preserve">  运营单位应与自然资源、住建等部门建立信息共享机制，发现违规作业立即制止并通报主管部门。</w:t>
      </w:r>
    </w:p>
    <w:p w14:paraId="790A9D93">
      <w:pP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7403B3B0">
      <w:pPr>
        <w:pStyle w:val="2"/>
        <w:rPr>
          <w:color w:val="000000" w:themeColor="text1"/>
          <w:highlight w:val="none"/>
          <w14:textFill>
            <w14:solidFill>
              <w14:schemeClr w14:val="tx1"/>
            </w14:solidFill>
          </w14:textFill>
        </w:rPr>
        <w:sectPr>
          <w:footerReference r:id="rId13" w:type="default"/>
          <w:pgSz w:w="7937" w:h="11509"/>
          <w:pgMar w:top="1020" w:right="907" w:bottom="1020" w:left="907" w:header="737" w:footer="737" w:gutter="0"/>
          <w:pgNumType w:fmt="decimal" w:start="105"/>
          <w:cols w:space="0" w:num="1"/>
          <w:docGrid w:type="linesAndChars" w:linePitch="312" w:charSpace="233"/>
        </w:sectPr>
      </w:pPr>
    </w:p>
    <w:p w14:paraId="3EA47A09">
      <w:pPr>
        <w:pStyle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附录A  </w:t>
      </w:r>
      <w:r>
        <w:rPr>
          <w:b w:val="0"/>
          <w:bCs w:val="0"/>
          <w:color w:val="000000" w:themeColor="text1"/>
          <w:highlight w:val="none"/>
          <w14:textFill>
            <w14:solidFill>
              <w14:schemeClr w14:val="tx1"/>
            </w14:solidFill>
          </w14:textFill>
        </w:rPr>
        <w:t>电缆散热量计算</w:t>
      </w:r>
      <w:bookmarkEnd w:id="97"/>
    </w:p>
    <w:p w14:paraId="46EA7200">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A.0.1</w:t>
      </w:r>
      <w:r>
        <w:rPr>
          <w:rFonts w:ascii="Times New Roman" w:hAnsi="Times New Roman" w:eastAsia="方正书宋简体" w:cs="Times New Roman"/>
          <w:color w:val="000000" w:themeColor="text1"/>
          <w:highlight w:val="none"/>
          <w14:textFill>
            <w14:solidFill>
              <w14:schemeClr w14:val="tx1"/>
            </w14:solidFill>
          </w14:textFill>
        </w:rPr>
        <w:t xml:space="preserve">  电缆舱室常规敷设电缆规格及截面应符合表A.0.1的规定。</w:t>
      </w:r>
    </w:p>
    <w:p w14:paraId="2B2455D3">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表</w:t>
      </w:r>
      <w:r>
        <w:rPr>
          <w:rFonts w:ascii="Times New Roman" w:hAnsi="Times New Roman" w:eastAsia="方正黑体简体" w:cs="Times New Roman"/>
          <w:b/>
          <w:color w:val="000000" w:themeColor="text1"/>
          <w:sz w:val="18"/>
          <w:szCs w:val="18"/>
          <w:highlight w:val="none"/>
          <w14:textFill>
            <w14:solidFill>
              <w14:schemeClr w14:val="tx1"/>
            </w14:solidFill>
          </w14:textFill>
        </w:rPr>
        <w:t>A.0.1</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电缆舱常规电缆等级及截面</w:t>
      </w:r>
    </w:p>
    <w:tbl>
      <w:tblPr>
        <w:tblStyle w:val="27"/>
        <w:tblW w:w="61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15"/>
        <w:gridCol w:w="4608"/>
      </w:tblGrid>
      <w:tr w14:paraId="18A2B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tcBorders>
              <w:bottom w:val="single" w:color="auto" w:sz="4" w:space="0"/>
              <w:right w:val="single" w:color="auto" w:sz="4" w:space="0"/>
            </w:tcBorders>
            <w:vAlign w:val="center"/>
          </w:tcPr>
          <w:p w14:paraId="2BFD41BE">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电压等级</w:t>
            </w:r>
          </w:p>
        </w:tc>
        <w:tc>
          <w:tcPr>
            <w:tcW w:w="6429" w:type="dxa"/>
            <w:tcBorders>
              <w:left w:val="single" w:color="auto" w:sz="4" w:space="0"/>
              <w:bottom w:val="single" w:color="auto" w:sz="4" w:space="0"/>
            </w:tcBorders>
            <w:vAlign w:val="center"/>
          </w:tcPr>
          <w:p w14:paraId="2DCFD17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常用电缆截面mm</w:t>
            </w:r>
            <w:r>
              <w:rPr>
                <w:color w:val="000000" w:themeColor="text1"/>
                <w:highlight w:val="none"/>
                <w:vertAlign w:val="superscript"/>
                <w14:textFill>
                  <w14:solidFill>
                    <w14:schemeClr w14:val="tx1"/>
                  </w14:solidFill>
                </w14:textFill>
              </w:rPr>
              <w:t>2</w:t>
            </w:r>
          </w:p>
        </w:tc>
      </w:tr>
      <w:tr w14:paraId="4FA37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tcBorders>
              <w:top w:val="single" w:color="auto" w:sz="4" w:space="0"/>
              <w:bottom w:val="single" w:color="auto" w:sz="4" w:space="0"/>
              <w:right w:val="single" w:color="auto" w:sz="4" w:space="0"/>
            </w:tcBorders>
            <w:vAlign w:val="center"/>
          </w:tcPr>
          <w:p w14:paraId="35651AC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10kV</w:t>
            </w:r>
          </w:p>
        </w:tc>
        <w:tc>
          <w:tcPr>
            <w:tcW w:w="6429" w:type="dxa"/>
            <w:tcBorders>
              <w:top w:val="single" w:color="auto" w:sz="4" w:space="0"/>
              <w:left w:val="single" w:color="auto" w:sz="4" w:space="0"/>
              <w:bottom w:val="single" w:color="auto" w:sz="4" w:space="0"/>
            </w:tcBorders>
            <w:vAlign w:val="center"/>
          </w:tcPr>
          <w:p w14:paraId="02C16099">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3×300、3×400</w:t>
            </w:r>
          </w:p>
        </w:tc>
      </w:tr>
      <w:tr w14:paraId="131A4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tcBorders>
              <w:top w:val="single" w:color="auto" w:sz="4" w:space="0"/>
              <w:bottom w:val="single" w:color="auto" w:sz="4" w:space="0"/>
              <w:right w:val="single" w:color="auto" w:sz="4" w:space="0"/>
            </w:tcBorders>
            <w:vAlign w:val="center"/>
          </w:tcPr>
          <w:p w14:paraId="4E0B349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35kV</w:t>
            </w:r>
          </w:p>
        </w:tc>
        <w:tc>
          <w:tcPr>
            <w:tcW w:w="6429" w:type="dxa"/>
            <w:tcBorders>
              <w:top w:val="single" w:color="auto" w:sz="4" w:space="0"/>
              <w:left w:val="single" w:color="auto" w:sz="4" w:space="0"/>
              <w:bottom w:val="single" w:color="auto" w:sz="4" w:space="0"/>
            </w:tcBorders>
            <w:vAlign w:val="center"/>
          </w:tcPr>
          <w:p w14:paraId="1EED5D20">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3×300、3×400、1×630、1×800</w:t>
            </w:r>
          </w:p>
        </w:tc>
      </w:tr>
      <w:tr w14:paraId="35469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tcBorders>
              <w:top w:val="single" w:color="auto" w:sz="4" w:space="0"/>
              <w:bottom w:val="single" w:color="auto" w:sz="4" w:space="0"/>
              <w:right w:val="single" w:color="auto" w:sz="4" w:space="0"/>
            </w:tcBorders>
            <w:vAlign w:val="center"/>
          </w:tcPr>
          <w:p w14:paraId="7224A0ED">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110kV</w:t>
            </w:r>
          </w:p>
        </w:tc>
        <w:tc>
          <w:tcPr>
            <w:tcW w:w="6429" w:type="dxa"/>
            <w:tcBorders>
              <w:top w:val="single" w:color="auto" w:sz="4" w:space="0"/>
              <w:left w:val="single" w:color="auto" w:sz="4" w:space="0"/>
              <w:bottom w:val="single" w:color="auto" w:sz="4" w:space="0"/>
            </w:tcBorders>
            <w:vAlign w:val="center"/>
          </w:tcPr>
          <w:p w14:paraId="023E90D3">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400、630、800、1000</w:t>
            </w:r>
          </w:p>
        </w:tc>
      </w:tr>
      <w:tr w14:paraId="5D177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93" w:type="dxa"/>
            <w:tcBorders>
              <w:top w:val="single" w:color="auto" w:sz="4" w:space="0"/>
              <w:right w:val="single" w:color="auto" w:sz="4" w:space="0"/>
            </w:tcBorders>
            <w:vAlign w:val="center"/>
          </w:tcPr>
          <w:p w14:paraId="6F42BAA1">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220kV</w:t>
            </w:r>
          </w:p>
        </w:tc>
        <w:tc>
          <w:tcPr>
            <w:tcW w:w="6429" w:type="dxa"/>
            <w:tcBorders>
              <w:top w:val="single" w:color="auto" w:sz="4" w:space="0"/>
              <w:left w:val="single" w:color="auto" w:sz="4" w:space="0"/>
            </w:tcBorders>
            <w:vAlign w:val="center"/>
          </w:tcPr>
          <w:p w14:paraId="6DFEA547">
            <w:pPr>
              <w:pStyle w:val="6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630、800、1000、1600、2500</w:t>
            </w:r>
          </w:p>
        </w:tc>
      </w:tr>
    </w:tbl>
    <w:p w14:paraId="688E7C7E">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A.0.2</w:t>
      </w:r>
      <w:r>
        <w:rPr>
          <w:rFonts w:ascii="Times New Roman" w:hAnsi="Times New Roman" w:eastAsia="方正书宋简体" w:cs="Times New Roman"/>
          <w:color w:val="000000" w:themeColor="text1"/>
          <w:highlight w:val="none"/>
          <w14:textFill>
            <w14:solidFill>
              <w14:schemeClr w14:val="tx1"/>
            </w14:solidFill>
          </w14:textFill>
        </w:rPr>
        <w:t xml:space="preserve">  电缆舱室的余热量按照管廊舱室内设计敷设的所有规格电缆散热量的总和计算。电缆散热量宜按照设计载流量与电缆截面积计算确定。</w:t>
      </w:r>
    </w:p>
    <w:p w14:paraId="3D4ACCA2">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A.0.3</w:t>
      </w:r>
      <w:r>
        <w:rPr>
          <w:rFonts w:ascii="Times New Roman" w:hAnsi="Times New Roman" w:eastAsia="方正书宋简体" w:cs="Times New Roman"/>
          <w:color w:val="000000" w:themeColor="text1"/>
          <w:highlight w:val="none"/>
          <w14:textFill>
            <w14:solidFill>
              <w14:schemeClr w14:val="tx1"/>
            </w14:solidFill>
          </w14:textFill>
        </w:rPr>
        <w:t xml:space="preserve">  电缆散热量计算应符合下列规定：</w:t>
      </w:r>
    </w:p>
    <w:p w14:paraId="79993B0A">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电缆散热量计算由载流电缆芯的热损失求出。</w:t>
      </w:r>
    </w:p>
    <w:p w14:paraId="067AE6D2">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一条n芯（不包括不载流的中性线和PE线）电缆的热损失功率PR采用以下公式计算：</w:t>
      </w:r>
    </w:p>
    <w:p w14:paraId="33F5C741">
      <w:pPr>
        <w:pStyle w:val="59"/>
        <w:jc w:val="right"/>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P</w:t>
      </w:r>
      <w:r>
        <w:rPr>
          <w:i/>
          <w:iCs/>
          <w:color w:val="000000" w:themeColor="text1"/>
          <w:highlight w:val="none"/>
          <w:vertAlign w:val="subscript"/>
          <w14:textFill>
            <w14:solidFill>
              <w14:schemeClr w14:val="tx1"/>
            </w14:solidFill>
          </w14:textFill>
        </w:rPr>
        <w:t>R</w:t>
      </w:r>
      <w:r>
        <w:rPr>
          <w:i/>
          <w:iCs/>
          <w:color w:val="000000" w:themeColor="text1"/>
          <w:highlight w:val="none"/>
          <w14:textFill>
            <w14:solidFill>
              <w14:schemeClr w14:val="tx1"/>
            </w14:solidFill>
          </w14:textFill>
        </w:rPr>
        <w:t>=nI</w:t>
      </w:r>
      <w:r>
        <w:rPr>
          <w:i/>
          <w:iCs/>
          <w:color w:val="000000" w:themeColor="text1"/>
          <w:highlight w:val="none"/>
          <w:vertAlign w:val="superscript"/>
          <w14:textFill>
            <w14:solidFill>
              <w14:schemeClr w14:val="tx1"/>
            </w14:solidFill>
          </w14:textFill>
        </w:rPr>
        <w:t>2</w:t>
      </w:r>
      <w:r>
        <w:rPr>
          <w:i/>
          <w:iCs/>
          <w:color w:val="000000" w:themeColor="text1"/>
          <w:highlight w:val="none"/>
          <w14:textFill>
            <w14:solidFill>
              <w14:schemeClr w14:val="tx1"/>
            </w14:solidFill>
          </w14:textFill>
        </w:rPr>
        <w:t>ρ</w:t>
      </w:r>
      <w:r>
        <w:rPr>
          <w:i/>
          <w:iCs/>
          <w:color w:val="000000" w:themeColor="text1"/>
          <w:highlight w:val="none"/>
          <w:vertAlign w:val="subscript"/>
          <w14:textFill>
            <w14:solidFill>
              <w14:schemeClr w14:val="tx1"/>
            </w14:solidFill>
          </w14:textFill>
        </w:rPr>
        <w:t>t</w:t>
      </w:r>
      <w:r>
        <w:rPr>
          <w:i/>
          <w:iCs/>
          <w:color w:val="000000" w:themeColor="text1"/>
          <w:highlight w:val="none"/>
          <w14:textFill>
            <w14:solidFill>
              <w14:schemeClr w14:val="tx1"/>
            </w14:solidFill>
          </w14:textFill>
        </w:rPr>
        <w:t>L/S</w:t>
      </w:r>
      <w:r>
        <w:rPr>
          <w:color w:val="000000" w:themeColor="text1"/>
          <w:highlight w:val="none"/>
          <w14:textFill>
            <w14:solidFill>
              <w14:schemeClr w14:val="tx1"/>
            </w14:solidFill>
          </w14:textFill>
        </w:rPr>
        <w:t xml:space="preserve">               （A.0.3-1）</w:t>
      </w:r>
    </w:p>
    <w:tbl>
      <w:tblPr>
        <w:tblStyle w:val="28"/>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04"/>
        <w:gridCol w:w="4819"/>
      </w:tblGrid>
      <w:tr w14:paraId="714F6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76E9CE98">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式中：</w:t>
            </w:r>
            <w:r>
              <w:rPr>
                <w:rFonts w:ascii="Times New Roman" w:hAnsi="Times New Roman" w:eastAsia="方正书宋简体" w:cs="Times New Roman"/>
                <w:i/>
                <w:iCs/>
                <w:color w:val="000000" w:themeColor="text1"/>
                <w:highlight w:val="none"/>
                <w14:textFill>
                  <w14:solidFill>
                    <w14:schemeClr w14:val="tx1"/>
                  </w14:solidFill>
                </w14:textFill>
              </w:rPr>
              <w:t>P</w:t>
            </w:r>
            <w:r>
              <w:rPr>
                <w:rFonts w:ascii="Times New Roman" w:hAnsi="Times New Roman" w:eastAsia="方正书宋简体" w:cs="Times New Roman"/>
                <w:i/>
                <w:iCs/>
                <w:color w:val="000000" w:themeColor="text1"/>
                <w:highlight w:val="none"/>
                <w:vertAlign w:val="subscript"/>
                <w14:textFill>
                  <w14:solidFill>
                    <w14:schemeClr w14:val="tx1"/>
                  </w14:solidFill>
                </w14:textFill>
              </w:rPr>
              <w:t>R</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02A79017">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电缆的热损失功率，（W）；</w:t>
            </w:r>
          </w:p>
        </w:tc>
      </w:tr>
      <w:tr w14:paraId="29EE3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0D492202">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n</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49AA6B96">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电缆芯数；</w:t>
            </w:r>
          </w:p>
        </w:tc>
      </w:tr>
      <w:tr w14:paraId="10F60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31C9BA56">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I</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22FE4DA9">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电缆的计算负荷电流，（A）；</w:t>
            </w:r>
          </w:p>
        </w:tc>
      </w:tr>
      <w:tr w14:paraId="6AF45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4A544970">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S</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1E923B29">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电缆芯截面积，（mm</w:t>
            </w:r>
            <w:r>
              <w:rPr>
                <w:rFonts w:ascii="Times New Roman" w:hAnsi="Times New Roman" w:eastAsia="方正书宋简体" w:cs="Times New Roman"/>
                <w:color w:val="000000" w:themeColor="text1"/>
                <w:highlight w:val="none"/>
                <w:vertAlign w:val="superscript"/>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w:t>
            </w:r>
          </w:p>
        </w:tc>
      </w:tr>
      <w:tr w14:paraId="088D2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3A8DA039">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L</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66488E6F">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电缆长度，（m）；</w:t>
            </w:r>
          </w:p>
        </w:tc>
      </w:tr>
      <w:tr w14:paraId="314B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2B62945D">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ρ</w:t>
            </w:r>
            <w:r>
              <w:rPr>
                <w:rFonts w:ascii="Times New Roman" w:hAnsi="Times New Roman" w:eastAsia="方正书宋简体" w:cs="Times New Roman"/>
                <w:i/>
                <w:iCs/>
                <w:color w:val="000000" w:themeColor="text1"/>
                <w:highlight w:val="none"/>
                <w:vertAlign w:val="subscript"/>
                <w14:textFill>
                  <w14:solidFill>
                    <w14:schemeClr w14:val="tx1"/>
                  </w14:solidFill>
                </w14:textFill>
              </w:rPr>
              <w:t>t</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7FE28D19">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电缆运行时平均温度下的电缆芯电阻率。</w:t>
            </w:r>
          </w:p>
        </w:tc>
      </w:tr>
    </w:tbl>
    <w:p w14:paraId="47B7FA57">
      <w:pPr>
        <w:pStyle w:val="59"/>
        <w:jc w:val="right"/>
        <w:rPr>
          <w:color w:val="000000" w:themeColor="text1"/>
          <w:highlight w:val="none"/>
          <w14:textFill>
            <w14:solidFill>
              <w14:schemeClr w14:val="tx1"/>
            </w14:solidFill>
          </w14:textFill>
        </w:rPr>
      </w:pPr>
      <w:r>
        <w:rPr>
          <w:i/>
          <w:iCs/>
          <w:color w:val="000000" w:themeColor="text1"/>
          <w:highlight w:val="none"/>
          <w14:textFill>
            <w14:solidFill>
              <w14:schemeClr w14:val="tx1"/>
            </w14:solidFill>
          </w14:textFill>
        </w:rPr>
        <w:t>ρ</w:t>
      </w:r>
      <w:r>
        <w:rPr>
          <w:i/>
          <w:iCs/>
          <w:color w:val="000000" w:themeColor="text1"/>
          <w:highlight w:val="none"/>
          <w:vertAlign w:val="subscript"/>
          <w14:textFill>
            <w14:solidFill>
              <w14:schemeClr w14:val="tx1"/>
            </w14:solidFill>
          </w14:textFill>
        </w:rPr>
        <w:t>t</w:t>
      </w:r>
      <w:r>
        <w:rPr>
          <w:i/>
          <w:iCs/>
          <w:color w:val="000000" w:themeColor="text1"/>
          <w:highlight w:val="none"/>
          <w14:textFill>
            <w14:solidFill>
              <w14:schemeClr w14:val="tx1"/>
            </w14:solidFill>
          </w14:textFill>
        </w:rPr>
        <w:t>=ρ</w:t>
      </w:r>
      <w:r>
        <w:rPr>
          <w:i/>
          <w:iCs/>
          <w:color w:val="000000" w:themeColor="text1"/>
          <w:highlight w:val="none"/>
          <w:vertAlign w:val="subscript"/>
          <w14:textFill>
            <w14:solidFill>
              <w14:schemeClr w14:val="tx1"/>
            </w14:solidFill>
          </w14:textFill>
        </w:rPr>
        <w:t>0</w:t>
      </w:r>
      <w:r>
        <w:rPr>
          <w:i/>
          <w:iCs/>
          <w:color w:val="000000" w:themeColor="text1"/>
          <w:highlight w:val="none"/>
          <w14:textFill>
            <w14:solidFill>
              <w14:schemeClr w14:val="tx1"/>
            </w14:solidFill>
          </w14:textFill>
        </w:rPr>
        <w:t>（1+a·t）</w:t>
      </w:r>
      <w:r>
        <w:rPr>
          <w:color w:val="000000" w:themeColor="text1"/>
          <w:highlight w:val="none"/>
          <w14:textFill>
            <w14:solidFill>
              <w14:schemeClr w14:val="tx1"/>
            </w14:solidFill>
          </w14:textFill>
        </w:rPr>
        <w:t xml:space="preserve">             （A.0.3-2）</w:t>
      </w:r>
    </w:p>
    <w:tbl>
      <w:tblPr>
        <w:tblStyle w:val="28"/>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304"/>
        <w:gridCol w:w="4819"/>
      </w:tblGrid>
      <w:tr w14:paraId="0D5B0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780BAE2C">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式中：</w:t>
            </w:r>
            <w:r>
              <w:rPr>
                <w:rFonts w:ascii="Times New Roman" w:hAnsi="Times New Roman" w:eastAsia="方正书宋简体" w:cs="Times New Roman"/>
                <w:i/>
                <w:iCs/>
                <w:color w:val="000000" w:themeColor="text1"/>
                <w:highlight w:val="none"/>
                <w14:textFill>
                  <w14:solidFill>
                    <w14:schemeClr w14:val="tx1"/>
                  </w14:solidFill>
                </w14:textFill>
              </w:rPr>
              <w:t>ρ</w:t>
            </w:r>
            <w:r>
              <w:rPr>
                <w:rFonts w:ascii="Times New Roman" w:hAnsi="Times New Roman" w:eastAsia="方正书宋简体" w:cs="Times New Roman"/>
                <w:i/>
                <w:iCs/>
                <w:color w:val="000000" w:themeColor="text1"/>
                <w:highlight w:val="none"/>
                <w:vertAlign w:val="subscript"/>
                <w14:textFill>
                  <w14:solidFill>
                    <w14:schemeClr w14:val="tx1"/>
                  </w14:solidFill>
                </w14:textFill>
              </w:rPr>
              <w:t>0</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7325D4A1">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在0℃时的电阻率，（Ωmm</w:t>
            </w:r>
            <w:r>
              <w:rPr>
                <w:rFonts w:ascii="Times New Roman" w:hAnsi="Times New Roman" w:eastAsia="方正书宋简体" w:cs="Times New Roman"/>
                <w:color w:val="000000" w:themeColor="text1"/>
                <w:highlight w:val="none"/>
                <w:vertAlign w:val="superscript"/>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/m），纯铜在0℃时的电阻率是 0.0165Ωmm</w:t>
            </w:r>
            <w:r>
              <w:rPr>
                <w:rFonts w:ascii="Times New Roman" w:hAnsi="Times New Roman" w:eastAsia="方正书宋简体" w:cs="Times New Roman"/>
                <w:color w:val="000000" w:themeColor="text1"/>
                <w:highlight w:val="none"/>
                <w:vertAlign w:val="superscript"/>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/m；</w:t>
            </w:r>
          </w:p>
        </w:tc>
      </w:tr>
      <w:tr w14:paraId="61C20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7937531A">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a</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5A7BFDBC">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电阻温度系数，（1/℃），铜取0.00393；</w:t>
            </w:r>
          </w:p>
        </w:tc>
      </w:tr>
      <w:tr w14:paraId="396A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304" w:type="dxa"/>
          </w:tcPr>
          <w:p w14:paraId="6BAEB8F7">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t</w:t>
            </w:r>
            <w:r>
              <w:rPr>
                <w:rFonts w:ascii="Times New Roman" w:hAnsi="Times New Roman" w:eastAsia="方正书宋简体" w:cs="Times New Roman"/>
                <w:color w:val="000000" w:themeColor="text1"/>
                <w:highlight w:val="none"/>
                <w14:textFill>
                  <w14:solidFill>
                    <w14:schemeClr w14:val="tx1"/>
                  </w14:solidFill>
                </w14:textFill>
              </w:rPr>
              <w:t>——</w:t>
            </w:r>
          </w:p>
        </w:tc>
        <w:tc>
          <w:tcPr>
            <w:tcW w:w="4819" w:type="dxa"/>
          </w:tcPr>
          <w:p w14:paraId="28FAD27E">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电缆运行时平均温度，（℃）。</w:t>
            </w:r>
          </w:p>
        </w:tc>
      </w:tr>
    </w:tbl>
    <w:p w14:paraId="32D6702D">
      <w:pPr>
        <w:pStyle w:val="59"/>
        <w:ind w:firstLine="424"/>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 xml:space="preserve">  N根n芯电缆的总热损失功率P按照下式计算：</w:t>
      </w:r>
    </w:p>
    <w:p w14:paraId="679A2F9C">
      <w:pPr>
        <w:pStyle w:val="59"/>
        <w:jc w:val="right"/>
        <w:rPr>
          <w:color w:val="000000" w:themeColor="text1"/>
          <w:highlight w:val="none"/>
          <w14:textFill>
            <w14:solidFill>
              <w14:schemeClr w14:val="tx1"/>
            </w14:solidFill>
          </w14:textFill>
        </w:rPr>
      </w:pPr>
      <w:r>
        <w:rPr>
          <w:color w:val="000000" w:themeColor="text1"/>
          <w:position w:val="-16"/>
          <w:highlight w:val="none"/>
          <w14:textFill>
            <w14:solidFill>
              <w14:schemeClr w14:val="tx1"/>
            </w14:solidFill>
          </w14:textFill>
        </w:rPr>
        <w:object>
          <v:shape id="_x0000_i1026" o:spt="75" type="#_x0000_t75" style="height:22.9pt;width:67.3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5" r:id="rId21">
            <o:LockedField>false</o:LockedField>
          </o:OLEObject>
        </w:object>
      </w:r>
      <w:r>
        <w:rPr>
          <w:color w:val="000000" w:themeColor="text1"/>
          <w:highlight w:val="none"/>
          <w14:textFill>
            <w14:solidFill>
              <w14:schemeClr w14:val="tx1"/>
            </w14:solidFill>
          </w14:textFill>
        </w:rPr>
        <w:t xml:space="preserve">            （A.0.3-1）</w:t>
      </w:r>
    </w:p>
    <w:tbl>
      <w:tblPr>
        <w:tblStyle w:val="28"/>
        <w:tblW w:w="61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1207"/>
        <w:gridCol w:w="4916"/>
      </w:tblGrid>
      <w:tr w14:paraId="6A5F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207" w:type="dxa"/>
          </w:tcPr>
          <w:p w14:paraId="21215588">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式中：</w:t>
            </w:r>
            <w:r>
              <w:rPr>
                <w:rFonts w:ascii="Times New Roman" w:hAnsi="Times New Roman" w:eastAsia="方正书宋简体" w:cs="Times New Roman"/>
                <w:i/>
                <w:iCs/>
                <w:color w:val="000000" w:themeColor="text1"/>
                <w:highlight w:val="none"/>
                <w14:textFill>
                  <w14:solidFill>
                    <w14:schemeClr w14:val="tx1"/>
                  </w14:solidFill>
                </w14:textFill>
              </w:rPr>
              <w:t>P</w:t>
            </w:r>
            <w:r>
              <w:rPr>
                <w:rFonts w:ascii="Times New Roman" w:hAnsi="Times New Roman" w:eastAsia="方正书宋简体" w:cs="Times New Roman"/>
                <w:color w:val="000000" w:themeColor="text1"/>
                <w:highlight w:val="none"/>
                <w14:textFill>
                  <w14:solidFill>
                    <w14:schemeClr w14:val="tx1"/>
                  </w14:solidFill>
                </w14:textFill>
              </w:rPr>
              <w:t>——</w:t>
            </w:r>
          </w:p>
        </w:tc>
        <w:tc>
          <w:tcPr>
            <w:tcW w:w="4916" w:type="dxa"/>
          </w:tcPr>
          <w:p w14:paraId="16DAFE6D">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总热损失功率，（W）；</w:t>
            </w:r>
          </w:p>
        </w:tc>
      </w:tr>
      <w:tr w14:paraId="32E4E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207" w:type="dxa"/>
          </w:tcPr>
          <w:p w14:paraId="68409CDA">
            <w:pPr>
              <w:pStyle w:val="42"/>
              <w:overflowPunct w:val="0"/>
              <w:spacing w:line="348" w:lineRule="exact"/>
              <w:ind w:firstLine="422"/>
              <w:jc w:val="righ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i/>
                <w:iCs/>
                <w:color w:val="000000" w:themeColor="text1"/>
                <w:highlight w:val="none"/>
                <w14:textFill>
                  <w14:solidFill>
                    <w14:schemeClr w14:val="tx1"/>
                  </w14:solidFill>
                </w14:textFill>
              </w:rPr>
              <w:t>K</w:t>
            </w:r>
            <w:r>
              <w:rPr>
                <w:rFonts w:ascii="Times New Roman" w:hAnsi="Times New Roman" w:eastAsia="方正书宋简体" w:cs="Times New Roman"/>
                <w:color w:val="000000" w:themeColor="text1"/>
                <w:highlight w:val="none"/>
                <w14:textFill>
                  <w14:solidFill>
                    <w14:schemeClr w14:val="tx1"/>
                  </w14:solidFill>
                </w14:textFill>
              </w:rPr>
              <w:t>——</w:t>
            </w:r>
          </w:p>
        </w:tc>
        <w:tc>
          <w:tcPr>
            <w:tcW w:w="4916" w:type="dxa"/>
          </w:tcPr>
          <w:p w14:paraId="11CE5022">
            <w:pPr>
              <w:pStyle w:val="42"/>
              <w:overflowPunct w:val="0"/>
              <w:spacing w:line="348" w:lineRule="exact"/>
              <w:ind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电流参差系数，取0.85～0.95，电缆根数少时取大值。</w:t>
            </w:r>
          </w:p>
        </w:tc>
      </w:tr>
    </w:tbl>
    <w:p w14:paraId="11C95A92">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A.0.4</w:t>
      </w:r>
      <w:r>
        <w:rPr>
          <w:rFonts w:ascii="Times New Roman" w:hAnsi="Times New Roman" w:eastAsia="方正书宋简体" w:cs="Times New Roman"/>
          <w:color w:val="000000" w:themeColor="text1"/>
          <w:highlight w:val="none"/>
          <w14:textFill>
            <w14:solidFill>
              <w14:schemeClr w14:val="tx1"/>
            </w14:solidFill>
          </w14:textFill>
        </w:rPr>
        <w:t xml:space="preserve">  单根单芯电缆的发热量可依据电缆标称截面积与负载电流按照表A.0.4查取。</w:t>
      </w:r>
    </w:p>
    <w:p w14:paraId="74A43CEC">
      <w:pPr>
        <w:pStyle w:val="59"/>
        <w:rPr>
          <w:color w:val="000000" w:themeColor="text1"/>
          <w:highlight w:val="none"/>
          <w14:textFill>
            <w14:solidFill>
              <w14:schemeClr w14:val="tx1"/>
            </w14:solidFill>
          </w14:textFill>
        </w:rPr>
      </w:pPr>
    </w:p>
    <w:p w14:paraId="2DD3D9A8">
      <w:pPr>
        <w:pStyle w:val="59"/>
        <w:rPr>
          <w:color w:val="000000" w:themeColor="text1"/>
          <w:highlight w:val="none"/>
          <w14:textFill>
            <w14:solidFill>
              <w14:schemeClr w14:val="tx1"/>
            </w14:solidFill>
          </w14:textFill>
        </w:rPr>
        <w:sectPr>
          <w:footerReference r:id="rId14" w:type="default"/>
          <w:pgSz w:w="7937" w:h="11509"/>
          <w:pgMar w:top="1020" w:right="907" w:bottom="1020" w:left="907" w:header="737" w:footer="737" w:gutter="0"/>
          <w:pgNumType w:fmt="decimal" w:start="108"/>
          <w:cols w:space="0" w:num="1"/>
          <w:docGrid w:type="linesAndChars" w:linePitch="312" w:charSpace="233"/>
        </w:sectPr>
      </w:pPr>
    </w:p>
    <w:p w14:paraId="40266CA9">
      <w:pPr>
        <w:spacing w:line="23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hint="eastAsia" w:ascii="Times New Roman" w:hAnsi="Times New Roman" w:eastAsia="方正黑体简体" w:cs="Times New Roman"/>
          <w:bCs/>
          <w:color w:val="000000" w:themeColor="text1"/>
          <w:sz w:val="18"/>
          <w:szCs w:val="18"/>
          <w:highlight w:val="none"/>
          <w14:textFill>
            <w14:solidFill>
              <w14:schemeClr w14:val="tx1"/>
            </w14:solidFill>
          </w14:textFill>
        </w:rPr>
        <w:t xml:space="preserve">表A.0.4  </w:t>
      </w:r>
      <w:r>
        <w:rPr>
          <w:rFonts w:ascii="Times New Roman" w:hAnsi="Times New Roman" w:eastAsia="方正黑体简体" w:cs="Times New Roman"/>
          <w:bCs/>
          <w:color w:val="000000" w:themeColor="text1"/>
          <w:sz w:val="18"/>
          <w:szCs w:val="18"/>
          <w:highlight w:val="none"/>
          <w14:textFill>
            <w14:solidFill>
              <w14:schemeClr w14:val="tx1"/>
            </w14:solidFill>
          </w14:textFill>
        </w:rPr>
        <w:t>铜导体单根电缆单位长度散热量（W/m）</w:t>
      </w:r>
    </w:p>
    <w:tbl>
      <w:tblPr>
        <w:tblStyle w:val="27"/>
        <w:tblW w:w="9760" w:type="dxa"/>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28" w:type="dxa"/>
          <w:bottom w:w="0" w:type="dxa"/>
          <w:right w:w="28" w:type="dxa"/>
        </w:tblCellMar>
      </w:tblPr>
      <w:tblGrid>
        <w:gridCol w:w="760"/>
        <w:gridCol w:w="393"/>
        <w:gridCol w:w="395"/>
        <w:gridCol w:w="441"/>
        <w:gridCol w:w="441"/>
        <w:gridCol w:w="441"/>
        <w:gridCol w:w="441"/>
        <w:gridCol w:w="441"/>
        <w:gridCol w:w="441"/>
        <w:gridCol w:w="441"/>
        <w:gridCol w:w="441"/>
        <w:gridCol w:w="441"/>
        <w:gridCol w:w="441"/>
        <w:gridCol w:w="441"/>
        <w:gridCol w:w="441"/>
        <w:gridCol w:w="441"/>
        <w:gridCol w:w="441"/>
        <w:gridCol w:w="406"/>
        <w:gridCol w:w="406"/>
        <w:gridCol w:w="406"/>
        <w:gridCol w:w="406"/>
        <w:gridCol w:w="414"/>
      </w:tblGrid>
      <w:tr w14:paraId="4D5BCBF5">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PrEx>
        <w:trPr>
          <w:trHeight w:val="255" w:hRule="atLeast"/>
          <w:jc w:val="center"/>
        </w:trPr>
        <w:tc>
          <w:tcPr>
            <w:tcW w:w="1153" w:type="dxa"/>
            <w:gridSpan w:val="2"/>
            <w:tcBorders>
              <w:bottom w:val="single" w:color="auto" w:sz="4" w:space="0"/>
              <w:right w:val="single" w:color="auto" w:sz="4" w:space="0"/>
            </w:tcBorders>
            <w:vAlign w:val="center"/>
          </w:tcPr>
          <w:p w14:paraId="1D2361F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电缆载流量（A）</w:t>
            </w:r>
          </w:p>
        </w:tc>
        <w:tc>
          <w:tcPr>
            <w:tcW w:w="395" w:type="dxa"/>
            <w:tcBorders>
              <w:left w:val="nil"/>
              <w:bottom w:val="single" w:color="auto" w:sz="4" w:space="0"/>
              <w:right w:val="single" w:color="auto" w:sz="4" w:space="0"/>
            </w:tcBorders>
            <w:vAlign w:val="center"/>
          </w:tcPr>
          <w:p w14:paraId="7172210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100</w:t>
            </w:r>
          </w:p>
        </w:tc>
        <w:tc>
          <w:tcPr>
            <w:tcW w:w="441" w:type="dxa"/>
            <w:tcBorders>
              <w:left w:val="nil"/>
              <w:bottom w:val="single" w:color="auto" w:sz="4" w:space="0"/>
              <w:right w:val="single" w:color="auto" w:sz="4" w:space="0"/>
            </w:tcBorders>
            <w:vAlign w:val="center"/>
          </w:tcPr>
          <w:p w14:paraId="4269599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200</w:t>
            </w:r>
          </w:p>
        </w:tc>
        <w:tc>
          <w:tcPr>
            <w:tcW w:w="441" w:type="dxa"/>
            <w:tcBorders>
              <w:left w:val="nil"/>
              <w:bottom w:val="single" w:color="auto" w:sz="4" w:space="0"/>
              <w:right w:val="single" w:color="auto" w:sz="4" w:space="0"/>
            </w:tcBorders>
            <w:vAlign w:val="center"/>
          </w:tcPr>
          <w:p w14:paraId="5E9EC61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300</w:t>
            </w:r>
          </w:p>
        </w:tc>
        <w:tc>
          <w:tcPr>
            <w:tcW w:w="441" w:type="dxa"/>
            <w:tcBorders>
              <w:left w:val="nil"/>
              <w:bottom w:val="single" w:color="auto" w:sz="4" w:space="0"/>
              <w:right w:val="single" w:color="auto" w:sz="4" w:space="0"/>
            </w:tcBorders>
            <w:vAlign w:val="center"/>
          </w:tcPr>
          <w:p w14:paraId="0C22C1E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400</w:t>
            </w:r>
          </w:p>
        </w:tc>
        <w:tc>
          <w:tcPr>
            <w:tcW w:w="441" w:type="dxa"/>
            <w:tcBorders>
              <w:left w:val="nil"/>
              <w:bottom w:val="single" w:color="auto" w:sz="4" w:space="0"/>
              <w:right w:val="single" w:color="auto" w:sz="4" w:space="0"/>
            </w:tcBorders>
            <w:vAlign w:val="center"/>
          </w:tcPr>
          <w:p w14:paraId="2C7517A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500</w:t>
            </w:r>
          </w:p>
        </w:tc>
        <w:tc>
          <w:tcPr>
            <w:tcW w:w="441" w:type="dxa"/>
            <w:tcBorders>
              <w:left w:val="nil"/>
              <w:bottom w:val="single" w:color="auto" w:sz="4" w:space="0"/>
              <w:right w:val="single" w:color="auto" w:sz="4" w:space="0"/>
            </w:tcBorders>
            <w:vAlign w:val="center"/>
          </w:tcPr>
          <w:p w14:paraId="2318402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600</w:t>
            </w:r>
          </w:p>
        </w:tc>
        <w:tc>
          <w:tcPr>
            <w:tcW w:w="441" w:type="dxa"/>
            <w:tcBorders>
              <w:left w:val="nil"/>
              <w:bottom w:val="single" w:color="auto" w:sz="4" w:space="0"/>
              <w:right w:val="single" w:color="auto" w:sz="4" w:space="0"/>
            </w:tcBorders>
            <w:vAlign w:val="center"/>
          </w:tcPr>
          <w:p w14:paraId="7460CDC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700</w:t>
            </w:r>
          </w:p>
        </w:tc>
        <w:tc>
          <w:tcPr>
            <w:tcW w:w="441" w:type="dxa"/>
            <w:tcBorders>
              <w:left w:val="nil"/>
              <w:bottom w:val="single" w:color="auto" w:sz="4" w:space="0"/>
              <w:right w:val="single" w:color="auto" w:sz="4" w:space="0"/>
            </w:tcBorders>
            <w:vAlign w:val="center"/>
          </w:tcPr>
          <w:p w14:paraId="40C380C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800</w:t>
            </w:r>
          </w:p>
        </w:tc>
        <w:tc>
          <w:tcPr>
            <w:tcW w:w="441" w:type="dxa"/>
            <w:tcBorders>
              <w:left w:val="nil"/>
              <w:bottom w:val="single" w:color="auto" w:sz="4" w:space="0"/>
              <w:right w:val="single" w:color="auto" w:sz="4" w:space="0"/>
            </w:tcBorders>
            <w:vAlign w:val="center"/>
          </w:tcPr>
          <w:p w14:paraId="272FDD0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900</w:t>
            </w:r>
          </w:p>
        </w:tc>
        <w:tc>
          <w:tcPr>
            <w:tcW w:w="441" w:type="dxa"/>
            <w:tcBorders>
              <w:left w:val="nil"/>
              <w:bottom w:val="single" w:color="auto" w:sz="4" w:space="0"/>
              <w:right w:val="single" w:color="auto" w:sz="4" w:space="0"/>
            </w:tcBorders>
            <w:vAlign w:val="center"/>
          </w:tcPr>
          <w:p w14:paraId="723E6E9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1000</w:t>
            </w:r>
          </w:p>
        </w:tc>
        <w:tc>
          <w:tcPr>
            <w:tcW w:w="441" w:type="dxa"/>
            <w:tcBorders>
              <w:left w:val="nil"/>
              <w:bottom w:val="single" w:color="auto" w:sz="4" w:space="0"/>
              <w:right w:val="single" w:color="auto" w:sz="4" w:space="0"/>
            </w:tcBorders>
            <w:vAlign w:val="center"/>
          </w:tcPr>
          <w:p w14:paraId="6025810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1100</w:t>
            </w:r>
          </w:p>
        </w:tc>
        <w:tc>
          <w:tcPr>
            <w:tcW w:w="441" w:type="dxa"/>
            <w:tcBorders>
              <w:left w:val="nil"/>
              <w:bottom w:val="single" w:color="auto" w:sz="4" w:space="0"/>
              <w:right w:val="single" w:color="auto" w:sz="4" w:space="0"/>
            </w:tcBorders>
            <w:vAlign w:val="center"/>
          </w:tcPr>
          <w:p w14:paraId="19D3D23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1200</w:t>
            </w:r>
          </w:p>
        </w:tc>
        <w:tc>
          <w:tcPr>
            <w:tcW w:w="441" w:type="dxa"/>
            <w:tcBorders>
              <w:left w:val="nil"/>
              <w:bottom w:val="single" w:color="auto" w:sz="4" w:space="0"/>
              <w:right w:val="single" w:color="auto" w:sz="4" w:space="0"/>
            </w:tcBorders>
            <w:vAlign w:val="center"/>
          </w:tcPr>
          <w:p w14:paraId="6E347EA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1300</w:t>
            </w:r>
          </w:p>
        </w:tc>
        <w:tc>
          <w:tcPr>
            <w:tcW w:w="441" w:type="dxa"/>
            <w:tcBorders>
              <w:left w:val="nil"/>
              <w:bottom w:val="single" w:color="auto" w:sz="4" w:space="0"/>
              <w:right w:val="single" w:color="auto" w:sz="4" w:space="0"/>
            </w:tcBorders>
            <w:vAlign w:val="center"/>
          </w:tcPr>
          <w:p w14:paraId="6EEC352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1400</w:t>
            </w:r>
          </w:p>
        </w:tc>
        <w:tc>
          <w:tcPr>
            <w:tcW w:w="441" w:type="dxa"/>
            <w:tcBorders>
              <w:left w:val="nil"/>
              <w:bottom w:val="single" w:color="auto" w:sz="4" w:space="0"/>
              <w:right w:val="single" w:color="auto" w:sz="4" w:space="0"/>
            </w:tcBorders>
            <w:vAlign w:val="center"/>
          </w:tcPr>
          <w:p w14:paraId="76C0A4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1500</w:t>
            </w:r>
          </w:p>
        </w:tc>
        <w:tc>
          <w:tcPr>
            <w:tcW w:w="406" w:type="dxa"/>
            <w:tcBorders>
              <w:left w:val="nil"/>
              <w:bottom w:val="single" w:color="auto" w:sz="4" w:space="0"/>
              <w:right w:val="single" w:color="auto" w:sz="4" w:space="0"/>
            </w:tcBorders>
            <w:vAlign w:val="center"/>
          </w:tcPr>
          <w:p w14:paraId="577CB2B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1600</w:t>
            </w:r>
          </w:p>
        </w:tc>
        <w:tc>
          <w:tcPr>
            <w:tcW w:w="406" w:type="dxa"/>
            <w:tcBorders>
              <w:left w:val="nil"/>
              <w:bottom w:val="single" w:color="auto" w:sz="4" w:space="0"/>
              <w:right w:val="single" w:color="auto" w:sz="4" w:space="0"/>
            </w:tcBorders>
            <w:vAlign w:val="center"/>
          </w:tcPr>
          <w:p w14:paraId="65E0D80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1700</w:t>
            </w:r>
          </w:p>
        </w:tc>
        <w:tc>
          <w:tcPr>
            <w:tcW w:w="406" w:type="dxa"/>
            <w:tcBorders>
              <w:left w:val="nil"/>
              <w:bottom w:val="single" w:color="auto" w:sz="4" w:space="0"/>
              <w:right w:val="single" w:color="auto" w:sz="4" w:space="0"/>
            </w:tcBorders>
            <w:vAlign w:val="center"/>
          </w:tcPr>
          <w:p w14:paraId="7DCCF55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1800</w:t>
            </w:r>
          </w:p>
        </w:tc>
        <w:tc>
          <w:tcPr>
            <w:tcW w:w="406" w:type="dxa"/>
            <w:tcBorders>
              <w:left w:val="nil"/>
              <w:bottom w:val="single" w:color="auto" w:sz="4" w:space="0"/>
              <w:right w:val="single" w:color="auto" w:sz="4" w:space="0"/>
            </w:tcBorders>
            <w:vAlign w:val="center"/>
          </w:tcPr>
          <w:p w14:paraId="3AEDC2A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1900</w:t>
            </w:r>
          </w:p>
        </w:tc>
        <w:tc>
          <w:tcPr>
            <w:tcW w:w="414" w:type="dxa"/>
            <w:tcBorders>
              <w:left w:val="nil"/>
              <w:bottom w:val="single" w:color="auto" w:sz="4" w:space="0"/>
            </w:tcBorders>
            <w:vAlign w:val="center"/>
          </w:tcPr>
          <w:p w14:paraId="4E527B9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2000</w:t>
            </w:r>
          </w:p>
        </w:tc>
      </w:tr>
      <w:tr w14:paraId="24ED0EBE">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restart"/>
            <w:tcBorders>
              <w:top w:val="nil"/>
              <w:bottom w:val="single" w:color="auto" w:sz="4" w:space="0"/>
              <w:right w:val="single" w:color="auto" w:sz="4" w:space="0"/>
            </w:tcBorders>
            <w:vAlign w:val="center"/>
          </w:tcPr>
          <w:p w14:paraId="55AC651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电缆</w:t>
            </w:r>
          </w:p>
          <w:p w14:paraId="51B03E6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标称截</w:t>
            </w:r>
          </w:p>
          <w:p w14:paraId="71572E6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面积(mm</w:t>
            </w:r>
            <w:r>
              <w:rPr>
                <w:color w:val="000000" w:themeColor="text1"/>
                <w:w w:val="85"/>
                <w:highlight w:val="none"/>
                <w:vertAlign w:val="superscript"/>
                <w14:textFill>
                  <w14:solidFill>
                    <w14:schemeClr w14:val="tx1"/>
                  </w14:solidFill>
                </w14:textFill>
              </w:rPr>
              <w:t>2</w:t>
            </w:r>
            <w:r>
              <w:rPr>
                <w:color w:val="000000" w:themeColor="text1"/>
                <w:w w:val="85"/>
                <w:highlight w:val="none"/>
                <w14:textFill>
                  <w14:solidFill>
                    <w14:schemeClr w14:val="tx1"/>
                  </w14:solidFill>
                </w14:textFill>
              </w:rPr>
              <w:t>)</w:t>
            </w:r>
          </w:p>
        </w:tc>
        <w:tc>
          <w:tcPr>
            <w:tcW w:w="393" w:type="dxa"/>
            <w:tcBorders>
              <w:top w:val="nil"/>
              <w:left w:val="nil"/>
              <w:bottom w:val="single" w:color="auto" w:sz="4" w:space="0"/>
              <w:right w:val="single" w:color="auto" w:sz="4" w:space="0"/>
            </w:tcBorders>
            <w:vAlign w:val="center"/>
          </w:tcPr>
          <w:p w14:paraId="389C846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w:t>
            </w:r>
          </w:p>
        </w:tc>
        <w:tc>
          <w:tcPr>
            <w:tcW w:w="395" w:type="dxa"/>
            <w:tcBorders>
              <w:top w:val="nil"/>
              <w:left w:val="nil"/>
              <w:bottom w:val="single" w:color="auto" w:sz="4" w:space="0"/>
              <w:right w:val="single" w:color="auto" w:sz="4" w:space="0"/>
            </w:tcBorders>
            <w:vAlign w:val="center"/>
          </w:tcPr>
          <w:p w14:paraId="679052D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8.42</w:t>
            </w:r>
          </w:p>
        </w:tc>
        <w:tc>
          <w:tcPr>
            <w:tcW w:w="441" w:type="dxa"/>
            <w:tcBorders>
              <w:top w:val="nil"/>
              <w:left w:val="nil"/>
              <w:bottom w:val="single" w:color="auto" w:sz="4" w:space="0"/>
              <w:right w:val="single" w:color="auto" w:sz="4" w:space="0"/>
            </w:tcBorders>
            <w:vAlign w:val="center"/>
          </w:tcPr>
          <w:p w14:paraId="26C6B96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33.66</w:t>
            </w:r>
          </w:p>
        </w:tc>
        <w:tc>
          <w:tcPr>
            <w:tcW w:w="441" w:type="dxa"/>
            <w:tcBorders>
              <w:top w:val="nil"/>
              <w:left w:val="nil"/>
              <w:bottom w:val="single" w:color="auto" w:sz="4" w:space="0"/>
              <w:right w:val="single" w:color="auto" w:sz="4" w:space="0"/>
            </w:tcBorders>
            <w:vAlign w:val="center"/>
          </w:tcPr>
          <w:p w14:paraId="30C3803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71A384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3EE29D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2C8682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D50D02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04F1BA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5E597B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3F9EF1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6573D9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BE1E48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409DF4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9C64EA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7C328B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4FCDC9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3A7D2A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849B1F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E3DA51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3DF2C14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34A38CF8">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355B5BFA">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CE44E3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35</w:t>
            </w:r>
          </w:p>
        </w:tc>
        <w:tc>
          <w:tcPr>
            <w:tcW w:w="395" w:type="dxa"/>
            <w:tcBorders>
              <w:top w:val="nil"/>
              <w:left w:val="nil"/>
              <w:bottom w:val="single" w:color="auto" w:sz="4" w:space="0"/>
              <w:right w:val="single" w:color="auto" w:sz="4" w:space="0"/>
            </w:tcBorders>
            <w:vAlign w:val="center"/>
          </w:tcPr>
          <w:p w14:paraId="2D98E63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6.01</w:t>
            </w:r>
          </w:p>
        </w:tc>
        <w:tc>
          <w:tcPr>
            <w:tcW w:w="441" w:type="dxa"/>
            <w:tcBorders>
              <w:top w:val="nil"/>
              <w:left w:val="nil"/>
              <w:bottom w:val="single" w:color="auto" w:sz="4" w:space="0"/>
              <w:right w:val="single" w:color="auto" w:sz="4" w:space="0"/>
            </w:tcBorders>
            <w:vAlign w:val="center"/>
          </w:tcPr>
          <w:p w14:paraId="5DC40D0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2.04</w:t>
            </w:r>
          </w:p>
        </w:tc>
        <w:tc>
          <w:tcPr>
            <w:tcW w:w="441" w:type="dxa"/>
            <w:tcBorders>
              <w:top w:val="nil"/>
              <w:left w:val="nil"/>
              <w:bottom w:val="single" w:color="auto" w:sz="4" w:space="0"/>
              <w:right w:val="single" w:color="auto" w:sz="4" w:space="0"/>
            </w:tcBorders>
            <w:vAlign w:val="center"/>
          </w:tcPr>
          <w:p w14:paraId="453522A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27F61B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BD3BB4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4C3CBC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66CCA2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6955ED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B63479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ABDAF7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A0132C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B06189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3EA555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FD7AC9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004DE1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5CA06C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7271FC7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9F05A9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4CF62F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1315567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7583F465">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0163C93C">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6C2BACA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50</w:t>
            </w:r>
          </w:p>
        </w:tc>
        <w:tc>
          <w:tcPr>
            <w:tcW w:w="395" w:type="dxa"/>
            <w:tcBorders>
              <w:top w:val="nil"/>
              <w:left w:val="nil"/>
              <w:bottom w:val="single" w:color="auto" w:sz="4" w:space="0"/>
              <w:right w:val="single" w:color="auto" w:sz="4" w:space="0"/>
            </w:tcBorders>
            <w:vAlign w:val="center"/>
          </w:tcPr>
          <w:p w14:paraId="628C7DA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w:t>
            </w:r>
          </w:p>
        </w:tc>
        <w:tc>
          <w:tcPr>
            <w:tcW w:w="441" w:type="dxa"/>
            <w:tcBorders>
              <w:top w:val="nil"/>
              <w:left w:val="nil"/>
              <w:bottom w:val="single" w:color="auto" w:sz="4" w:space="0"/>
              <w:right w:val="single" w:color="auto" w:sz="4" w:space="0"/>
            </w:tcBorders>
            <w:vAlign w:val="center"/>
          </w:tcPr>
          <w:p w14:paraId="42BD715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16.83</w:t>
            </w:r>
          </w:p>
        </w:tc>
        <w:tc>
          <w:tcPr>
            <w:tcW w:w="441" w:type="dxa"/>
            <w:tcBorders>
              <w:top w:val="nil"/>
              <w:left w:val="nil"/>
              <w:bottom w:val="single" w:color="auto" w:sz="4" w:space="0"/>
              <w:right w:val="single" w:color="auto" w:sz="4" w:space="0"/>
            </w:tcBorders>
            <w:vAlign w:val="center"/>
          </w:tcPr>
          <w:p w14:paraId="78B30D1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37.87</w:t>
            </w:r>
          </w:p>
        </w:tc>
        <w:tc>
          <w:tcPr>
            <w:tcW w:w="441" w:type="dxa"/>
            <w:tcBorders>
              <w:top w:val="nil"/>
              <w:left w:val="nil"/>
              <w:bottom w:val="single" w:color="auto" w:sz="4" w:space="0"/>
              <w:right w:val="single" w:color="auto" w:sz="4" w:space="0"/>
            </w:tcBorders>
            <w:vAlign w:val="center"/>
          </w:tcPr>
          <w:p w14:paraId="080A4BC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E09E71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CF3100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3B9EE7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EFE785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35A858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2C17E8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420163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E017B5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9E5DBB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22B329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E413B7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7928E2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C6382A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097DB0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CBB0C7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4ED8FD8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6CBE9F9A">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6243AF4A">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59A8999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70</w:t>
            </w:r>
          </w:p>
        </w:tc>
        <w:tc>
          <w:tcPr>
            <w:tcW w:w="395" w:type="dxa"/>
            <w:tcBorders>
              <w:top w:val="nil"/>
              <w:left w:val="nil"/>
              <w:bottom w:val="single" w:color="auto" w:sz="4" w:space="0"/>
              <w:right w:val="single" w:color="auto" w:sz="4" w:space="0"/>
            </w:tcBorders>
            <w:vAlign w:val="center"/>
          </w:tcPr>
          <w:p w14:paraId="34197C1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3.01</w:t>
            </w:r>
          </w:p>
        </w:tc>
        <w:tc>
          <w:tcPr>
            <w:tcW w:w="441" w:type="dxa"/>
            <w:tcBorders>
              <w:top w:val="nil"/>
              <w:left w:val="nil"/>
              <w:bottom w:val="single" w:color="auto" w:sz="4" w:space="0"/>
              <w:right w:val="single" w:color="auto" w:sz="4" w:space="0"/>
            </w:tcBorders>
            <w:vAlign w:val="center"/>
          </w:tcPr>
          <w:p w14:paraId="50BB563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12.02</w:t>
            </w:r>
          </w:p>
        </w:tc>
        <w:tc>
          <w:tcPr>
            <w:tcW w:w="441" w:type="dxa"/>
            <w:tcBorders>
              <w:top w:val="nil"/>
              <w:left w:val="nil"/>
              <w:bottom w:val="single" w:color="auto" w:sz="4" w:space="0"/>
              <w:right w:val="single" w:color="auto" w:sz="4" w:space="0"/>
            </w:tcBorders>
            <w:vAlign w:val="center"/>
          </w:tcPr>
          <w:p w14:paraId="3DE6D16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27.05</w:t>
            </w:r>
          </w:p>
        </w:tc>
        <w:tc>
          <w:tcPr>
            <w:tcW w:w="441" w:type="dxa"/>
            <w:tcBorders>
              <w:top w:val="nil"/>
              <w:left w:val="nil"/>
              <w:bottom w:val="single" w:color="auto" w:sz="4" w:space="0"/>
              <w:right w:val="single" w:color="auto" w:sz="4" w:space="0"/>
            </w:tcBorders>
            <w:vAlign w:val="center"/>
          </w:tcPr>
          <w:p w14:paraId="5AFCEF7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47C13F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716626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0CA502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C70D0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F04B8D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33372A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7C2887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CFA63F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CD91A8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FDB57D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CC52EF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3A88AF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3E8AEC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084E75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5AC14E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55A9C38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0ADCB126">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67FDD26D">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F7E86A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95</w:t>
            </w:r>
          </w:p>
        </w:tc>
        <w:tc>
          <w:tcPr>
            <w:tcW w:w="395" w:type="dxa"/>
            <w:tcBorders>
              <w:top w:val="nil"/>
              <w:left w:val="nil"/>
              <w:bottom w:val="single" w:color="auto" w:sz="4" w:space="0"/>
              <w:right w:val="single" w:color="auto" w:sz="4" w:space="0"/>
            </w:tcBorders>
            <w:vAlign w:val="center"/>
          </w:tcPr>
          <w:p w14:paraId="03FF789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2.21</w:t>
            </w:r>
          </w:p>
        </w:tc>
        <w:tc>
          <w:tcPr>
            <w:tcW w:w="441" w:type="dxa"/>
            <w:tcBorders>
              <w:top w:val="nil"/>
              <w:left w:val="nil"/>
              <w:bottom w:val="single" w:color="auto" w:sz="4" w:space="0"/>
              <w:right w:val="single" w:color="auto" w:sz="4" w:space="0"/>
            </w:tcBorders>
            <w:vAlign w:val="center"/>
          </w:tcPr>
          <w:p w14:paraId="7AC2629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8.86</w:t>
            </w:r>
          </w:p>
        </w:tc>
        <w:tc>
          <w:tcPr>
            <w:tcW w:w="441" w:type="dxa"/>
            <w:tcBorders>
              <w:top w:val="nil"/>
              <w:left w:val="nil"/>
              <w:bottom w:val="single" w:color="auto" w:sz="4" w:space="0"/>
              <w:right w:val="single" w:color="auto" w:sz="4" w:space="0"/>
            </w:tcBorders>
            <w:vAlign w:val="center"/>
          </w:tcPr>
          <w:p w14:paraId="0E4C3E7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19.93</w:t>
            </w:r>
          </w:p>
        </w:tc>
        <w:tc>
          <w:tcPr>
            <w:tcW w:w="441" w:type="dxa"/>
            <w:tcBorders>
              <w:top w:val="nil"/>
              <w:left w:val="nil"/>
              <w:bottom w:val="single" w:color="auto" w:sz="4" w:space="0"/>
              <w:right w:val="single" w:color="auto" w:sz="4" w:space="0"/>
            </w:tcBorders>
            <w:vAlign w:val="center"/>
          </w:tcPr>
          <w:p w14:paraId="1E05941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35.43</w:t>
            </w:r>
          </w:p>
        </w:tc>
        <w:tc>
          <w:tcPr>
            <w:tcW w:w="441" w:type="dxa"/>
            <w:tcBorders>
              <w:top w:val="nil"/>
              <w:left w:val="nil"/>
              <w:bottom w:val="single" w:color="auto" w:sz="4" w:space="0"/>
              <w:right w:val="single" w:color="auto" w:sz="4" w:space="0"/>
            </w:tcBorders>
            <w:vAlign w:val="center"/>
          </w:tcPr>
          <w:p w14:paraId="570EA13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74BFF5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990960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AD9A04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9E6B40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2959B0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068581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E09602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8BB59B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66CAFB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29F011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8F8920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30656B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539318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7E2DBE5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3BECEA1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6E3C0F46">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4F84B4E7">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311CE14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120</w:t>
            </w:r>
          </w:p>
        </w:tc>
        <w:tc>
          <w:tcPr>
            <w:tcW w:w="395" w:type="dxa"/>
            <w:tcBorders>
              <w:top w:val="nil"/>
              <w:left w:val="nil"/>
              <w:bottom w:val="single" w:color="auto" w:sz="4" w:space="0"/>
              <w:right w:val="single" w:color="auto" w:sz="4" w:space="0"/>
            </w:tcBorders>
            <w:vAlign w:val="center"/>
          </w:tcPr>
          <w:p w14:paraId="3BFC299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1.75</w:t>
            </w:r>
          </w:p>
        </w:tc>
        <w:tc>
          <w:tcPr>
            <w:tcW w:w="441" w:type="dxa"/>
            <w:tcBorders>
              <w:top w:val="nil"/>
              <w:left w:val="nil"/>
              <w:bottom w:val="single" w:color="auto" w:sz="4" w:space="0"/>
              <w:right w:val="single" w:color="auto" w:sz="4" w:space="0"/>
            </w:tcBorders>
            <w:vAlign w:val="center"/>
          </w:tcPr>
          <w:p w14:paraId="53D3EE1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7.01</w:t>
            </w:r>
          </w:p>
        </w:tc>
        <w:tc>
          <w:tcPr>
            <w:tcW w:w="441" w:type="dxa"/>
            <w:tcBorders>
              <w:top w:val="nil"/>
              <w:left w:val="nil"/>
              <w:bottom w:val="single" w:color="auto" w:sz="4" w:space="0"/>
              <w:right w:val="single" w:color="auto" w:sz="4" w:space="0"/>
            </w:tcBorders>
            <w:vAlign w:val="center"/>
          </w:tcPr>
          <w:p w14:paraId="0462456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15.78</w:t>
            </w:r>
          </w:p>
        </w:tc>
        <w:tc>
          <w:tcPr>
            <w:tcW w:w="441" w:type="dxa"/>
            <w:tcBorders>
              <w:top w:val="nil"/>
              <w:left w:val="nil"/>
              <w:bottom w:val="single" w:color="auto" w:sz="4" w:space="0"/>
              <w:right w:val="single" w:color="auto" w:sz="4" w:space="0"/>
            </w:tcBorders>
            <w:vAlign w:val="center"/>
          </w:tcPr>
          <w:p w14:paraId="490D076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28.05</w:t>
            </w:r>
          </w:p>
        </w:tc>
        <w:tc>
          <w:tcPr>
            <w:tcW w:w="441" w:type="dxa"/>
            <w:tcBorders>
              <w:top w:val="nil"/>
              <w:left w:val="nil"/>
              <w:bottom w:val="single" w:color="auto" w:sz="4" w:space="0"/>
              <w:right w:val="single" w:color="auto" w:sz="4" w:space="0"/>
            </w:tcBorders>
            <w:vAlign w:val="center"/>
          </w:tcPr>
          <w:p w14:paraId="13E136B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1FBA99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EA70EA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9E9167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E0FEDA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41D2DB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E7047C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47DBBB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698087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189B00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A32942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16A319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71FD927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7E9084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1EF108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3B595C7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134FF657">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1122E16D">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22EC2C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150</w:t>
            </w:r>
          </w:p>
        </w:tc>
        <w:tc>
          <w:tcPr>
            <w:tcW w:w="395" w:type="dxa"/>
            <w:tcBorders>
              <w:top w:val="nil"/>
              <w:left w:val="nil"/>
              <w:bottom w:val="single" w:color="auto" w:sz="4" w:space="0"/>
              <w:right w:val="single" w:color="auto" w:sz="4" w:space="0"/>
            </w:tcBorders>
            <w:vAlign w:val="center"/>
          </w:tcPr>
          <w:p w14:paraId="56F31E4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1.40</w:t>
            </w:r>
          </w:p>
        </w:tc>
        <w:tc>
          <w:tcPr>
            <w:tcW w:w="441" w:type="dxa"/>
            <w:tcBorders>
              <w:top w:val="nil"/>
              <w:left w:val="nil"/>
              <w:bottom w:val="single" w:color="auto" w:sz="4" w:space="0"/>
              <w:right w:val="single" w:color="auto" w:sz="4" w:space="0"/>
            </w:tcBorders>
            <w:vAlign w:val="center"/>
          </w:tcPr>
          <w:p w14:paraId="47DCE59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5.61</w:t>
            </w:r>
          </w:p>
        </w:tc>
        <w:tc>
          <w:tcPr>
            <w:tcW w:w="441" w:type="dxa"/>
            <w:tcBorders>
              <w:top w:val="nil"/>
              <w:left w:val="nil"/>
              <w:bottom w:val="single" w:color="auto" w:sz="4" w:space="0"/>
              <w:right w:val="single" w:color="auto" w:sz="4" w:space="0"/>
            </w:tcBorders>
            <w:vAlign w:val="center"/>
          </w:tcPr>
          <w:p w14:paraId="0061400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12.62</w:t>
            </w:r>
          </w:p>
        </w:tc>
        <w:tc>
          <w:tcPr>
            <w:tcW w:w="441" w:type="dxa"/>
            <w:tcBorders>
              <w:top w:val="nil"/>
              <w:left w:val="nil"/>
              <w:bottom w:val="single" w:color="auto" w:sz="4" w:space="0"/>
              <w:right w:val="single" w:color="auto" w:sz="4" w:space="0"/>
            </w:tcBorders>
            <w:vAlign w:val="center"/>
          </w:tcPr>
          <w:p w14:paraId="2DE31D4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22.44</w:t>
            </w:r>
          </w:p>
        </w:tc>
        <w:tc>
          <w:tcPr>
            <w:tcW w:w="441" w:type="dxa"/>
            <w:tcBorders>
              <w:top w:val="nil"/>
              <w:left w:val="nil"/>
              <w:bottom w:val="single" w:color="auto" w:sz="4" w:space="0"/>
              <w:right w:val="single" w:color="auto" w:sz="4" w:space="0"/>
            </w:tcBorders>
            <w:vAlign w:val="center"/>
          </w:tcPr>
          <w:p w14:paraId="7CE6C52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35.07</w:t>
            </w:r>
          </w:p>
        </w:tc>
        <w:tc>
          <w:tcPr>
            <w:tcW w:w="441" w:type="dxa"/>
            <w:tcBorders>
              <w:top w:val="nil"/>
              <w:left w:val="nil"/>
              <w:bottom w:val="single" w:color="auto" w:sz="4" w:space="0"/>
              <w:right w:val="single" w:color="auto" w:sz="4" w:space="0"/>
            </w:tcBorders>
            <w:vAlign w:val="center"/>
          </w:tcPr>
          <w:p w14:paraId="3C2605F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9BEBEC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5AA868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9F8C56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7B92B9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5CA751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2FB758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3D9C63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497037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06C453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4A750A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1CDE71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3264D3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F6C3EB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56AF049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119B20E4">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7DAA2724">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3AC917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185</w:t>
            </w:r>
          </w:p>
        </w:tc>
        <w:tc>
          <w:tcPr>
            <w:tcW w:w="395" w:type="dxa"/>
            <w:tcBorders>
              <w:top w:val="nil"/>
              <w:left w:val="nil"/>
              <w:bottom w:val="single" w:color="auto" w:sz="4" w:space="0"/>
              <w:right w:val="single" w:color="auto" w:sz="4" w:space="0"/>
            </w:tcBorders>
            <w:vAlign w:val="center"/>
          </w:tcPr>
          <w:p w14:paraId="0E55E9D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1.1</w:t>
            </w:r>
          </w:p>
        </w:tc>
        <w:tc>
          <w:tcPr>
            <w:tcW w:w="441" w:type="dxa"/>
            <w:tcBorders>
              <w:top w:val="nil"/>
              <w:left w:val="nil"/>
              <w:bottom w:val="single" w:color="auto" w:sz="4" w:space="0"/>
              <w:right w:val="single" w:color="auto" w:sz="4" w:space="0"/>
            </w:tcBorders>
            <w:vAlign w:val="center"/>
          </w:tcPr>
          <w:p w14:paraId="10F87B8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.55</w:t>
            </w:r>
          </w:p>
        </w:tc>
        <w:tc>
          <w:tcPr>
            <w:tcW w:w="441" w:type="dxa"/>
            <w:tcBorders>
              <w:top w:val="nil"/>
              <w:left w:val="nil"/>
              <w:bottom w:val="single" w:color="auto" w:sz="4" w:space="0"/>
              <w:right w:val="single" w:color="auto" w:sz="4" w:space="0"/>
            </w:tcBorders>
            <w:vAlign w:val="center"/>
          </w:tcPr>
          <w:p w14:paraId="27A7BA2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10.24</w:t>
            </w:r>
          </w:p>
        </w:tc>
        <w:tc>
          <w:tcPr>
            <w:tcW w:w="441" w:type="dxa"/>
            <w:tcBorders>
              <w:top w:val="nil"/>
              <w:left w:val="nil"/>
              <w:bottom w:val="single" w:color="auto" w:sz="4" w:space="0"/>
              <w:right w:val="single" w:color="auto" w:sz="4" w:space="0"/>
            </w:tcBorders>
            <w:vAlign w:val="center"/>
          </w:tcPr>
          <w:p w14:paraId="689CD79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18.20</w:t>
            </w:r>
          </w:p>
        </w:tc>
        <w:tc>
          <w:tcPr>
            <w:tcW w:w="441" w:type="dxa"/>
            <w:tcBorders>
              <w:top w:val="nil"/>
              <w:left w:val="nil"/>
              <w:bottom w:val="single" w:color="auto" w:sz="4" w:space="0"/>
              <w:right w:val="single" w:color="auto" w:sz="4" w:space="0"/>
            </w:tcBorders>
            <w:vAlign w:val="center"/>
          </w:tcPr>
          <w:p w14:paraId="64076D8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28.43</w:t>
            </w:r>
          </w:p>
        </w:tc>
        <w:tc>
          <w:tcPr>
            <w:tcW w:w="441" w:type="dxa"/>
            <w:tcBorders>
              <w:top w:val="nil"/>
              <w:left w:val="nil"/>
              <w:bottom w:val="single" w:color="auto" w:sz="4" w:space="0"/>
              <w:right w:val="single" w:color="auto" w:sz="4" w:space="0"/>
            </w:tcBorders>
            <w:vAlign w:val="center"/>
          </w:tcPr>
          <w:p w14:paraId="0C01E4A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40.94</w:t>
            </w:r>
          </w:p>
        </w:tc>
        <w:tc>
          <w:tcPr>
            <w:tcW w:w="441" w:type="dxa"/>
            <w:tcBorders>
              <w:top w:val="nil"/>
              <w:left w:val="nil"/>
              <w:bottom w:val="single" w:color="auto" w:sz="4" w:space="0"/>
              <w:right w:val="single" w:color="auto" w:sz="4" w:space="0"/>
            </w:tcBorders>
            <w:vAlign w:val="center"/>
          </w:tcPr>
          <w:p w14:paraId="3FADCA3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9344B6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63D353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5302CF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438F3D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7EF543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37EF5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8A5FDC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3054B8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D304A0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0948DF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E160E2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F29991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29E3575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1E3B73C7">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074994B6">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2CDAC15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240</w:t>
            </w:r>
          </w:p>
        </w:tc>
        <w:tc>
          <w:tcPr>
            <w:tcW w:w="395" w:type="dxa"/>
            <w:tcBorders>
              <w:top w:val="nil"/>
              <w:left w:val="nil"/>
              <w:bottom w:val="single" w:color="auto" w:sz="4" w:space="0"/>
              <w:right w:val="single" w:color="auto" w:sz="4" w:space="0"/>
            </w:tcBorders>
            <w:vAlign w:val="center"/>
          </w:tcPr>
          <w:p w14:paraId="5F37FB6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0.88</w:t>
            </w:r>
          </w:p>
        </w:tc>
        <w:tc>
          <w:tcPr>
            <w:tcW w:w="441" w:type="dxa"/>
            <w:tcBorders>
              <w:top w:val="nil"/>
              <w:left w:val="nil"/>
              <w:bottom w:val="single" w:color="auto" w:sz="4" w:space="0"/>
              <w:right w:val="single" w:color="auto" w:sz="4" w:space="0"/>
            </w:tcBorders>
            <w:vAlign w:val="center"/>
          </w:tcPr>
          <w:p w14:paraId="01B54FC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3.51</w:t>
            </w:r>
          </w:p>
        </w:tc>
        <w:tc>
          <w:tcPr>
            <w:tcW w:w="441" w:type="dxa"/>
            <w:tcBorders>
              <w:top w:val="nil"/>
              <w:left w:val="nil"/>
              <w:bottom w:val="single" w:color="auto" w:sz="4" w:space="0"/>
              <w:right w:val="single" w:color="auto" w:sz="4" w:space="0"/>
            </w:tcBorders>
            <w:vAlign w:val="center"/>
          </w:tcPr>
          <w:p w14:paraId="23C159B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7.89</w:t>
            </w:r>
          </w:p>
        </w:tc>
        <w:tc>
          <w:tcPr>
            <w:tcW w:w="441" w:type="dxa"/>
            <w:tcBorders>
              <w:top w:val="nil"/>
              <w:left w:val="nil"/>
              <w:bottom w:val="single" w:color="auto" w:sz="4" w:space="0"/>
              <w:right w:val="single" w:color="auto" w:sz="4" w:space="0"/>
            </w:tcBorders>
            <w:vAlign w:val="center"/>
          </w:tcPr>
          <w:p w14:paraId="4B9B503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1.03</w:t>
            </w:r>
          </w:p>
        </w:tc>
        <w:tc>
          <w:tcPr>
            <w:tcW w:w="441" w:type="dxa"/>
            <w:tcBorders>
              <w:top w:val="nil"/>
              <w:left w:val="nil"/>
              <w:bottom w:val="single" w:color="auto" w:sz="4" w:space="0"/>
              <w:right w:val="single" w:color="auto" w:sz="4" w:space="0"/>
            </w:tcBorders>
            <w:vAlign w:val="center"/>
          </w:tcPr>
          <w:p w14:paraId="2062430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21.92</w:t>
            </w:r>
          </w:p>
        </w:tc>
        <w:tc>
          <w:tcPr>
            <w:tcW w:w="441" w:type="dxa"/>
            <w:tcBorders>
              <w:top w:val="nil"/>
              <w:left w:val="nil"/>
              <w:bottom w:val="single" w:color="auto" w:sz="4" w:space="0"/>
              <w:right w:val="single" w:color="auto" w:sz="4" w:space="0"/>
            </w:tcBorders>
            <w:vAlign w:val="center"/>
          </w:tcPr>
          <w:p w14:paraId="74B30C1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31.56</w:t>
            </w:r>
          </w:p>
        </w:tc>
        <w:tc>
          <w:tcPr>
            <w:tcW w:w="441" w:type="dxa"/>
            <w:tcBorders>
              <w:top w:val="nil"/>
              <w:left w:val="nil"/>
              <w:bottom w:val="single" w:color="auto" w:sz="4" w:space="0"/>
              <w:right w:val="single" w:color="auto" w:sz="4" w:space="0"/>
            </w:tcBorders>
            <w:vAlign w:val="center"/>
          </w:tcPr>
          <w:p w14:paraId="13E4657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42.95</w:t>
            </w:r>
          </w:p>
        </w:tc>
        <w:tc>
          <w:tcPr>
            <w:tcW w:w="441" w:type="dxa"/>
            <w:tcBorders>
              <w:top w:val="nil"/>
              <w:left w:val="nil"/>
              <w:bottom w:val="single" w:color="auto" w:sz="4" w:space="0"/>
              <w:right w:val="single" w:color="auto" w:sz="4" w:space="0"/>
            </w:tcBorders>
            <w:vAlign w:val="center"/>
          </w:tcPr>
          <w:p w14:paraId="3C15513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8DA3DD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7825EA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2F7623C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248685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ED75E3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7456B6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D36DE1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7CF3A3E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9E4871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F1EC4E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A75E74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3836828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3A8F1007">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69D56C3D">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3BA63CE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300</w:t>
            </w:r>
          </w:p>
        </w:tc>
        <w:tc>
          <w:tcPr>
            <w:tcW w:w="395" w:type="dxa"/>
            <w:tcBorders>
              <w:top w:val="nil"/>
              <w:left w:val="nil"/>
              <w:bottom w:val="single" w:color="auto" w:sz="4" w:space="0"/>
              <w:right w:val="single" w:color="auto" w:sz="4" w:space="0"/>
            </w:tcBorders>
            <w:vAlign w:val="center"/>
          </w:tcPr>
          <w:p w14:paraId="737BFEA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0.70</w:t>
            </w:r>
          </w:p>
        </w:tc>
        <w:tc>
          <w:tcPr>
            <w:tcW w:w="441" w:type="dxa"/>
            <w:tcBorders>
              <w:top w:val="nil"/>
              <w:left w:val="nil"/>
              <w:bottom w:val="single" w:color="auto" w:sz="4" w:space="0"/>
              <w:right w:val="single" w:color="auto" w:sz="4" w:space="0"/>
            </w:tcBorders>
            <w:vAlign w:val="center"/>
          </w:tcPr>
          <w:p w14:paraId="76E4389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2.81</w:t>
            </w:r>
          </w:p>
        </w:tc>
        <w:tc>
          <w:tcPr>
            <w:tcW w:w="441" w:type="dxa"/>
            <w:tcBorders>
              <w:top w:val="nil"/>
              <w:left w:val="nil"/>
              <w:bottom w:val="single" w:color="auto" w:sz="4" w:space="0"/>
              <w:right w:val="single" w:color="auto" w:sz="4" w:space="0"/>
            </w:tcBorders>
            <w:vAlign w:val="center"/>
          </w:tcPr>
          <w:p w14:paraId="2C5C958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6.31</w:t>
            </w:r>
          </w:p>
        </w:tc>
        <w:tc>
          <w:tcPr>
            <w:tcW w:w="441" w:type="dxa"/>
            <w:tcBorders>
              <w:top w:val="nil"/>
              <w:left w:val="nil"/>
              <w:bottom w:val="single" w:color="auto" w:sz="4" w:space="0"/>
              <w:right w:val="single" w:color="auto" w:sz="4" w:space="0"/>
            </w:tcBorders>
            <w:vAlign w:val="center"/>
          </w:tcPr>
          <w:p w14:paraId="76E0782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11.22</w:t>
            </w:r>
          </w:p>
        </w:tc>
        <w:tc>
          <w:tcPr>
            <w:tcW w:w="441" w:type="dxa"/>
            <w:tcBorders>
              <w:top w:val="nil"/>
              <w:left w:val="nil"/>
              <w:bottom w:val="single" w:color="auto" w:sz="4" w:space="0"/>
              <w:right w:val="single" w:color="auto" w:sz="4" w:space="0"/>
            </w:tcBorders>
            <w:vAlign w:val="center"/>
          </w:tcPr>
          <w:p w14:paraId="1C6EB83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17.53</w:t>
            </w:r>
          </w:p>
        </w:tc>
        <w:tc>
          <w:tcPr>
            <w:tcW w:w="441" w:type="dxa"/>
            <w:tcBorders>
              <w:top w:val="nil"/>
              <w:left w:val="nil"/>
              <w:bottom w:val="single" w:color="auto" w:sz="4" w:space="0"/>
              <w:right w:val="single" w:color="auto" w:sz="4" w:space="0"/>
            </w:tcBorders>
            <w:vAlign w:val="center"/>
          </w:tcPr>
          <w:p w14:paraId="5E9E624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25.25</w:t>
            </w:r>
          </w:p>
        </w:tc>
        <w:tc>
          <w:tcPr>
            <w:tcW w:w="441" w:type="dxa"/>
            <w:tcBorders>
              <w:top w:val="nil"/>
              <w:left w:val="nil"/>
              <w:bottom w:val="single" w:color="auto" w:sz="4" w:space="0"/>
              <w:right w:val="single" w:color="auto" w:sz="4" w:space="0"/>
            </w:tcBorders>
            <w:vAlign w:val="center"/>
          </w:tcPr>
          <w:p w14:paraId="7D2E575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3.36</w:t>
            </w:r>
          </w:p>
        </w:tc>
        <w:tc>
          <w:tcPr>
            <w:tcW w:w="441" w:type="dxa"/>
            <w:tcBorders>
              <w:top w:val="nil"/>
              <w:left w:val="nil"/>
              <w:bottom w:val="single" w:color="auto" w:sz="4" w:space="0"/>
              <w:right w:val="single" w:color="auto" w:sz="4" w:space="0"/>
            </w:tcBorders>
            <w:vAlign w:val="center"/>
          </w:tcPr>
          <w:p w14:paraId="75D9EBB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4.88</w:t>
            </w:r>
          </w:p>
        </w:tc>
        <w:tc>
          <w:tcPr>
            <w:tcW w:w="441" w:type="dxa"/>
            <w:tcBorders>
              <w:top w:val="nil"/>
              <w:left w:val="nil"/>
              <w:bottom w:val="single" w:color="auto" w:sz="4" w:space="0"/>
              <w:right w:val="single" w:color="auto" w:sz="4" w:space="0"/>
            </w:tcBorders>
            <w:vAlign w:val="center"/>
          </w:tcPr>
          <w:p w14:paraId="4433B09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E0AF2E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515D53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1A1B9D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463F1B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93C7CD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608E97C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9618C4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E504C1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9844B0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33F0D4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44EC5BE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3E255F8C">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1D66A53A">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5DD5CE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400</w:t>
            </w:r>
          </w:p>
        </w:tc>
        <w:tc>
          <w:tcPr>
            <w:tcW w:w="395" w:type="dxa"/>
            <w:tcBorders>
              <w:top w:val="nil"/>
              <w:left w:val="nil"/>
              <w:bottom w:val="single" w:color="auto" w:sz="4" w:space="0"/>
              <w:right w:val="single" w:color="auto" w:sz="4" w:space="0"/>
            </w:tcBorders>
            <w:vAlign w:val="center"/>
          </w:tcPr>
          <w:p w14:paraId="184160D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0.53</w:t>
            </w:r>
          </w:p>
        </w:tc>
        <w:tc>
          <w:tcPr>
            <w:tcW w:w="441" w:type="dxa"/>
            <w:tcBorders>
              <w:top w:val="nil"/>
              <w:left w:val="nil"/>
              <w:bottom w:val="single" w:color="auto" w:sz="4" w:space="0"/>
              <w:right w:val="single" w:color="auto" w:sz="4" w:space="0"/>
            </w:tcBorders>
            <w:vAlign w:val="center"/>
          </w:tcPr>
          <w:p w14:paraId="1F2D9D1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2.10</w:t>
            </w:r>
          </w:p>
        </w:tc>
        <w:tc>
          <w:tcPr>
            <w:tcW w:w="441" w:type="dxa"/>
            <w:tcBorders>
              <w:top w:val="nil"/>
              <w:left w:val="nil"/>
              <w:bottom w:val="single" w:color="auto" w:sz="4" w:space="0"/>
              <w:right w:val="single" w:color="auto" w:sz="4" w:space="0"/>
            </w:tcBorders>
            <w:vAlign w:val="center"/>
          </w:tcPr>
          <w:p w14:paraId="33EFFB3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.73</w:t>
            </w:r>
          </w:p>
        </w:tc>
        <w:tc>
          <w:tcPr>
            <w:tcW w:w="441" w:type="dxa"/>
            <w:tcBorders>
              <w:top w:val="nil"/>
              <w:left w:val="nil"/>
              <w:bottom w:val="single" w:color="auto" w:sz="4" w:space="0"/>
              <w:right w:val="single" w:color="auto" w:sz="4" w:space="0"/>
            </w:tcBorders>
            <w:vAlign w:val="center"/>
          </w:tcPr>
          <w:p w14:paraId="1884EC2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8.42</w:t>
            </w:r>
          </w:p>
        </w:tc>
        <w:tc>
          <w:tcPr>
            <w:tcW w:w="441" w:type="dxa"/>
            <w:tcBorders>
              <w:top w:val="nil"/>
              <w:left w:val="nil"/>
              <w:bottom w:val="single" w:color="auto" w:sz="4" w:space="0"/>
              <w:right w:val="single" w:color="auto" w:sz="4" w:space="0"/>
            </w:tcBorders>
            <w:vAlign w:val="center"/>
          </w:tcPr>
          <w:p w14:paraId="3E64947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13.15</w:t>
            </w:r>
          </w:p>
        </w:tc>
        <w:tc>
          <w:tcPr>
            <w:tcW w:w="441" w:type="dxa"/>
            <w:tcBorders>
              <w:top w:val="nil"/>
              <w:left w:val="nil"/>
              <w:bottom w:val="single" w:color="auto" w:sz="4" w:space="0"/>
              <w:right w:val="single" w:color="auto" w:sz="4" w:space="0"/>
            </w:tcBorders>
            <w:vAlign w:val="center"/>
          </w:tcPr>
          <w:p w14:paraId="339FB20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18.94</w:t>
            </w:r>
          </w:p>
        </w:tc>
        <w:tc>
          <w:tcPr>
            <w:tcW w:w="441" w:type="dxa"/>
            <w:tcBorders>
              <w:top w:val="nil"/>
              <w:left w:val="nil"/>
              <w:bottom w:val="single" w:color="auto" w:sz="4" w:space="0"/>
              <w:right w:val="single" w:color="auto" w:sz="4" w:space="0"/>
            </w:tcBorders>
            <w:vAlign w:val="center"/>
          </w:tcPr>
          <w:p w14:paraId="107E985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25.77</w:t>
            </w:r>
          </w:p>
        </w:tc>
        <w:tc>
          <w:tcPr>
            <w:tcW w:w="441" w:type="dxa"/>
            <w:tcBorders>
              <w:top w:val="nil"/>
              <w:left w:val="nil"/>
              <w:bottom w:val="single" w:color="auto" w:sz="4" w:space="0"/>
              <w:right w:val="single" w:color="auto" w:sz="4" w:space="0"/>
            </w:tcBorders>
            <w:vAlign w:val="center"/>
          </w:tcPr>
          <w:p w14:paraId="63A7A9A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33.66</w:t>
            </w:r>
          </w:p>
        </w:tc>
        <w:tc>
          <w:tcPr>
            <w:tcW w:w="441" w:type="dxa"/>
            <w:tcBorders>
              <w:top w:val="nil"/>
              <w:left w:val="nil"/>
              <w:bottom w:val="single" w:color="auto" w:sz="4" w:space="0"/>
              <w:right w:val="single" w:color="auto" w:sz="4" w:space="0"/>
            </w:tcBorders>
            <w:vAlign w:val="center"/>
          </w:tcPr>
          <w:p w14:paraId="322480A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42.60</w:t>
            </w:r>
          </w:p>
        </w:tc>
        <w:tc>
          <w:tcPr>
            <w:tcW w:w="441" w:type="dxa"/>
            <w:tcBorders>
              <w:top w:val="nil"/>
              <w:left w:val="nil"/>
              <w:bottom w:val="single" w:color="auto" w:sz="4" w:space="0"/>
              <w:right w:val="single" w:color="auto" w:sz="4" w:space="0"/>
            </w:tcBorders>
            <w:vAlign w:val="center"/>
          </w:tcPr>
          <w:p w14:paraId="3D6757D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0A275A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389571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6E021F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4F83FB8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1555ABC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2ACF36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00269A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79CA84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FEF850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02CE447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03318504">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3ACF614B">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40D4462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500</w:t>
            </w:r>
          </w:p>
        </w:tc>
        <w:tc>
          <w:tcPr>
            <w:tcW w:w="395" w:type="dxa"/>
            <w:tcBorders>
              <w:top w:val="nil"/>
              <w:left w:val="nil"/>
              <w:bottom w:val="single" w:color="auto" w:sz="4" w:space="0"/>
              <w:right w:val="single" w:color="auto" w:sz="4" w:space="0"/>
            </w:tcBorders>
            <w:vAlign w:val="center"/>
          </w:tcPr>
          <w:p w14:paraId="2A93F9B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0.42</w:t>
            </w:r>
          </w:p>
        </w:tc>
        <w:tc>
          <w:tcPr>
            <w:tcW w:w="441" w:type="dxa"/>
            <w:tcBorders>
              <w:top w:val="nil"/>
              <w:left w:val="nil"/>
              <w:bottom w:val="single" w:color="auto" w:sz="4" w:space="0"/>
              <w:right w:val="single" w:color="auto" w:sz="4" w:space="0"/>
            </w:tcBorders>
            <w:vAlign w:val="center"/>
          </w:tcPr>
          <w:p w14:paraId="09DFE07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1.68</w:t>
            </w:r>
          </w:p>
        </w:tc>
        <w:tc>
          <w:tcPr>
            <w:tcW w:w="441" w:type="dxa"/>
            <w:tcBorders>
              <w:top w:val="nil"/>
              <w:left w:val="nil"/>
              <w:bottom w:val="single" w:color="auto" w:sz="4" w:space="0"/>
              <w:right w:val="single" w:color="auto" w:sz="4" w:space="0"/>
            </w:tcBorders>
            <w:vAlign w:val="center"/>
          </w:tcPr>
          <w:p w14:paraId="6CB3CA5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3.79</w:t>
            </w:r>
          </w:p>
        </w:tc>
        <w:tc>
          <w:tcPr>
            <w:tcW w:w="441" w:type="dxa"/>
            <w:tcBorders>
              <w:top w:val="nil"/>
              <w:left w:val="nil"/>
              <w:bottom w:val="single" w:color="auto" w:sz="4" w:space="0"/>
              <w:right w:val="single" w:color="auto" w:sz="4" w:space="0"/>
            </w:tcBorders>
            <w:vAlign w:val="center"/>
          </w:tcPr>
          <w:p w14:paraId="4865540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6.73</w:t>
            </w:r>
          </w:p>
        </w:tc>
        <w:tc>
          <w:tcPr>
            <w:tcW w:w="441" w:type="dxa"/>
            <w:tcBorders>
              <w:top w:val="nil"/>
              <w:left w:val="nil"/>
              <w:bottom w:val="single" w:color="auto" w:sz="4" w:space="0"/>
              <w:right w:val="single" w:color="auto" w:sz="4" w:space="0"/>
            </w:tcBorders>
            <w:vAlign w:val="center"/>
          </w:tcPr>
          <w:p w14:paraId="725558D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10.52</w:t>
            </w:r>
          </w:p>
        </w:tc>
        <w:tc>
          <w:tcPr>
            <w:tcW w:w="441" w:type="dxa"/>
            <w:tcBorders>
              <w:top w:val="nil"/>
              <w:left w:val="nil"/>
              <w:bottom w:val="single" w:color="auto" w:sz="4" w:space="0"/>
              <w:right w:val="single" w:color="auto" w:sz="4" w:space="0"/>
            </w:tcBorders>
            <w:vAlign w:val="center"/>
          </w:tcPr>
          <w:p w14:paraId="4F3E618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15.15</w:t>
            </w:r>
          </w:p>
        </w:tc>
        <w:tc>
          <w:tcPr>
            <w:tcW w:w="441" w:type="dxa"/>
            <w:tcBorders>
              <w:top w:val="nil"/>
              <w:left w:val="nil"/>
              <w:bottom w:val="single" w:color="auto" w:sz="4" w:space="0"/>
              <w:right w:val="single" w:color="auto" w:sz="4" w:space="0"/>
            </w:tcBorders>
            <w:vAlign w:val="center"/>
          </w:tcPr>
          <w:p w14:paraId="2730A36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20.62</w:t>
            </w:r>
          </w:p>
        </w:tc>
        <w:tc>
          <w:tcPr>
            <w:tcW w:w="441" w:type="dxa"/>
            <w:tcBorders>
              <w:top w:val="nil"/>
              <w:left w:val="nil"/>
              <w:bottom w:val="single" w:color="auto" w:sz="4" w:space="0"/>
              <w:right w:val="single" w:color="auto" w:sz="4" w:space="0"/>
            </w:tcBorders>
            <w:vAlign w:val="center"/>
          </w:tcPr>
          <w:p w14:paraId="0FF9901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26.93</w:t>
            </w:r>
          </w:p>
        </w:tc>
        <w:tc>
          <w:tcPr>
            <w:tcW w:w="441" w:type="dxa"/>
            <w:tcBorders>
              <w:top w:val="nil"/>
              <w:left w:val="nil"/>
              <w:bottom w:val="single" w:color="auto" w:sz="4" w:space="0"/>
              <w:right w:val="single" w:color="auto" w:sz="4" w:space="0"/>
            </w:tcBorders>
            <w:vAlign w:val="center"/>
          </w:tcPr>
          <w:p w14:paraId="7418BA5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3.08</w:t>
            </w:r>
          </w:p>
        </w:tc>
        <w:tc>
          <w:tcPr>
            <w:tcW w:w="441" w:type="dxa"/>
            <w:tcBorders>
              <w:top w:val="nil"/>
              <w:left w:val="nil"/>
              <w:bottom w:val="single" w:color="auto" w:sz="4" w:space="0"/>
              <w:right w:val="single" w:color="auto" w:sz="4" w:space="0"/>
            </w:tcBorders>
            <w:vAlign w:val="center"/>
          </w:tcPr>
          <w:p w14:paraId="73B2419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42.08</w:t>
            </w:r>
          </w:p>
        </w:tc>
        <w:tc>
          <w:tcPr>
            <w:tcW w:w="441" w:type="dxa"/>
            <w:tcBorders>
              <w:top w:val="nil"/>
              <w:left w:val="nil"/>
              <w:bottom w:val="single" w:color="auto" w:sz="4" w:space="0"/>
              <w:right w:val="single" w:color="auto" w:sz="4" w:space="0"/>
            </w:tcBorders>
            <w:vAlign w:val="center"/>
          </w:tcPr>
          <w:p w14:paraId="188C67A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5D72158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7CB02F3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0E10F92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41" w:type="dxa"/>
            <w:tcBorders>
              <w:top w:val="nil"/>
              <w:left w:val="nil"/>
              <w:bottom w:val="single" w:color="auto" w:sz="4" w:space="0"/>
              <w:right w:val="single" w:color="auto" w:sz="4" w:space="0"/>
            </w:tcBorders>
            <w:vAlign w:val="center"/>
          </w:tcPr>
          <w:p w14:paraId="3C33E7D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2E533C8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A455A0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19AF88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113E6D2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22ED430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4837B32A">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1DC8AEA4">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36E0884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630</w:t>
            </w:r>
          </w:p>
        </w:tc>
        <w:tc>
          <w:tcPr>
            <w:tcW w:w="395" w:type="dxa"/>
            <w:tcBorders>
              <w:top w:val="nil"/>
              <w:left w:val="nil"/>
              <w:bottom w:val="single" w:color="auto" w:sz="4" w:space="0"/>
              <w:right w:val="single" w:color="auto" w:sz="4" w:space="0"/>
            </w:tcBorders>
            <w:vAlign w:val="center"/>
          </w:tcPr>
          <w:p w14:paraId="5ED9975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0.33</w:t>
            </w:r>
          </w:p>
        </w:tc>
        <w:tc>
          <w:tcPr>
            <w:tcW w:w="441" w:type="dxa"/>
            <w:tcBorders>
              <w:top w:val="nil"/>
              <w:left w:val="nil"/>
              <w:bottom w:val="single" w:color="auto" w:sz="4" w:space="0"/>
              <w:right w:val="single" w:color="auto" w:sz="4" w:space="0"/>
            </w:tcBorders>
            <w:vAlign w:val="center"/>
          </w:tcPr>
          <w:p w14:paraId="5C9096C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1.34</w:t>
            </w:r>
          </w:p>
        </w:tc>
        <w:tc>
          <w:tcPr>
            <w:tcW w:w="441" w:type="dxa"/>
            <w:tcBorders>
              <w:top w:val="nil"/>
              <w:left w:val="nil"/>
              <w:bottom w:val="single" w:color="auto" w:sz="4" w:space="0"/>
              <w:right w:val="single" w:color="auto" w:sz="4" w:space="0"/>
            </w:tcBorders>
            <w:vAlign w:val="center"/>
          </w:tcPr>
          <w:p w14:paraId="31F497B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3.01</w:t>
            </w:r>
          </w:p>
        </w:tc>
        <w:tc>
          <w:tcPr>
            <w:tcW w:w="441" w:type="dxa"/>
            <w:tcBorders>
              <w:top w:val="nil"/>
              <w:left w:val="nil"/>
              <w:bottom w:val="single" w:color="auto" w:sz="4" w:space="0"/>
              <w:right w:val="single" w:color="auto" w:sz="4" w:space="0"/>
            </w:tcBorders>
            <w:vAlign w:val="center"/>
          </w:tcPr>
          <w:p w14:paraId="0F6D68B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5.34</w:t>
            </w:r>
          </w:p>
        </w:tc>
        <w:tc>
          <w:tcPr>
            <w:tcW w:w="441" w:type="dxa"/>
            <w:tcBorders>
              <w:top w:val="nil"/>
              <w:left w:val="nil"/>
              <w:bottom w:val="single" w:color="auto" w:sz="4" w:space="0"/>
              <w:right w:val="single" w:color="auto" w:sz="4" w:space="0"/>
            </w:tcBorders>
            <w:vAlign w:val="center"/>
          </w:tcPr>
          <w:p w14:paraId="73577D3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8.35</w:t>
            </w:r>
          </w:p>
        </w:tc>
        <w:tc>
          <w:tcPr>
            <w:tcW w:w="441" w:type="dxa"/>
            <w:tcBorders>
              <w:top w:val="nil"/>
              <w:left w:val="nil"/>
              <w:bottom w:val="single" w:color="auto" w:sz="4" w:space="0"/>
              <w:right w:val="single" w:color="auto" w:sz="4" w:space="0"/>
            </w:tcBorders>
            <w:vAlign w:val="center"/>
          </w:tcPr>
          <w:p w14:paraId="7E6B720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12.02</w:t>
            </w:r>
          </w:p>
        </w:tc>
        <w:tc>
          <w:tcPr>
            <w:tcW w:w="441" w:type="dxa"/>
            <w:tcBorders>
              <w:top w:val="nil"/>
              <w:left w:val="nil"/>
              <w:bottom w:val="single" w:color="auto" w:sz="4" w:space="0"/>
              <w:right w:val="single" w:color="auto" w:sz="4" w:space="0"/>
            </w:tcBorders>
            <w:vAlign w:val="center"/>
          </w:tcPr>
          <w:p w14:paraId="7B03839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16.36</w:t>
            </w:r>
          </w:p>
        </w:tc>
        <w:tc>
          <w:tcPr>
            <w:tcW w:w="441" w:type="dxa"/>
            <w:tcBorders>
              <w:top w:val="nil"/>
              <w:left w:val="nil"/>
              <w:bottom w:val="single" w:color="auto" w:sz="4" w:space="0"/>
              <w:right w:val="single" w:color="auto" w:sz="4" w:space="0"/>
            </w:tcBorders>
            <w:vAlign w:val="center"/>
          </w:tcPr>
          <w:p w14:paraId="50DBFF1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21.37</w:t>
            </w:r>
          </w:p>
        </w:tc>
        <w:tc>
          <w:tcPr>
            <w:tcW w:w="441" w:type="dxa"/>
            <w:tcBorders>
              <w:top w:val="nil"/>
              <w:left w:val="nil"/>
              <w:bottom w:val="single" w:color="auto" w:sz="4" w:space="0"/>
              <w:right w:val="single" w:color="auto" w:sz="4" w:space="0"/>
            </w:tcBorders>
            <w:vAlign w:val="center"/>
          </w:tcPr>
          <w:p w14:paraId="22D6CB7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27.05</w:t>
            </w:r>
          </w:p>
        </w:tc>
        <w:tc>
          <w:tcPr>
            <w:tcW w:w="441" w:type="dxa"/>
            <w:tcBorders>
              <w:top w:val="nil"/>
              <w:left w:val="nil"/>
              <w:bottom w:val="single" w:color="auto" w:sz="4" w:space="0"/>
              <w:right w:val="single" w:color="auto" w:sz="4" w:space="0"/>
            </w:tcBorders>
            <w:vAlign w:val="center"/>
          </w:tcPr>
          <w:p w14:paraId="2549269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33.40</w:t>
            </w:r>
          </w:p>
        </w:tc>
        <w:tc>
          <w:tcPr>
            <w:tcW w:w="441" w:type="dxa"/>
            <w:tcBorders>
              <w:top w:val="nil"/>
              <w:left w:val="nil"/>
              <w:bottom w:val="single" w:color="auto" w:sz="4" w:space="0"/>
              <w:right w:val="single" w:color="auto" w:sz="4" w:space="0"/>
            </w:tcBorders>
            <w:vAlign w:val="center"/>
          </w:tcPr>
          <w:p w14:paraId="025B5BA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40.41</w:t>
            </w:r>
          </w:p>
        </w:tc>
        <w:tc>
          <w:tcPr>
            <w:tcW w:w="441" w:type="dxa"/>
            <w:tcBorders>
              <w:top w:val="nil"/>
              <w:left w:val="nil"/>
              <w:bottom w:val="single" w:color="auto" w:sz="4" w:space="0"/>
              <w:right w:val="single" w:color="auto" w:sz="4" w:space="0"/>
            </w:tcBorders>
            <w:vAlign w:val="center"/>
          </w:tcPr>
          <w:p w14:paraId="05D90BB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48.09</w:t>
            </w:r>
          </w:p>
        </w:tc>
        <w:tc>
          <w:tcPr>
            <w:tcW w:w="441" w:type="dxa"/>
            <w:tcBorders>
              <w:top w:val="nil"/>
              <w:left w:val="nil"/>
              <w:bottom w:val="single" w:color="auto" w:sz="4" w:space="0"/>
              <w:right w:val="single" w:color="auto" w:sz="4" w:space="0"/>
            </w:tcBorders>
            <w:vAlign w:val="center"/>
          </w:tcPr>
          <w:p w14:paraId="72A3155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56.44</w:t>
            </w:r>
          </w:p>
        </w:tc>
        <w:tc>
          <w:tcPr>
            <w:tcW w:w="441" w:type="dxa"/>
            <w:tcBorders>
              <w:top w:val="nil"/>
              <w:left w:val="nil"/>
              <w:bottom w:val="single" w:color="auto" w:sz="4" w:space="0"/>
              <w:right w:val="single" w:color="auto" w:sz="4" w:space="0"/>
            </w:tcBorders>
            <w:vAlign w:val="center"/>
          </w:tcPr>
          <w:p w14:paraId="7577963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65.46</w:t>
            </w:r>
          </w:p>
        </w:tc>
        <w:tc>
          <w:tcPr>
            <w:tcW w:w="441" w:type="dxa"/>
            <w:tcBorders>
              <w:top w:val="nil"/>
              <w:left w:val="nil"/>
              <w:bottom w:val="single" w:color="auto" w:sz="4" w:space="0"/>
              <w:right w:val="single" w:color="auto" w:sz="4" w:space="0"/>
            </w:tcBorders>
            <w:vAlign w:val="center"/>
          </w:tcPr>
          <w:p w14:paraId="07CAE69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DFD1FA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2B2FEC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7E45D2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ED7552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65E974EE">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5511A4E0">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1BE130E5">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291D847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800</w:t>
            </w:r>
          </w:p>
        </w:tc>
        <w:tc>
          <w:tcPr>
            <w:tcW w:w="395" w:type="dxa"/>
            <w:tcBorders>
              <w:top w:val="nil"/>
              <w:left w:val="nil"/>
              <w:bottom w:val="single" w:color="auto" w:sz="4" w:space="0"/>
              <w:right w:val="single" w:color="auto" w:sz="4" w:space="0"/>
            </w:tcBorders>
            <w:vAlign w:val="center"/>
          </w:tcPr>
          <w:p w14:paraId="6C701A8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0.26</w:t>
            </w:r>
          </w:p>
        </w:tc>
        <w:tc>
          <w:tcPr>
            <w:tcW w:w="441" w:type="dxa"/>
            <w:tcBorders>
              <w:top w:val="nil"/>
              <w:left w:val="nil"/>
              <w:bottom w:val="single" w:color="auto" w:sz="4" w:space="0"/>
              <w:right w:val="single" w:color="auto" w:sz="4" w:space="0"/>
            </w:tcBorders>
            <w:vAlign w:val="center"/>
          </w:tcPr>
          <w:p w14:paraId="23B5AD1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1.05</w:t>
            </w:r>
          </w:p>
        </w:tc>
        <w:tc>
          <w:tcPr>
            <w:tcW w:w="441" w:type="dxa"/>
            <w:tcBorders>
              <w:top w:val="nil"/>
              <w:left w:val="nil"/>
              <w:bottom w:val="single" w:color="auto" w:sz="4" w:space="0"/>
              <w:right w:val="single" w:color="auto" w:sz="4" w:space="0"/>
            </w:tcBorders>
            <w:vAlign w:val="center"/>
          </w:tcPr>
          <w:p w14:paraId="0BBD35B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2.37</w:t>
            </w:r>
          </w:p>
        </w:tc>
        <w:tc>
          <w:tcPr>
            <w:tcW w:w="441" w:type="dxa"/>
            <w:tcBorders>
              <w:top w:val="nil"/>
              <w:left w:val="nil"/>
              <w:bottom w:val="single" w:color="auto" w:sz="4" w:space="0"/>
              <w:right w:val="single" w:color="auto" w:sz="4" w:space="0"/>
            </w:tcBorders>
            <w:vAlign w:val="center"/>
          </w:tcPr>
          <w:p w14:paraId="74C2DE2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w:t>
            </w:r>
          </w:p>
        </w:tc>
        <w:tc>
          <w:tcPr>
            <w:tcW w:w="441" w:type="dxa"/>
            <w:tcBorders>
              <w:top w:val="nil"/>
              <w:left w:val="nil"/>
              <w:bottom w:val="single" w:color="auto" w:sz="4" w:space="0"/>
              <w:right w:val="single" w:color="auto" w:sz="4" w:space="0"/>
            </w:tcBorders>
            <w:vAlign w:val="center"/>
          </w:tcPr>
          <w:p w14:paraId="72D1B09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6.57</w:t>
            </w:r>
          </w:p>
        </w:tc>
        <w:tc>
          <w:tcPr>
            <w:tcW w:w="441" w:type="dxa"/>
            <w:tcBorders>
              <w:top w:val="nil"/>
              <w:left w:val="nil"/>
              <w:bottom w:val="single" w:color="auto" w:sz="4" w:space="0"/>
              <w:right w:val="single" w:color="auto" w:sz="4" w:space="0"/>
            </w:tcBorders>
            <w:vAlign w:val="center"/>
          </w:tcPr>
          <w:p w14:paraId="716FBD9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9.47</w:t>
            </w:r>
          </w:p>
        </w:tc>
        <w:tc>
          <w:tcPr>
            <w:tcW w:w="441" w:type="dxa"/>
            <w:tcBorders>
              <w:top w:val="nil"/>
              <w:left w:val="nil"/>
              <w:bottom w:val="single" w:color="auto" w:sz="4" w:space="0"/>
              <w:right w:val="single" w:color="auto" w:sz="4" w:space="0"/>
            </w:tcBorders>
            <w:vAlign w:val="center"/>
          </w:tcPr>
          <w:p w14:paraId="66C9EB27">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12.89</w:t>
            </w:r>
          </w:p>
        </w:tc>
        <w:tc>
          <w:tcPr>
            <w:tcW w:w="441" w:type="dxa"/>
            <w:tcBorders>
              <w:top w:val="nil"/>
              <w:left w:val="nil"/>
              <w:bottom w:val="single" w:color="auto" w:sz="4" w:space="0"/>
              <w:right w:val="single" w:color="auto" w:sz="4" w:space="0"/>
            </w:tcBorders>
            <w:vAlign w:val="center"/>
          </w:tcPr>
          <w:p w14:paraId="6B4F1D2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16.83</w:t>
            </w:r>
          </w:p>
        </w:tc>
        <w:tc>
          <w:tcPr>
            <w:tcW w:w="441" w:type="dxa"/>
            <w:tcBorders>
              <w:top w:val="nil"/>
              <w:left w:val="nil"/>
              <w:bottom w:val="single" w:color="auto" w:sz="4" w:space="0"/>
              <w:right w:val="single" w:color="auto" w:sz="4" w:space="0"/>
            </w:tcBorders>
            <w:vAlign w:val="center"/>
          </w:tcPr>
          <w:p w14:paraId="551DF67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21.30</w:t>
            </w:r>
          </w:p>
        </w:tc>
        <w:tc>
          <w:tcPr>
            <w:tcW w:w="441" w:type="dxa"/>
            <w:tcBorders>
              <w:top w:val="nil"/>
              <w:left w:val="nil"/>
              <w:bottom w:val="single" w:color="auto" w:sz="4" w:space="0"/>
              <w:right w:val="single" w:color="auto" w:sz="4" w:space="0"/>
            </w:tcBorders>
            <w:vAlign w:val="center"/>
          </w:tcPr>
          <w:p w14:paraId="798463B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26.30</w:t>
            </w:r>
          </w:p>
        </w:tc>
        <w:tc>
          <w:tcPr>
            <w:tcW w:w="441" w:type="dxa"/>
            <w:tcBorders>
              <w:top w:val="nil"/>
              <w:left w:val="nil"/>
              <w:bottom w:val="single" w:color="auto" w:sz="4" w:space="0"/>
              <w:right w:val="single" w:color="auto" w:sz="4" w:space="0"/>
            </w:tcBorders>
            <w:vAlign w:val="center"/>
          </w:tcPr>
          <w:p w14:paraId="66F2E17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31.82</w:t>
            </w:r>
          </w:p>
        </w:tc>
        <w:tc>
          <w:tcPr>
            <w:tcW w:w="441" w:type="dxa"/>
            <w:tcBorders>
              <w:top w:val="nil"/>
              <w:left w:val="nil"/>
              <w:bottom w:val="single" w:color="auto" w:sz="4" w:space="0"/>
              <w:right w:val="single" w:color="auto" w:sz="4" w:space="0"/>
            </w:tcBorders>
            <w:vAlign w:val="center"/>
          </w:tcPr>
          <w:p w14:paraId="0EC1494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37.87</w:t>
            </w:r>
          </w:p>
        </w:tc>
        <w:tc>
          <w:tcPr>
            <w:tcW w:w="441" w:type="dxa"/>
            <w:tcBorders>
              <w:top w:val="nil"/>
              <w:left w:val="nil"/>
              <w:bottom w:val="single" w:color="auto" w:sz="4" w:space="0"/>
              <w:right w:val="single" w:color="auto" w:sz="4" w:space="0"/>
            </w:tcBorders>
            <w:vAlign w:val="center"/>
          </w:tcPr>
          <w:p w14:paraId="2824427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4.45</w:t>
            </w:r>
          </w:p>
        </w:tc>
        <w:tc>
          <w:tcPr>
            <w:tcW w:w="441" w:type="dxa"/>
            <w:tcBorders>
              <w:top w:val="nil"/>
              <w:left w:val="nil"/>
              <w:bottom w:val="single" w:color="auto" w:sz="4" w:space="0"/>
              <w:right w:val="single" w:color="auto" w:sz="4" w:space="0"/>
            </w:tcBorders>
            <w:vAlign w:val="center"/>
          </w:tcPr>
          <w:p w14:paraId="1215BE3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51.55</w:t>
            </w:r>
          </w:p>
        </w:tc>
        <w:tc>
          <w:tcPr>
            <w:tcW w:w="441" w:type="dxa"/>
            <w:tcBorders>
              <w:top w:val="nil"/>
              <w:left w:val="nil"/>
              <w:bottom w:val="single" w:color="auto" w:sz="4" w:space="0"/>
              <w:right w:val="single" w:color="auto" w:sz="4" w:space="0"/>
            </w:tcBorders>
            <w:vAlign w:val="center"/>
          </w:tcPr>
          <w:p w14:paraId="67303E8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0DB40A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64CBD7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390DFDF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68D49DE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3FB9C6E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056BDF1F">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20EF0E5A">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0E06588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1000</w:t>
            </w:r>
          </w:p>
        </w:tc>
        <w:tc>
          <w:tcPr>
            <w:tcW w:w="395" w:type="dxa"/>
            <w:tcBorders>
              <w:top w:val="nil"/>
              <w:left w:val="nil"/>
              <w:bottom w:val="single" w:color="auto" w:sz="4" w:space="0"/>
              <w:right w:val="single" w:color="auto" w:sz="4" w:space="0"/>
            </w:tcBorders>
            <w:vAlign w:val="center"/>
          </w:tcPr>
          <w:p w14:paraId="247F17F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0.21</w:t>
            </w:r>
          </w:p>
        </w:tc>
        <w:tc>
          <w:tcPr>
            <w:tcW w:w="441" w:type="dxa"/>
            <w:tcBorders>
              <w:top w:val="nil"/>
              <w:left w:val="nil"/>
              <w:bottom w:val="single" w:color="auto" w:sz="4" w:space="0"/>
              <w:right w:val="single" w:color="auto" w:sz="4" w:space="0"/>
            </w:tcBorders>
            <w:vAlign w:val="center"/>
          </w:tcPr>
          <w:p w14:paraId="3AC778A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0.84</w:t>
            </w:r>
          </w:p>
        </w:tc>
        <w:tc>
          <w:tcPr>
            <w:tcW w:w="441" w:type="dxa"/>
            <w:tcBorders>
              <w:top w:val="nil"/>
              <w:left w:val="nil"/>
              <w:bottom w:val="single" w:color="auto" w:sz="4" w:space="0"/>
              <w:right w:val="single" w:color="auto" w:sz="4" w:space="0"/>
            </w:tcBorders>
            <w:vAlign w:val="center"/>
          </w:tcPr>
          <w:p w14:paraId="116BBC2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1.89</w:t>
            </w:r>
          </w:p>
        </w:tc>
        <w:tc>
          <w:tcPr>
            <w:tcW w:w="441" w:type="dxa"/>
            <w:tcBorders>
              <w:top w:val="nil"/>
              <w:left w:val="nil"/>
              <w:bottom w:val="single" w:color="auto" w:sz="4" w:space="0"/>
              <w:right w:val="single" w:color="auto" w:sz="4" w:space="0"/>
            </w:tcBorders>
            <w:vAlign w:val="center"/>
          </w:tcPr>
          <w:p w14:paraId="6D1D6A0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3.37</w:t>
            </w:r>
          </w:p>
        </w:tc>
        <w:tc>
          <w:tcPr>
            <w:tcW w:w="441" w:type="dxa"/>
            <w:tcBorders>
              <w:top w:val="nil"/>
              <w:left w:val="nil"/>
              <w:bottom w:val="single" w:color="auto" w:sz="4" w:space="0"/>
              <w:right w:val="single" w:color="auto" w:sz="4" w:space="0"/>
            </w:tcBorders>
            <w:vAlign w:val="center"/>
          </w:tcPr>
          <w:p w14:paraId="1C7943D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5.26</w:t>
            </w:r>
          </w:p>
        </w:tc>
        <w:tc>
          <w:tcPr>
            <w:tcW w:w="441" w:type="dxa"/>
            <w:tcBorders>
              <w:top w:val="nil"/>
              <w:left w:val="nil"/>
              <w:bottom w:val="single" w:color="auto" w:sz="4" w:space="0"/>
              <w:right w:val="single" w:color="auto" w:sz="4" w:space="0"/>
            </w:tcBorders>
            <w:vAlign w:val="center"/>
          </w:tcPr>
          <w:p w14:paraId="732B887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7.57</w:t>
            </w:r>
          </w:p>
        </w:tc>
        <w:tc>
          <w:tcPr>
            <w:tcW w:w="441" w:type="dxa"/>
            <w:tcBorders>
              <w:top w:val="nil"/>
              <w:left w:val="nil"/>
              <w:bottom w:val="single" w:color="auto" w:sz="4" w:space="0"/>
              <w:right w:val="single" w:color="auto" w:sz="4" w:space="0"/>
            </w:tcBorders>
            <w:vAlign w:val="center"/>
          </w:tcPr>
          <w:p w14:paraId="681EE10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10.31</w:t>
            </w:r>
          </w:p>
        </w:tc>
        <w:tc>
          <w:tcPr>
            <w:tcW w:w="441" w:type="dxa"/>
            <w:tcBorders>
              <w:top w:val="nil"/>
              <w:left w:val="nil"/>
              <w:bottom w:val="single" w:color="auto" w:sz="4" w:space="0"/>
              <w:right w:val="single" w:color="auto" w:sz="4" w:space="0"/>
            </w:tcBorders>
            <w:vAlign w:val="center"/>
          </w:tcPr>
          <w:p w14:paraId="03AC5C9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13.47</w:t>
            </w:r>
          </w:p>
        </w:tc>
        <w:tc>
          <w:tcPr>
            <w:tcW w:w="441" w:type="dxa"/>
            <w:tcBorders>
              <w:top w:val="nil"/>
              <w:left w:val="nil"/>
              <w:bottom w:val="single" w:color="auto" w:sz="4" w:space="0"/>
              <w:right w:val="single" w:color="auto" w:sz="4" w:space="0"/>
            </w:tcBorders>
            <w:vAlign w:val="center"/>
          </w:tcPr>
          <w:p w14:paraId="0669789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17.04</w:t>
            </w:r>
          </w:p>
        </w:tc>
        <w:tc>
          <w:tcPr>
            <w:tcW w:w="441" w:type="dxa"/>
            <w:tcBorders>
              <w:top w:val="nil"/>
              <w:left w:val="nil"/>
              <w:bottom w:val="single" w:color="auto" w:sz="4" w:space="0"/>
              <w:right w:val="single" w:color="auto" w:sz="4" w:space="0"/>
            </w:tcBorders>
            <w:vAlign w:val="center"/>
          </w:tcPr>
          <w:p w14:paraId="1743B08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21.04</w:t>
            </w:r>
          </w:p>
        </w:tc>
        <w:tc>
          <w:tcPr>
            <w:tcW w:w="441" w:type="dxa"/>
            <w:tcBorders>
              <w:top w:val="nil"/>
              <w:left w:val="nil"/>
              <w:bottom w:val="single" w:color="auto" w:sz="4" w:space="0"/>
              <w:right w:val="single" w:color="auto" w:sz="4" w:space="0"/>
            </w:tcBorders>
            <w:vAlign w:val="center"/>
          </w:tcPr>
          <w:p w14:paraId="1AD871C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25.46</w:t>
            </w:r>
          </w:p>
        </w:tc>
        <w:tc>
          <w:tcPr>
            <w:tcW w:w="441" w:type="dxa"/>
            <w:tcBorders>
              <w:top w:val="nil"/>
              <w:left w:val="nil"/>
              <w:bottom w:val="single" w:color="auto" w:sz="4" w:space="0"/>
              <w:right w:val="single" w:color="auto" w:sz="4" w:space="0"/>
            </w:tcBorders>
            <w:vAlign w:val="center"/>
          </w:tcPr>
          <w:p w14:paraId="7C90C7D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30.30</w:t>
            </w:r>
          </w:p>
        </w:tc>
        <w:tc>
          <w:tcPr>
            <w:tcW w:w="441" w:type="dxa"/>
            <w:tcBorders>
              <w:top w:val="nil"/>
              <w:left w:val="nil"/>
              <w:bottom w:val="single" w:color="auto" w:sz="4" w:space="0"/>
              <w:right w:val="single" w:color="auto" w:sz="4" w:space="0"/>
            </w:tcBorders>
            <w:vAlign w:val="center"/>
          </w:tcPr>
          <w:p w14:paraId="59503F7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35.56</w:t>
            </w:r>
          </w:p>
        </w:tc>
        <w:tc>
          <w:tcPr>
            <w:tcW w:w="441" w:type="dxa"/>
            <w:tcBorders>
              <w:top w:val="nil"/>
              <w:left w:val="nil"/>
              <w:bottom w:val="single" w:color="auto" w:sz="4" w:space="0"/>
              <w:right w:val="single" w:color="auto" w:sz="4" w:space="0"/>
            </w:tcBorders>
            <w:vAlign w:val="center"/>
          </w:tcPr>
          <w:p w14:paraId="769F1AC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41.24</w:t>
            </w:r>
          </w:p>
        </w:tc>
        <w:tc>
          <w:tcPr>
            <w:tcW w:w="441" w:type="dxa"/>
            <w:tcBorders>
              <w:top w:val="nil"/>
              <w:left w:val="nil"/>
              <w:bottom w:val="single" w:color="auto" w:sz="4" w:space="0"/>
              <w:right w:val="single" w:color="auto" w:sz="4" w:space="0"/>
            </w:tcBorders>
            <w:vAlign w:val="center"/>
          </w:tcPr>
          <w:p w14:paraId="50D35C1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5781053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BB222E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4BF14D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06" w:type="dxa"/>
            <w:tcBorders>
              <w:top w:val="nil"/>
              <w:left w:val="nil"/>
              <w:bottom w:val="single" w:color="auto" w:sz="4" w:space="0"/>
              <w:right w:val="single" w:color="auto" w:sz="4" w:space="0"/>
            </w:tcBorders>
            <w:vAlign w:val="center"/>
          </w:tcPr>
          <w:p w14:paraId="033FF50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c>
          <w:tcPr>
            <w:tcW w:w="414" w:type="dxa"/>
            <w:tcBorders>
              <w:top w:val="nil"/>
              <w:left w:val="nil"/>
              <w:bottom w:val="single" w:color="auto" w:sz="4" w:space="0"/>
            </w:tcBorders>
            <w:vAlign w:val="center"/>
          </w:tcPr>
          <w:p w14:paraId="47A7A4D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w:t>
            </w:r>
          </w:p>
        </w:tc>
      </w:tr>
      <w:tr w14:paraId="5F71D6AF">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bottom w:val="single" w:color="auto" w:sz="4" w:space="0"/>
              <w:right w:val="single" w:color="auto" w:sz="4" w:space="0"/>
            </w:tcBorders>
            <w:vAlign w:val="center"/>
          </w:tcPr>
          <w:p w14:paraId="165B5AEB">
            <w:pPr>
              <w:pStyle w:val="63"/>
              <w:rPr>
                <w:color w:val="000000" w:themeColor="text1"/>
                <w:highlight w:val="none"/>
                <w14:textFill>
                  <w14:solidFill>
                    <w14:schemeClr w14:val="tx1"/>
                  </w14:solidFill>
                </w14:textFill>
              </w:rPr>
            </w:pPr>
          </w:p>
        </w:tc>
        <w:tc>
          <w:tcPr>
            <w:tcW w:w="393" w:type="dxa"/>
            <w:tcBorders>
              <w:top w:val="nil"/>
              <w:left w:val="nil"/>
              <w:bottom w:val="single" w:color="auto" w:sz="4" w:space="0"/>
              <w:right w:val="single" w:color="auto" w:sz="4" w:space="0"/>
            </w:tcBorders>
            <w:vAlign w:val="center"/>
          </w:tcPr>
          <w:p w14:paraId="49BB94C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1600</w:t>
            </w:r>
          </w:p>
        </w:tc>
        <w:tc>
          <w:tcPr>
            <w:tcW w:w="395" w:type="dxa"/>
            <w:tcBorders>
              <w:top w:val="nil"/>
              <w:left w:val="nil"/>
              <w:bottom w:val="single" w:color="auto" w:sz="4" w:space="0"/>
              <w:right w:val="single" w:color="auto" w:sz="4" w:space="0"/>
            </w:tcBorders>
            <w:vAlign w:val="center"/>
          </w:tcPr>
          <w:p w14:paraId="3C46907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0.13</w:t>
            </w:r>
          </w:p>
        </w:tc>
        <w:tc>
          <w:tcPr>
            <w:tcW w:w="441" w:type="dxa"/>
            <w:tcBorders>
              <w:top w:val="nil"/>
              <w:left w:val="nil"/>
              <w:bottom w:val="single" w:color="auto" w:sz="4" w:space="0"/>
              <w:right w:val="single" w:color="auto" w:sz="4" w:space="0"/>
            </w:tcBorders>
            <w:vAlign w:val="center"/>
          </w:tcPr>
          <w:p w14:paraId="7A213C0F">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0.53</w:t>
            </w:r>
          </w:p>
        </w:tc>
        <w:tc>
          <w:tcPr>
            <w:tcW w:w="441" w:type="dxa"/>
            <w:tcBorders>
              <w:top w:val="nil"/>
              <w:left w:val="nil"/>
              <w:bottom w:val="single" w:color="auto" w:sz="4" w:space="0"/>
              <w:right w:val="single" w:color="auto" w:sz="4" w:space="0"/>
            </w:tcBorders>
            <w:vAlign w:val="center"/>
          </w:tcPr>
          <w:p w14:paraId="6809FDF0">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1.18</w:t>
            </w:r>
          </w:p>
        </w:tc>
        <w:tc>
          <w:tcPr>
            <w:tcW w:w="441" w:type="dxa"/>
            <w:tcBorders>
              <w:top w:val="nil"/>
              <w:left w:val="nil"/>
              <w:bottom w:val="single" w:color="auto" w:sz="4" w:space="0"/>
              <w:right w:val="single" w:color="auto" w:sz="4" w:space="0"/>
            </w:tcBorders>
            <w:vAlign w:val="center"/>
          </w:tcPr>
          <w:p w14:paraId="625FCF0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2.10</w:t>
            </w:r>
          </w:p>
        </w:tc>
        <w:tc>
          <w:tcPr>
            <w:tcW w:w="441" w:type="dxa"/>
            <w:tcBorders>
              <w:top w:val="nil"/>
              <w:left w:val="nil"/>
              <w:bottom w:val="single" w:color="auto" w:sz="4" w:space="0"/>
              <w:right w:val="single" w:color="auto" w:sz="4" w:space="0"/>
            </w:tcBorders>
            <w:vAlign w:val="center"/>
          </w:tcPr>
          <w:p w14:paraId="10954C0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3.29</w:t>
            </w:r>
          </w:p>
        </w:tc>
        <w:tc>
          <w:tcPr>
            <w:tcW w:w="441" w:type="dxa"/>
            <w:tcBorders>
              <w:top w:val="nil"/>
              <w:left w:val="nil"/>
              <w:bottom w:val="single" w:color="auto" w:sz="4" w:space="0"/>
              <w:right w:val="single" w:color="auto" w:sz="4" w:space="0"/>
            </w:tcBorders>
            <w:vAlign w:val="center"/>
          </w:tcPr>
          <w:p w14:paraId="4A9198C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.73</w:t>
            </w:r>
          </w:p>
        </w:tc>
        <w:tc>
          <w:tcPr>
            <w:tcW w:w="441" w:type="dxa"/>
            <w:tcBorders>
              <w:top w:val="nil"/>
              <w:left w:val="nil"/>
              <w:bottom w:val="single" w:color="auto" w:sz="4" w:space="0"/>
              <w:right w:val="single" w:color="auto" w:sz="4" w:space="0"/>
            </w:tcBorders>
            <w:vAlign w:val="center"/>
          </w:tcPr>
          <w:p w14:paraId="4E9E0E8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6.44</w:t>
            </w:r>
          </w:p>
        </w:tc>
        <w:tc>
          <w:tcPr>
            <w:tcW w:w="441" w:type="dxa"/>
            <w:tcBorders>
              <w:top w:val="nil"/>
              <w:left w:val="nil"/>
              <w:bottom w:val="single" w:color="auto" w:sz="4" w:space="0"/>
              <w:right w:val="single" w:color="auto" w:sz="4" w:space="0"/>
            </w:tcBorders>
            <w:vAlign w:val="center"/>
          </w:tcPr>
          <w:p w14:paraId="209F8E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8.42</w:t>
            </w:r>
          </w:p>
        </w:tc>
        <w:tc>
          <w:tcPr>
            <w:tcW w:w="441" w:type="dxa"/>
            <w:tcBorders>
              <w:top w:val="nil"/>
              <w:left w:val="nil"/>
              <w:bottom w:val="single" w:color="auto" w:sz="4" w:space="0"/>
              <w:right w:val="single" w:color="auto" w:sz="4" w:space="0"/>
            </w:tcBorders>
            <w:vAlign w:val="center"/>
          </w:tcPr>
          <w:p w14:paraId="24337F4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10.65</w:t>
            </w:r>
          </w:p>
        </w:tc>
        <w:tc>
          <w:tcPr>
            <w:tcW w:w="441" w:type="dxa"/>
            <w:tcBorders>
              <w:top w:val="nil"/>
              <w:left w:val="nil"/>
              <w:bottom w:val="single" w:color="auto" w:sz="4" w:space="0"/>
              <w:right w:val="single" w:color="auto" w:sz="4" w:space="0"/>
            </w:tcBorders>
            <w:vAlign w:val="center"/>
          </w:tcPr>
          <w:p w14:paraId="66A70E2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13.15</w:t>
            </w:r>
          </w:p>
        </w:tc>
        <w:tc>
          <w:tcPr>
            <w:tcW w:w="441" w:type="dxa"/>
            <w:tcBorders>
              <w:top w:val="nil"/>
              <w:left w:val="nil"/>
              <w:bottom w:val="single" w:color="auto" w:sz="4" w:space="0"/>
              <w:right w:val="single" w:color="auto" w:sz="4" w:space="0"/>
            </w:tcBorders>
            <w:vAlign w:val="center"/>
          </w:tcPr>
          <w:p w14:paraId="31D7BB7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15.91</w:t>
            </w:r>
          </w:p>
        </w:tc>
        <w:tc>
          <w:tcPr>
            <w:tcW w:w="441" w:type="dxa"/>
            <w:tcBorders>
              <w:top w:val="nil"/>
              <w:left w:val="nil"/>
              <w:bottom w:val="single" w:color="auto" w:sz="4" w:space="0"/>
              <w:right w:val="single" w:color="auto" w:sz="4" w:space="0"/>
            </w:tcBorders>
            <w:vAlign w:val="center"/>
          </w:tcPr>
          <w:p w14:paraId="3C3F0238">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18.94</w:t>
            </w:r>
          </w:p>
        </w:tc>
        <w:tc>
          <w:tcPr>
            <w:tcW w:w="441" w:type="dxa"/>
            <w:tcBorders>
              <w:top w:val="nil"/>
              <w:left w:val="nil"/>
              <w:bottom w:val="single" w:color="auto" w:sz="4" w:space="0"/>
              <w:right w:val="single" w:color="auto" w:sz="4" w:space="0"/>
            </w:tcBorders>
            <w:vAlign w:val="center"/>
          </w:tcPr>
          <w:p w14:paraId="5844F735">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22.22</w:t>
            </w:r>
          </w:p>
        </w:tc>
        <w:tc>
          <w:tcPr>
            <w:tcW w:w="441" w:type="dxa"/>
            <w:tcBorders>
              <w:top w:val="nil"/>
              <w:left w:val="nil"/>
              <w:bottom w:val="single" w:color="auto" w:sz="4" w:space="0"/>
              <w:right w:val="single" w:color="auto" w:sz="4" w:space="0"/>
            </w:tcBorders>
            <w:vAlign w:val="center"/>
          </w:tcPr>
          <w:p w14:paraId="68CC966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25.77</w:t>
            </w:r>
          </w:p>
        </w:tc>
        <w:tc>
          <w:tcPr>
            <w:tcW w:w="441" w:type="dxa"/>
            <w:tcBorders>
              <w:top w:val="nil"/>
              <w:left w:val="nil"/>
              <w:bottom w:val="single" w:color="auto" w:sz="4" w:space="0"/>
              <w:right w:val="single" w:color="auto" w:sz="4" w:space="0"/>
            </w:tcBorders>
            <w:vAlign w:val="center"/>
          </w:tcPr>
          <w:p w14:paraId="0BB3BC3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29.59</w:t>
            </w:r>
          </w:p>
        </w:tc>
        <w:tc>
          <w:tcPr>
            <w:tcW w:w="406" w:type="dxa"/>
            <w:tcBorders>
              <w:top w:val="nil"/>
              <w:left w:val="nil"/>
              <w:bottom w:val="single" w:color="auto" w:sz="4" w:space="0"/>
              <w:right w:val="single" w:color="auto" w:sz="4" w:space="0"/>
            </w:tcBorders>
            <w:vAlign w:val="center"/>
          </w:tcPr>
          <w:p w14:paraId="0947B9E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33.66</w:t>
            </w:r>
          </w:p>
        </w:tc>
        <w:tc>
          <w:tcPr>
            <w:tcW w:w="406" w:type="dxa"/>
            <w:tcBorders>
              <w:top w:val="nil"/>
              <w:left w:val="nil"/>
              <w:bottom w:val="single" w:color="auto" w:sz="4" w:space="0"/>
              <w:right w:val="single" w:color="auto" w:sz="4" w:space="0"/>
            </w:tcBorders>
            <w:vAlign w:val="center"/>
          </w:tcPr>
          <w:p w14:paraId="1FB2E64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38.00</w:t>
            </w:r>
          </w:p>
        </w:tc>
        <w:tc>
          <w:tcPr>
            <w:tcW w:w="406" w:type="dxa"/>
            <w:tcBorders>
              <w:top w:val="nil"/>
              <w:left w:val="nil"/>
              <w:bottom w:val="single" w:color="auto" w:sz="4" w:space="0"/>
              <w:right w:val="single" w:color="auto" w:sz="4" w:space="0"/>
            </w:tcBorders>
            <w:vAlign w:val="center"/>
          </w:tcPr>
          <w:p w14:paraId="2D38D6B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42.60</w:t>
            </w:r>
          </w:p>
        </w:tc>
        <w:tc>
          <w:tcPr>
            <w:tcW w:w="406" w:type="dxa"/>
            <w:tcBorders>
              <w:top w:val="nil"/>
              <w:left w:val="nil"/>
              <w:bottom w:val="single" w:color="auto" w:sz="4" w:space="0"/>
              <w:right w:val="single" w:color="auto" w:sz="4" w:space="0"/>
            </w:tcBorders>
            <w:vAlign w:val="center"/>
          </w:tcPr>
          <w:p w14:paraId="7892B2D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47.47</w:t>
            </w:r>
          </w:p>
        </w:tc>
        <w:tc>
          <w:tcPr>
            <w:tcW w:w="414" w:type="dxa"/>
            <w:tcBorders>
              <w:top w:val="nil"/>
              <w:left w:val="nil"/>
              <w:bottom w:val="single" w:color="auto" w:sz="4" w:space="0"/>
            </w:tcBorders>
            <w:vAlign w:val="center"/>
          </w:tcPr>
          <w:p w14:paraId="2EE3424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52.60</w:t>
            </w:r>
          </w:p>
        </w:tc>
      </w:tr>
      <w:tr w14:paraId="4C8B8C34">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28" w:type="dxa"/>
            <w:bottom w:w="0" w:type="dxa"/>
            <w:right w:w="28" w:type="dxa"/>
          </w:tblCellMar>
        </w:tblPrEx>
        <w:trPr>
          <w:trHeight w:val="255" w:hRule="atLeast"/>
          <w:jc w:val="center"/>
        </w:trPr>
        <w:tc>
          <w:tcPr>
            <w:tcW w:w="760" w:type="dxa"/>
            <w:vMerge w:val="continue"/>
            <w:tcBorders>
              <w:top w:val="nil"/>
              <w:right w:val="single" w:color="auto" w:sz="4" w:space="0"/>
            </w:tcBorders>
            <w:vAlign w:val="center"/>
          </w:tcPr>
          <w:p w14:paraId="2D45E951">
            <w:pPr>
              <w:pStyle w:val="63"/>
              <w:rPr>
                <w:color w:val="000000" w:themeColor="text1"/>
                <w:highlight w:val="none"/>
                <w14:textFill>
                  <w14:solidFill>
                    <w14:schemeClr w14:val="tx1"/>
                  </w14:solidFill>
                </w14:textFill>
              </w:rPr>
            </w:pPr>
          </w:p>
        </w:tc>
        <w:tc>
          <w:tcPr>
            <w:tcW w:w="393" w:type="dxa"/>
            <w:tcBorders>
              <w:top w:val="nil"/>
              <w:left w:val="nil"/>
              <w:right w:val="single" w:color="auto" w:sz="4" w:space="0"/>
            </w:tcBorders>
            <w:vAlign w:val="center"/>
          </w:tcPr>
          <w:p w14:paraId="6E1497E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2500</w:t>
            </w:r>
          </w:p>
        </w:tc>
        <w:tc>
          <w:tcPr>
            <w:tcW w:w="395" w:type="dxa"/>
            <w:tcBorders>
              <w:top w:val="nil"/>
              <w:left w:val="nil"/>
              <w:right w:val="single" w:color="auto" w:sz="4" w:space="0"/>
            </w:tcBorders>
            <w:vAlign w:val="center"/>
          </w:tcPr>
          <w:p w14:paraId="27152E3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0.08</w:t>
            </w:r>
          </w:p>
        </w:tc>
        <w:tc>
          <w:tcPr>
            <w:tcW w:w="441" w:type="dxa"/>
            <w:tcBorders>
              <w:top w:val="nil"/>
              <w:left w:val="nil"/>
              <w:right w:val="single" w:color="auto" w:sz="4" w:space="0"/>
            </w:tcBorders>
            <w:vAlign w:val="center"/>
          </w:tcPr>
          <w:p w14:paraId="729B135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0.34</w:t>
            </w:r>
          </w:p>
        </w:tc>
        <w:tc>
          <w:tcPr>
            <w:tcW w:w="441" w:type="dxa"/>
            <w:tcBorders>
              <w:top w:val="nil"/>
              <w:left w:val="nil"/>
              <w:right w:val="single" w:color="auto" w:sz="4" w:space="0"/>
            </w:tcBorders>
            <w:vAlign w:val="center"/>
          </w:tcPr>
          <w:p w14:paraId="42424AF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0.76</w:t>
            </w:r>
          </w:p>
        </w:tc>
        <w:tc>
          <w:tcPr>
            <w:tcW w:w="441" w:type="dxa"/>
            <w:tcBorders>
              <w:top w:val="nil"/>
              <w:left w:val="nil"/>
              <w:right w:val="single" w:color="auto" w:sz="4" w:space="0"/>
            </w:tcBorders>
            <w:vAlign w:val="center"/>
          </w:tcPr>
          <w:p w14:paraId="04420B7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1.35</w:t>
            </w:r>
          </w:p>
        </w:tc>
        <w:tc>
          <w:tcPr>
            <w:tcW w:w="441" w:type="dxa"/>
            <w:tcBorders>
              <w:top w:val="nil"/>
              <w:left w:val="nil"/>
              <w:right w:val="single" w:color="auto" w:sz="4" w:space="0"/>
            </w:tcBorders>
            <w:vAlign w:val="center"/>
          </w:tcPr>
          <w:p w14:paraId="74BDCC9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2.10</w:t>
            </w:r>
          </w:p>
        </w:tc>
        <w:tc>
          <w:tcPr>
            <w:tcW w:w="441" w:type="dxa"/>
            <w:tcBorders>
              <w:top w:val="nil"/>
              <w:left w:val="nil"/>
              <w:right w:val="single" w:color="auto" w:sz="4" w:space="0"/>
            </w:tcBorders>
            <w:vAlign w:val="center"/>
          </w:tcPr>
          <w:p w14:paraId="305F5F5B">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3.03</w:t>
            </w:r>
          </w:p>
        </w:tc>
        <w:tc>
          <w:tcPr>
            <w:tcW w:w="441" w:type="dxa"/>
            <w:tcBorders>
              <w:top w:val="nil"/>
              <w:left w:val="nil"/>
              <w:right w:val="single" w:color="auto" w:sz="4" w:space="0"/>
            </w:tcBorders>
            <w:vAlign w:val="center"/>
          </w:tcPr>
          <w:p w14:paraId="55D9E21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w:t>
            </w:r>
          </w:p>
        </w:tc>
        <w:tc>
          <w:tcPr>
            <w:tcW w:w="441" w:type="dxa"/>
            <w:tcBorders>
              <w:top w:val="nil"/>
              <w:left w:val="nil"/>
              <w:right w:val="single" w:color="auto" w:sz="4" w:space="0"/>
            </w:tcBorders>
            <w:vAlign w:val="center"/>
          </w:tcPr>
          <w:p w14:paraId="22C2DFB3">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5.39</w:t>
            </w:r>
          </w:p>
        </w:tc>
        <w:tc>
          <w:tcPr>
            <w:tcW w:w="441" w:type="dxa"/>
            <w:tcBorders>
              <w:top w:val="nil"/>
              <w:left w:val="nil"/>
              <w:right w:val="single" w:color="auto" w:sz="4" w:space="0"/>
            </w:tcBorders>
            <w:vAlign w:val="center"/>
          </w:tcPr>
          <w:p w14:paraId="290CA5F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6.82</w:t>
            </w:r>
          </w:p>
        </w:tc>
        <w:tc>
          <w:tcPr>
            <w:tcW w:w="441" w:type="dxa"/>
            <w:tcBorders>
              <w:top w:val="nil"/>
              <w:left w:val="nil"/>
              <w:right w:val="single" w:color="auto" w:sz="4" w:space="0"/>
            </w:tcBorders>
            <w:vAlign w:val="center"/>
          </w:tcPr>
          <w:p w14:paraId="65483A6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8.42</w:t>
            </w:r>
          </w:p>
        </w:tc>
        <w:tc>
          <w:tcPr>
            <w:tcW w:w="441" w:type="dxa"/>
            <w:tcBorders>
              <w:top w:val="nil"/>
              <w:left w:val="nil"/>
              <w:right w:val="single" w:color="auto" w:sz="4" w:space="0"/>
            </w:tcBorders>
            <w:vAlign w:val="center"/>
          </w:tcPr>
          <w:p w14:paraId="1EF4EE9D">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10.18</w:t>
            </w:r>
          </w:p>
        </w:tc>
        <w:tc>
          <w:tcPr>
            <w:tcW w:w="441" w:type="dxa"/>
            <w:tcBorders>
              <w:top w:val="nil"/>
              <w:left w:val="nil"/>
              <w:right w:val="single" w:color="auto" w:sz="4" w:space="0"/>
            </w:tcBorders>
            <w:vAlign w:val="center"/>
          </w:tcPr>
          <w:p w14:paraId="3572C02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12.12</w:t>
            </w:r>
          </w:p>
        </w:tc>
        <w:tc>
          <w:tcPr>
            <w:tcW w:w="441" w:type="dxa"/>
            <w:tcBorders>
              <w:top w:val="nil"/>
              <w:left w:val="nil"/>
              <w:right w:val="single" w:color="auto" w:sz="4" w:space="0"/>
            </w:tcBorders>
            <w:vAlign w:val="center"/>
          </w:tcPr>
          <w:p w14:paraId="0E43283C">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1.22</w:t>
            </w:r>
          </w:p>
        </w:tc>
        <w:tc>
          <w:tcPr>
            <w:tcW w:w="441" w:type="dxa"/>
            <w:tcBorders>
              <w:top w:val="nil"/>
              <w:left w:val="nil"/>
              <w:right w:val="single" w:color="auto" w:sz="4" w:space="0"/>
            </w:tcBorders>
            <w:vAlign w:val="center"/>
          </w:tcPr>
          <w:p w14:paraId="416B4DE1">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16.49</w:t>
            </w:r>
          </w:p>
        </w:tc>
        <w:tc>
          <w:tcPr>
            <w:tcW w:w="441" w:type="dxa"/>
            <w:tcBorders>
              <w:top w:val="nil"/>
              <w:left w:val="nil"/>
              <w:right w:val="single" w:color="auto" w:sz="4" w:space="0"/>
            </w:tcBorders>
            <w:vAlign w:val="center"/>
          </w:tcPr>
          <w:p w14:paraId="4C978089">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18.94</w:t>
            </w:r>
          </w:p>
        </w:tc>
        <w:tc>
          <w:tcPr>
            <w:tcW w:w="406" w:type="dxa"/>
            <w:tcBorders>
              <w:top w:val="nil"/>
              <w:left w:val="nil"/>
              <w:right w:val="single" w:color="auto" w:sz="4" w:space="0"/>
            </w:tcBorders>
            <w:vAlign w:val="center"/>
          </w:tcPr>
          <w:p w14:paraId="6B2AF2C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21.54</w:t>
            </w:r>
          </w:p>
        </w:tc>
        <w:tc>
          <w:tcPr>
            <w:tcW w:w="406" w:type="dxa"/>
            <w:tcBorders>
              <w:top w:val="nil"/>
              <w:left w:val="nil"/>
              <w:right w:val="single" w:color="auto" w:sz="4" w:space="0"/>
            </w:tcBorders>
            <w:vAlign w:val="center"/>
          </w:tcPr>
          <w:p w14:paraId="69B031BA">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2.32</w:t>
            </w:r>
          </w:p>
        </w:tc>
        <w:tc>
          <w:tcPr>
            <w:tcW w:w="406" w:type="dxa"/>
            <w:tcBorders>
              <w:top w:val="nil"/>
              <w:left w:val="nil"/>
              <w:right w:val="single" w:color="auto" w:sz="4" w:space="0"/>
            </w:tcBorders>
            <w:vAlign w:val="center"/>
          </w:tcPr>
          <w:p w14:paraId="27709566">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27.27</w:t>
            </w:r>
          </w:p>
        </w:tc>
        <w:tc>
          <w:tcPr>
            <w:tcW w:w="406" w:type="dxa"/>
            <w:tcBorders>
              <w:top w:val="nil"/>
              <w:left w:val="nil"/>
              <w:right w:val="single" w:color="auto" w:sz="4" w:space="0"/>
            </w:tcBorders>
            <w:vAlign w:val="center"/>
          </w:tcPr>
          <w:p w14:paraId="252021F4">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30.37</w:t>
            </w:r>
          </w:p>
        </w:tc>
        <w:tc>
          <w:tcPr>
            <w:tcW w:w="414" w:type="dxa"/>
            <w:tcBorders>
              <w:top w:val="nil"/>
              <w:left w:val="nil"/>
            </w:tcBorders>
            <w:vAlign w:val="center"/>
          </w:tcPr>
          <w:p w14:paraId="5CC35472">
            <w:pPr>
              <w:pStyle w:val="63"/>
              <w:rPr>
                <w:color w:val="000000" w:themeColor="text1"/>
                <w:w w:val="85"/>
                <w:highlight w:val="none"/>
                <w14:textFill>
                  <w14:solidFill>
                    <w14:schemeClr w14:val="tx1"/>
                  </w14:solidFill>
                </w14:textFill>
              </w:rPr>
            </w:pPr>
            <w:r>
              <w:rPr>
                <w:color w:val="000000" w:themeColor="text1"/>
                <w:w w:val="85"/>
                <w:highlight w:val="none"/>
                <w14:textFill>
                  <w14:solidFill>
                    <w14:schemeClr w14:val="tx1"/>
                  </w14:solidFill>
                </w14:textFill>
              </w:rPr>
              <w:t>33.66</w:t>
            </w:r>
          </w:p>
        </w:tc>
      </w:tr>
    </w:tbl>
    <w:p w14:paraId="208E8B39">
      <w:pPr>
        <w:pStyle w:val="63"/>
        <w:pBdr>
          <w:top w:val="single" w:color="auto" w:sz="4" w:space="0"/>
          <w:left w:val="single" w:color="auto" w:sz="4" w:space="0"/>
          <w:bottom w:val="single" w:color="auto" w:sz="4" w:space="0"/>
          <w:right w:val="single" w:color="auto" w:sz="4" w:space="0"/>
          <w:between w:val="single" w:color="auto" w:sz="4" w:space="0"/>
        </w:pBdr>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本表按照附录</w:t>
      </w: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公式编制。表中按纯铜电缆运行平均温度70℃时的电阻率。数据为单根单芯电缆计算数据，发热量用于管廊通风计算时，多芯电缆也可参考，需计入电缆芯数。由于电缆发热量与电缆载流量是平方关系，采用内插法计算时应代入电流平方进行内插。</w:t>
      </w:r>
    </w:p>
    <w:p w14:paraId="27EB13DC">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sectPr>
          <w:pgSz w:w="11509" w:h="7937" w:orient="landscape"/>
          <w:pgMar w:top="720" w:right="720" w:bottom="720" w:left="720" w:header="567" w:footer="510" w:gutter="0"/>
          <w:pgNumType w:fmt="decimal"/>
          <w:cols w:space="0" w:num="1"/>
          <w:docGrid w:type="linesAndChars" w:linePitch="312" w:charSpace="233"/>
        </w:sectPr>
      </w:pPr>
    </w:p>
    <w:p w14:paraId="7964B3A3">
      <w:pPr>
        <w:pStyle w:val="2"/>
        <w:rPr>
          <w:b w:val="0"/>
          <w:bCs w:val="0"/>
          <w:color w:val="000000" w:themeColor="text1"/>
          <w:highlight w:val="none"/>
          <w14:textFill>
            <w14:solidFill>
              <w14:schemeClr w14:val="tx1"/>
            </w14:solidFill>
          </w14:textFill>
        </w:rPr>
      </w:pPr>
      <w:r>
        <w:rPr>
          <w:b w:val="0"/>
          <w:bCs w:val="0"/>
          <w:color w:val="000000" w:themeColor="text1"/>
          <w:highlight w:val="none"/>
          <w14:textFill>
            <w14:solidFill>
              <w14:schemeClr w14:val="tx1"/>
            </w14:solidFill>
          </w14:textFill>
        </w:rPr>
        <w:t>本标准用词说明</w:t>
      </w:r>
    </w:p>
    <w:p w14:paraId="274C6C07">
      <w:pPr>
        <w:spacing w:line="370"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为便于在执行本标准条文时区别对待，对要求严格程度不同的用词说明如下：</w:t>
      </w:r>
    </w:p>
    <w:p w14:paraId="39D90D1A">
      <w:pPr>
        <w:spacing w:line="370" w:lineRule="exact"/>
        <w:ind w:firstLine="633" w:firstLineChars="3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1）表示很严格，非这样做不可的：</w:t>
      </w:r>
    </w:p>
    <w:p w14:paraId="56D88000">
      <w:pPr>
        <w:spacing w:line="370" w:lineRule="exact"/>
        <w:ind w:firstLine="949" w:firstLineChars="4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正面词采用“必须”，反面词采用“严禁”；</w:t>
      </w:r>
    </w:p>
    <w:p w14:paraId="4AB36CDF">
      <w:pPr>
        <w:spacing w:line="370" w:lineRule="exact"/>
        <w:ind w:firstLine="633" w:firstLineChars="3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2）表示严格，在正常情况下均应这样做的：</w:t>
      </w:r>
    </w:p>
    <w:p w14:paraId="60647DED">
      <w:pPr>
        <w:spacing w:line="370" w:lineRule="exact"/>
        <w:ind w:firstLine="949" w:firstLineChars="4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正面词采用“应”，反面词采用“不应”或“不得”；</w:t>
      </w:r>
    </w:p>
    <w:p w14:paraId="0A3FE1EA">
      <w:pPr>
        <w:spacing w:line="370" w:lineRule="exact"/>
        <w:ind w:firstLine="633" w:firstLineChars="3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3）表示允许稍有选择，在条件许可时首先应这样做的：</w:t>
      </w:r>
    </w:p>
    <w:p w14:paraId="4FCA884D">
      <w:pPr>
        <w:spacing w:line="370" w:lineRule="exact"/>
        <w:ind w:firstLine="949" w:firstLineChars="4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正面词采用“宜”，反面词采用“不宜”；</w:t>
      </w:r>
    </w:p>
    <w:p w14:paraId="27DBD7F4">
      <w:pPr>
        <w:spacing w:line="370" w:lineRule="exact"/>
        <w:ind w:firstLine="633" w:firstLineChars="3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4）表示有选择，在一定条件下可以这样做的，采用“可”。</w:t>
      </w:r>
    </w:p>
    <w:p w14:paraId="37F86749">
      <w:pPr>
        <w:spacing w:line="370"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条文中指明应按其他有关标准执行的写法为：“应符合……的规定”或“应按……执行”。</w:t>
      </w:r>
    </w:p>
    <w:p w14:paraId="4F9F2579">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276D7783">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2D8EAD4A">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330D7C1F">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sectPr>
          <w:pgSz w:w="7937" w:h="11509"/>
          <w:pgMar w:top="1020" w:right="907" w:bottom="1020" w:left="907" w:header="737" w:footer="737" w:gutter="0"/>
          <w:pgNumType w:fmt="decimal"/>
          <w:cols w:space="0" w:num="1"/>
          <w:docGrid w:type="linesAndChars" w:linePitch="312" w:charSpace="233"/>
        </w:sectPr>
      </w:pPr>
    </w:p>
    <w:p w14:paraId="2AC88303">
      <w:pPr>
        <w:pStyle w:val="2"/>
        <w:rPr>
          <w:b w:val="0"/>
          <w:bCs w:val="0"/>
          <w:color w:val="000000" w:themeColor="text1"/>
          <w:highlight w:val="none"/>
          <w:lang w:val="en-US"/>
          <w14:textFill>
            <w14:solidFill>
              <w14:schemeClr w14:val="tx1"/>
            </w14:solidFill>
          </w14:textFill>
        </w:rPr>
      </w:pPr>
      <w:r>
        <w:rPr>
          <w:b w:val="0"/>
          <w:bCs w:val="0"/>
          <w:color w:val="000000" w:themeColor="text1"/>
          <w:highlight w:val="none"/>
          <w14:textFill>
            <w14:solidFill>
              <w14:schemeClr w14:val="tx1"/>
            </w14:solidFill>
          </w14:textFill>
        </w:rPr>
        <w:t>引用标准名录</w:t>
      </w:r>
    </w:p>
    <w:p w14:paraId="3D1A55EE">
      <w:pPr>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《建筑地基基础设计规范》GB 50007</w:t>
      </w:r>
    </w:p>
    <w:p w14:paraId="3524D748">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《建筑结构荷载规范》GB 50009</w:t>
      </w:r>
    </w:p>
    <w:p w14:paraId="609F3EE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《混凝土结构设计</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》GB 50010</w:t>
      </w:r>
    </w:p>
    <w:p w14:paraId="38FA5D3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《工程结构通用规范》GB</w:t>
      </w:r>
      <w:r>
        <w:rPr>
          <w:rFonts w:hint="eastAsia"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ascii="Times New Roman" w:hAnsi="Times New Roman" w:eastAsia="方正书宋简体" w:cs="Times New Roman"/>
          <w:color w:val="000000" w:themeColor="text1"/>
          <w:highlight w:val="none"/>
          <w:u w:val="none"/>
          <w14:textFill>
            <w14:solidFill>
              <w14:schemeClr w14:val="tx1"/>
            </w14:solidFill>
          </w14:textFill>
        </w:rPr>
        <w:t>55001</w:t>
      </w:r>
    </w:p>
    <w:p w14:paraId="274E7D7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《混凝土结构通用规范》GB 55008</w:t>
      </w:r>
    </w:p>
    <w:p w14:paraId="0A7485D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《室外给水设计标准》GB 50013</w:t>
      </w:r>
    </w:p>
    <w:p w14:paraId="2D15D76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《室外排水设计规范》</w:t>
      </w:r>
      <w:bookmarkStart w:id="144" w:name="_Hlk18345812"/>
      <w:r>
        <w:rPr>
          <w:rFonts w:ascii="Times New Roman" w:hAnsi="Times New Roman" w:eastAsia="方正书宋简体" w:cs="Times New Roman"/>
          <w:color w:val="000000" w:themeColor="text1"/>
          <w:highlight w:val="none"/>
          <w:u w:val="none"/>
          <w14:textFill>
            <w14:solidFill>
              <w14:schemeClr w14:val="tx1"/>
            </w14:solidFill>
          </w14:textFill>
        </w:rPr>
        <w:t>GB 50014</w:t>
      </w:r>
      <w:bookmarkEnd w:id="144"/>
    </w:p>
    <w:p w14:paraId="1232DAC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《建筑给水排水设计</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》GB 50015</w:t>
      </w:r>
    </w:p>
    <w:p w14:paraId="3321E73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《建筑设计防火规范》GB 50016</w:t>
      </w:r>
    </w:p>
    <w:p w14:paraId="4E7926D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《钢结构设计标准》GB 50017</w:t>
      </w:r>
    </w:p>
    <w:p w14:paraId="31DCA707">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《岩土工程勘察规范》GB 50021</w:t>
      </w:r>
    </w:p>
    <w:p w14:paraId="46506207">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《工程测量标准》</w:t>
      </w:r>
      <w:r>
        <w:rPr>
          <w:rFonts w:ascii="Times New Roman" w:hAnsi="Times New Roman" w:cs="Times New Roman"/>
          <w:color w:val="000000" w:themeColor="text1"/>
          <w:highlight w:val="none"/>
          <w:u w:val="none"/>
          <w14:textFill>
            <w14:solidFill>
              <w14:schemeClr w14:val="tx1"/>
            </w14:solidFill>
          </w14:textFill>
        </w:rPr>
        <w:t>GB 50026</w:t>
      </w:r>
    </w:p>
    <w:p w14:paraId="2E5ED8B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hint="eastAsia" w:ascii="方正书宋简体" w:hAnsi="方正书宋简体" w:eastAsia="方正书宋简体" w:cs="方正书宋简体"/>
          <w:bCs/>
          <w:color w:val="000000" w:themeColor="text1"/>
          <w:highlight w:val="none"/>
          <w:u w:val="none"/>
          <w14:textFill>
            <w14:solidFill>
              <w14:schemeClr w14:val="tx1"/>
            </w14:solidFill>
          </w14:textFill>
        </w:rPr>
        <w:t>《建筑与市政工程防水通用规范》</w:t>
      </w:r>
      <w:r>
        <w:rPr>
          <w:rFonts w:ascii="Times New Roman" w:hAnsi="Times New Roman" w:eastAsia="方正书宋简体" w:cs="Times New Roman"/>
          <w:color w:val="000000" w:themeColor="text1"/>
          <w:highlight w:val="none"/>
          <w:u w:val="none"/>
          <w14:textFill>
            <w14:solidFill>
              <w14:schemeClr w14:val="tx1"/>
            </w14:solidFill>
          </w14:textFill>
        </w:rPr>
        <w:t>GB 55030</w:t>
      </w:r>
    </w:p>
    <w:p w14:paraId="749A66FC">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《纤维增强复合材料建设工程应用技术</w:t>
      </w:r>
      <w:r>
        <w:rPr>
          <w:rFonts w:hint="eastAsia" w:ascii="Times New Roman" w:hAnsi="Times New Roman" w:eastAsia="方正书宋简体" w:cs="Times New Roman"/>
          <w:bCs/>
          <w:color w:val="000000" w:themeColor="text1"/>
          <w:highlight w:val="none"/>
          <w:u w:val="none"/>
          <w14:textFill>
            <w14:solidFill>
              <w14:schemeClr w14:val="tx1"/>
            </w14:solidFill>
          </w14:textFill>
        </w:rPr>
        <w:t>标准</w:t>
      </w:r>
      <w:r>
        <w:rPr>
          <w:rFonts w:ascii="Times New Roman" w:hAnsi="Times New Roman" w:eastAsia="方正书宋简体" w:cs="Times New Roman"/>
          <w:bCs/>
          <w:color w:val="000000" w:themeColor="text1"/>
          <w:highlight w:val="none"/>
          <w:u w:val="none"/>
          <w14:textFill>
            <w14:solidFill>
              <w14:schemeClr w14:val="tx1"/>
            </w14:solidFill>
          </w14:textFill>
        </w:rPr>
        <w:t>》GB 50608</w:t>
      </w:r>
    </w:p>
    <w:p w14:paraId="55DC553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《建筑防火通用规范》</w:t>
      </w:r>
      <w:r>
        <w:rPr>
          <w:rFonts w:ascii="Times New Roman" w:hAnsi="Times New Roman" w:cs="Times New Roman"/>
          <w:color w:val="000000" w:themeColor="text1"/>
          <w:highlight w:val="none"/>
          <w:u w:val="none"/>
          <w14:textFill>
            <w14:solidFill>
              <w14:schemeClr w14:val="tx1"/>
            </w14:solidFill>
          </w14:textFill>
        </w:rPr>
        <w:t>GB</w:t>
      </w:r>
      <w:r>
        <w:rPr>
          <w:rFonts w:hint="eastAsia" w:ascii="Times New Roman" w:hAnsi="Times New Roman" w:cs="Times New Roman"/>
          <w:color w:val="000000" w:themeColor="text1"/>
          <w:highlight w:val="none"/>
          <w:u w:val="none"/>
          <w14:textFill>
            <w14:solidFill>
              <w14:schemeClr w14:val="tx1"/>
            </w14:solidFill>
          </w14:textFill>
        </w:rPr>
        <w:t xml:space="preserve"> </w:t>
      </w:r>
      <w:r>
        <w:rPr>
          <w:rFonts w:ascii="Times New Roman" w:hAnsi="Times New Roman" w:cs="Times New Roman"/>
          <w:color w:val="000000" w:themeColor="text1"/>
          <w:highlight w:val="none"/>
          <w:u w:val="none"/>
          <w14:textFill>
            <w14:solidFill>
              <w14:schemeClr w14:val="tx1"/>
            </w14:solidFill>
          </w14:textFill>
        </w:rPr>
        <w:t>55037</w:t>
      </w:r>
    </w:p>
    <w:p w14:paraId="5735AEC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《城镇燃气设计规范》GB 50028</w:t>
      </w:r>
    </w:p>
    <w:p w14:paraId="01DBBC5D">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《建筑照明设计标准》GB 50034</w:t>
      </w:r>
    </w:p>
    <w:p w14:paraId="2EDFD5C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《工业建筑防腐蚀设计规范》GB 50046</w:t>
      </w:r>
    </w:p>
    <w:p w14:paraId="59E988C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《供配电系统设计规范》GB 50052</w:t>
      </w:r>
    </w:p>
    <w:p w14:paraId="382E704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《20kV及以下变电所设计规范》GB 50053</w:t>
      </w:r>
    </w:p>
    <w:p w14:paraId="61A147E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《建筑物防雷设计规范》GB 50057</w:t>
      </w:r>
    </w:p>
    <w:p w14:paraId="277E4F29">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《爆炸</w:t>
      </w:r>
      <w:r>
        <w:rPr>
          <w:rFonts w:hint="eastAsia" w:ascii="Times New Roman" w:hAnsi="Times New Roman" w:eastAsia="方正书宋简体" w:cs="Times New Roman"/>
          <w:color w:val="000000" w:themeColor="text1"/>
          <w:highlight w:val="none"/>
          <w:u w:val="none"/>
          <w14:textFill>
            <w14:solidFill>
              <w14:schemeClr w14:val="tx1"/>
            </w14:solidFill>
          </w14:textFill>
        </w:rPr>
        <w:t>危险</w:t>
      </w:r>
      <w:r>
        <w:rPr>
          <w:rFonts w:ascii="Times New Roman" w:hAnsi="Times New Roman" w:eastAsia="方正书宋简体" w:cs="Times New Roman"/>
          <w:color w:val="000000" w:themeColor="text1"/>
          <w:highlight w:val="none"/>
          <w:u w:val="none"/>
          <w14:textFill>
            <w14:solidFill>
              <w14:schemeClr w14:val="tx1"/>
            </w14:solidFill>
          </w14:textFill>
        </w:rPr>
        <w:t>环境电力装置设计规范》GB 50058</w:t>
      </w:r>
    </w:p>
    <w:p w14:paraId="2064CF7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《自动化仪表工程施工及质量验收规范》</w:t>
      </w:r>
      <w:r>
        <w:rPr>
          <w:rFonts w:ascii="Times New Roman" w:hAnsi="Times New Roman" w:cs="Times New Roman"/>
          <w:color w:val="000000" w:themeColor="text1"/>
          <w:highlight w:val="none"/>
          <w:u w:val="none"/>
          <w14:textFill>
            <w14:solidFill>
              <w14:schemeClr w14:val="tx1"/>
            </w14:solidFill>
          </w14:textFill>
        </w:rPr>
        <w:t>GB 50093</w:t>
      </w:r>
    </w:p>
    <w:p w14:paraId="56C9FFE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p>
    <w:p w14:paraId="77999982">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《地下工程防水技术规范》GB 50108</w:t>
      </w:r>
    </w:p>
    <w:p w14:paraId="5C0D358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《火灾自动报警系统设计规范》GB 50116</w:t>
      </w:r>
    </w:p>
    <w:p w14:paraId="643F98FD">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《建筑灭火器配置设计规范》GB 50140</w:t>
      </w:r>
    </w:p>
    <w:p w14:paraId="0AE9444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《给水排水构筑物工程施工及验收规范》</w:t>
      </w:r>
      <w:r>
        <w:rPr>
          <w:rFonts w:ascii="Times New Roman" w:hAnsi="Times New Roman" w:cs="Times New Roman"/>
          <w:color w:val="000000" w:themeColor="text1"/>
          <w:highlight w:val="none"/>
          <w:u w:val="none"/>
          <w14:textFill>
            <w14:solidFill>
              <w14:schemeClr w14:val="tx1"/>
            </w14:solidFill>
          </w14:textFill>
        </w:rPr>
        <w:t>GB 50141</w:t>
      </w:r>
    </w:p>
    <w:p w14:paraId="11E4B7DB">
      <w:pPr>
        <w:overflowPunct w:val="0"/>
        <w:spacing w:line="348" w:lineRule="exact"/>
        <w:ind w:firstLine="422" w:firstLineChars="200"/>
        <w:rPr>
          <w:rFonts w:ascii="Times New Roman" w:hAnsi="Times New Roman" w:cs="Times New Roman"/>
          <w:color w:val="000000" w:themeColor="text1"/>
          <w:spacing w:val="6"/>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《电气装置安装工程电气设备交接试验标准》</w:t>
      </w:r>
      <w:r>
        <w:rPr>
          <w:rFonts w:ascii="Times New Roman" w:hAnsi="Times New Roman" w:cs="Times New Roman"/>
          <w:color w:val="000000" w:themeColor="text1"/>
          <w:spacing w:val="6"/>
          <w:highlight w:val="none"/>
          <w:u w:val="none"/>
          <w14:textFill>
            <w14:solidFill>
              <w14:schemeClr w14:val="tx1"/>
            </w14:solidFill>
          </w14:textFill>
        </w:rPr>
        <w:t>GB 50150</w:t>
      </w:r>
    </w:p>
    <w:p w14:paraId="5E577EA1">
      <w:pPr>
        <w:overflowPunct w:val="0"/>
        <w:spacing w:line="348" w:lineRule="exact"/>
        <w:ind w:firstLine="422" w:firstLineChars="200"/>
        <w:rPr>
          <w:rFonts w:ascii="Times New Roman" w:hAnsi="Times New Roman" w:cs="Times New Roman"/>
          <w:color w:val="000000" w:themeColor="text1"/>
          <w:spacing w:val="6"/>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《泡沫灭火系统</w:t>
      </w:r>
      <w:r>
        <w:rPr>
          <w:rFonts w:hint="eastAsia" w:ascii="Times New Roman" w:hAnsi="Times New Roman" w:eastAsia="方正书宋简体" w:cs="Times New Roman"/>
          <w:color w:val="000000" w:themeColor="text1"/>
          <w:highlight w:val="none"/>
          <w:u w:val="none"/>
          <w14:textFill>
            <w14:solidFill>
              <w14:schemeClr w14:val="tx1"/>
            </w14:solidFill>
          </w14:textFill>
        </w:rPr>
        <w:t>技术标准</w:t>
      </w:r>
      <w:r>
        <w:rPr>
          <w:rFonts w:ascii="Times New Roman" w:hAnsi="Times New Roman" w:eastAsia="方正书宋简体" w:cs="Times New Roman"/>
          <w:color w:val="000000" w:themeColor="text1"/>
          <w:highlight w:val="none"/>
          <w:u w:val="none"/>
          <w14:textFill>
            <w14:solidFill>
              <w14:schemeClr w14:val="tx1"/>
            </w14:solidFill>
          </w14:textFill>
        </w:rPr>
        <w:t>》GB 50</w:t>
      </w:r>
      <w:r>
        <w:rPr>
          <w:rFonts w:hint="eastAsia" w:ascii="Times New Roman" w:hAnsi="Times New Roman" w:eastAsia="方正书宋简体" w:cs="Times New Roman"/>
          <w:color w:val="000000" w:themeColor="text1"/>
          <w:highlight w:val="none"/>
          <w:u w:val="none"/>
          <w14:textFill>
            <w14:solidFill>
              <w14:schemeClr w14:val="tx1"/>
            </w14:solidFill>
          </w14:textFill>
        </w:rPr>
        <w:t>151</w:t>
      </w:r>
    </w:p>
    <w:p w14:paraId="5413E64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《火灾自动报警系统施工及验收</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》GB 50166</w:t>
      </w:r>
    </w:p>
    <w:p w14:paraId="0695F61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《电气装置安装工程 电缆线路施工及验收</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》GB 50168</w:t>
      </w:r>
    </w:p>
    <w:p w14:paraId="34A568E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《电气装置安装工程接地装置施工及验收规范》</w:t>
      </w:r>
      <w:r>
        <w:rPr>
          <w:rFonts w:hint="eastAsia" w:ascii="Times New Roman" w:hAnsi="Times New Roman" w:eastAsia="方正书宋简体" w:cs="Times New Roman"/>
          <w:color w:val="000000" w:themeColor="text1"/>
          <w:highlight w:val="none"/>
          <w:u w:val="none"/>
          <w14:textFill>
            <w14:solidFill>
              <w14:schemeClr w14:val="tx1"/>
            </w14:solidFill>
          </w14:textFill>
        </w:rPr>
        <w:t>GB 50169</w:t>
      </w:r>
    </w:p>
    <w:p w14:paraId="3D22A09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《数据中心设计规范》GB 50174</w:t>
      </w:r>
    </w:p>
    <w:p w14:paraId="065420A7">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《建筑地基基础工程施工质量验收标准》GB 50202</w:t>
      </w:r>
    </w:p>
    <w:p w14:paraId="3D4EC2F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《混凝土结构工程施工质量验收规范》GB 50204</w:t>
      </w:r>
    </w:p>
    <w:p w14:paraId="3812D0D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《地下防水工程质量验收规范》GB 50208</w:t>
      </w:r>
    </w:p>
    <w:p w14:paraId="76F061B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《电力工程电缆设计标准》GB 50217</w:t>
      </w:r>
    </w:p>
    <w:p w14:paraId="4050C9C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《水喷雾灭火系统技术规范》GB 50219</w:t>
      </w:r>
    </w:p>
    <w:p w14:paraId="602A84E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《现场设备、工业管道焊接工程施工规范》</w:t>
      </w:r>
      <w:r>
        <w:rPr>
          <w:rFonts w:ascii="Times New Roman" w:hAnsi="Times New Roman" w:cs="Times New Roman"/>
          <w:color w:val="000000" w:themeColor="text1"/>
          <w:highlight w:val="none"/>
          <w:u w:val="none"/>
          <w14:textFill>
            <w14:solidFill>
              <w14:schemeClr w14:val="tx1"/>
            </w14:solidFill>
          </w14:textFill>
        </w:rPr>
        <w:t>GB 50236</w:t>
      </w:r>
    </w:p>
    <w:p w14:paraId="7826048D">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《建筑给水排水及采暖工程施工质量验收规范》GB 50242</w:t>
      </w:r>
    </w:p>
    <w:p w14:paraId="74376DD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《通风与空调工程施工质量验收规范》GB 50243</w:t>
      </w:r>
    </w:p>
    <w:p w14:paraId="26EE684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《输气管道工程设计规范》GB 50251</w:t>
      </w:r>
    </w:p>
    <w:p w14:paraId="7D1FDC1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《电气装置安装工程爆炸和火灾危险环境电气装置施工及验收规范》</w:t>
      </w:r>
      <w:r>
        <w:rPr>
          <w:rFonts w:ascii="Times New Roman" w:hAnsi="Times New Roman" w:cs="Times New Roman"/>
          <w:color w:val="000000" w:themeColor="text1"/>
          <w:highlight w:val="none"/>
          <w:u w:val="none"/>
          <w14:textFill>
            <w14:solidFill>
              <w14:schemeClr w14:val="tx1"/>
            </w14:solidFill>
          </w14:textFill>
        </w:rPr>
        <w:t>GB 50257</w:t>
      </w:r>
    </w:p>
    <w:p w14:paraId="3343729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《自动喷水灭火系统施工及验收规范》GB 50261</w:t>
      </w:r>
    </w:p>
    <w:p w14:paraId="0C5FA07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《气体灭火系统施工及验收规范》GB 50263</w:t>
      </w:r>
    </w:p>
    <w:p w14:paraId="1269D8B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《工业设备及管道绝热工程设计规范》GB 50264</w:t>
      </w:r>
    </w:p>
    <w:p w14:paraId="775ACF8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《给水排水管道工程施工及验收规范》GB 50268</w:t>
      </w:r>
    </w:p>
    <w:p w14:paraId="57795D6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《风机、压缩机、泵安装工程施工及验收规范》GB 50275</w:t>
      </w:r>
    </w:p>
    <w:p w14:paraId="6E564C0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hint="eastAsia" w:ascii="方正书宋简体" w:hAnsi="方正书宋简体" w:eastAsia="方正书宋简体" w:cs="方正书宋简体"/>
          <w:color w:val="000000" w:themeColor="text1"/>
          <w:highlight w:val="none"/>
          <w:u w:val="none"/>
          <w14:textFill>
            <w14:solidFill>
              <w14:schemeClr w14:val="tx1"/>
            </w14:solidFill>
          </w14:textFill>
        </w:rPr>
        <w:t>《城市工程管线综合规划规范》</w:t>
      </w:r>
      <w:r>
        <w:rPr>
          <w:rFonts w:ascii="Times New Roman" w:hAnsi="Times New Roman" w:eastAsia="方正书宋简体" w:cs="Times New Roman"/>
          <w:color w:val="000000" w:themeColor="text1"/>
          <w:highlight w:val="none"/>
          <w:u w:val="none"/>
          <w14:textFill>
            <w14:solidFill>
              <w14:schemeClr w14:val="tx1"/>
            </w14:solidFill>
          </w14:textFill>
        </w:rPr>
        <w:t>GB 50289</w:t>
      </w:r>
    </w:p>
    <w:p w14:paraId="7B77A95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《地下铁道工程施工质量验收标准》GB/T 50299</w:t>
      </w:r>
    </w:p>
    <w:p w14:paraId="6A00022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《建筑工程施工质量验收统一标准》GB 50300</w:t>
      </w:r>
    </w:p>
    <w:p w14:paraId="3D9EF3C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《建筑电气工程施工质量验收规范》GB 50303</w:t>
      </w:r>
    </w:p>
    <w:p w14:paraId="3172A1C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《综合布线系统工程设计规范》GB 50311</w:t>
      </w:r>
    </w:p>
    <w:p w14:paraId="0A2B356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《给水排水工程管道结构设计规范》GB 50332</w:t>
      </w:r>
    </w:p>
    <w:p w14:paraId="07DBF72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《城镇污水再生利用工程设计规范》GB 50335</w:t>
      </w:r>
    </w:p>
    <w:p w14:paraId="2F645E5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《智能建筑工程质量验收规范》GB 50339</w:t>
      </w:r>
    </w:p>
    <w:p w14:paraId="2AED27B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《建筑物电子信息系统防雷技术规范》GB 50343</w:t>
      </w:r>
    </w:p>
    <w:p w14:paraId="4405DC0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《安全防范工程技术规范》GB 50348</w:t>
      </w:r>
    </w:p>
    <w:p w14:paraId="41ACF91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《入侵报警系统工程设计规范》GB 50394</w:t>
      </w:r>
    </w:p>
    <w:p w14:paraId="45C8325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《视频安防监控系统工程设计规范》GB 50395</w:t>
      </w:r>
    </w:p>
    <w:p w14:paraId="701B510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《出入口控制系统工程设计规范》GB 50396</w:t>
      </w:r>
    </w:p>
    <w:p w14:paraId="2567E22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《油气输送管道</w:t>
      </w:r>
      <w:r>
        <w:rPr>
          <w:rFonts w:hint="eastAsia" w:ascii="Times New Roman" w:hAnsi="Times New Roman" w:eastAsia="方正书宋简体" w:cs="Times New Roman"/>
          <w:color w:val="000000" w:themeColor="text1"/>
          <w:highlight w:val="none"/>
          <w:u w:val="none"/>
          <w14:textFill>
            <w14:solidFill>
              <w14:schemeClr w14:val="tx1"/>
            </w14:solidFill>
          </w14:textFill>
        </w:rPr>
        <w:t>穿越工程</w:t>
      </w:r>
      <w:r>
        <w:rPr>
          <w:rFonts w:ascii="Times New Roman" w:hAnsi="Times New Roman" w:eastAsia="方正书宋简体" w:cs="Times New Roman"/>
          <w:color w:val="000000" w:themeColor="text1"/>
          <w:highlight w:val="none"/>
          <w:u w:val="none"/>
          <w14:textFill>
            <w14:solidFill>
              <w14:schemeClr w14:val="tx1"/>
            </w14:solidFill>
          </w14:textFill>
        </w:rPr>
        <w:t>设计规范》GB 50423</w:t>
      </w:r>
    </w:p>
    <w:p w14:paraId="388299F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《建筑灭火器配置验收及检查规范》GB 50444</w:t>
      </w:r>
    </w:p>
    <w:p w14:paraId="192D428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《石油化工可燃气体和有毒气体检测报警设计规范》GB 50493</w:t>
      </w:r>
    </w:p>
    <w:p w14:paraId="576FEE33">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《建筑基坑工程监测技术规范》GB 50497</w:t>
      </w:r>
    </w:p>
    <w:p w14:paraId="5F9EB52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《建筑电气照明装置施工与验收规范》GB 50617</w:t>
      </w:r>
    </w:p>
    <w:p w14:paraId="2B2F53B9">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《混凝土结构工程施工规范》GB 50666</w:t>
      </w:r>
    </w:p>
    <w:p w14:paraId="162DB278">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《民用建筑供暖通风与空气调节设计规范》</w:t>
      </w:r>
      <w:r>
        <w:rPr>
          <w:rFonts w:ascii="Times New Roman" w:hAnsi="Times New Roman" w:cs="Times New Roman"/>
          <w:color w:val="000000" w:themeColor="text1"/>
          <w:highlight w:val="none"/>
          <w:u w:val="none"/>
          <w14:textFill>
            <w14:solidFill>
              <w14:schemeClr w14:val="tx1"/>
            </w14:solidFill>
          </w14:textFill>
        </w:rPr>
        <w:t>GB 50736</w:t>
      </w:r>
    </w:p>
    <w:p w14:paraId="094FCEF8">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《通风与空调工程施工规范》</w:t>
      </w:r>
      <w:r>
        <w:rPr>
          <w:rFonts w:ascii="Times New Roman" w:hAnsi="Times New Roman" w:cs="Times New Roman"/>
          <w:color w:val="000000" w:themeColor="text1"/>
          <w:highlight w:val="none"/>
          <w:u w:val="none"/>
          <w14:textFill>
            <w14:solidFill>
              <w14:schemeClr w14:val="tx1"/>
            </w14:solidFill>
          </w14:textFill>
        </w:rPr>
        <w:t>GB 50738</w:t>
      </w:r>
    </w:p>
    <w:p w14:paraId="71CB122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《防火卷帘、防火门、防火窗施工及验收规范》GB 50877</w:t>
      </w:r>
    </w:p>
    <w:p w14:paraId="55A0FE1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《细水雾灭火系统技术规范》GB 50898</w:t>
      </w:r>
    </w:p>
    <w:p w14:paraId="4C2BE56B">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《民用建筑电气设计</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w:t>
      </w:r>
      <w:r>
        <w:rPr>
          <w:rFonts w:hint="eastAsia" w:ascii="Times New Roman" w:hAnsi="Times New Roman" w:eastAsia="方正书宋简体" w:cs="Times New Roman"/>
          <w:color w:val="000000" w:themeColor="text1"/>
          <w:highlight w:val="none"/>
          <w:u w:val="none"/>
          <w14:textFill>
            <w14:solidFill>
              <w14:schemeClr w14:val="tx1"/>
            </w14:solidFill>
          </w14:textFill>
        </w:rPr>
        <w:t>GB</w:t>
      </w:r>
      <w:r>
        <w:rPr>
          <w:rFonts w:ascii="Times New Roman" w:hAnsi="Times New Roman" w:eastAsia="方正书宋简体" w:cs="Times New Roman"/>
          <w:color w:val="000000" w:themeColor="text1"/>
          <w:highlight w:val="none"/>
          <w:u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u w:val="none"/>
          <w14:textFill>
            <w14:solidFill>
              <w14:schemeClr w14:val="tx1"/>
            </w14:solidFill>
          </w14:textFill>
        </w:rPr>
        <w:t>51348</w:t>
      </w:r>
    </w:p>
    <w:p w14:paraId="5C35ABA0">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《燃气工程项目规范》</w:t>
      </w:r>
      <w:r>
        <w:rPr>
          <w:rFonts w:ascii="Times New Roman" w:hAnsi="Times New Roman" w:cs="Times New Roman"/>
          <w:color w:val="000000" w:themeColor="text1"/>
          <w:highlight w:val="none"/>
          <w:u w:val="none"/>
          <w14:textFill>
            <w14:solidFill>
              <w14:schemeClr w14:val="tx1"/>
            </w14:solidFill>
          </w14:textFill>
        </w:rPr>
        <w:t>GB</w:t>
      </w:r>
      <w:r>
        <w:rPr>
          <w:rFonts w:hint="eastAsia" w:ascii="Times New Roman" w:hAnsi="Times New Roman" w:cs="Times New Roman"/>
          <w:color w:val="000000" w:themeColor="text1"/>
          <w:highlight w:val="none"/>
          <w:u w:val="none"/>
          <w14:textFill>
            <w14:solidFill>
              <w14:schemeClr w14:val="tx1"/>
            </w14:solidFill>
          </w14:textFill>
        </w:rPr>
        <w:t xml:space="preserve"> </w:t>
      </w:r>
      <w:r>
        <w:rPr>
          <w:rFonts w:ascii="Times New Roman" w:hAnsi="Times New Roman" w:cs="Times New Roman"/>
          <w:color w:val="000000" w:themeColor="text1"/>
          <w:highlight w:val="none"/>
          <w:u w:val="none"/>
          <w14:textFill>
            <w14:solidFill>
              <w14:schemeClr w14:val="tx1"/>
            </w14:solidFill>
          </w14:textFill>
        </w:rPr>
        <w:t>55009</w:t>
      </w:r>
    </w:p>
    <w:p w14:paraId="600B3F4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《建筑通风和排烟系统用防火阀门》GB 15930</w:t>
      </w:r>
    </w:p>
    <w:p w14:paraId="4CBE39EB">
      <w:pPr>
        <w:overflowPunct w:val="0"/>
        <w:spacing w:line="348" w:lineRule="exact"/>
        <w:ind w:firstLine="422" w:firstLineChars="200"/>
        <w:rPr>
          <w:rFonts w:ascii="方正书宋简体" w:hAnsi="方正书宋简体" w:eastAsia="方正书宋简体" w:cs="方正书宋简体"/>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《线型感温火灾探测器》GB 16280</w:t>
      </w:r>
    </w:p>
    <w:p w14:paraId="5A9E1EB3">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hint="eastAsia" w:ascii="方正书宋简体" w:hAnsi="方正书宋简体" w:eastAsia="方正书宋简体" w:cs="方正书宋简体"/>
          <w:color w:val="000000" w:themeColor="text1"/>
          <w:highlight w:val="none"/>
          <w:u w:val="none"/>
          <w14:textFill>
            <w14:solidFill>
              <w14:schemeClr w14:val="tx1"/>
            </w14:solidFill>
          </w14:textFill>
        </w:rPr>
        <w:t>《安全标志及其使用导则》</w:t>
      </w:r>
      <w:r>
        <w:rPr>
          <w:rFonts w:ascii="Times New Roman" w:hAnsi="Times New Roman" w:eastAsia="方正书宋简体" w:cs="Times New Roman"/>
          <w:color w:val="000000" w:themeColor="text1"/>
          <w:highlight w:val="none"/>
          <w:u w:val="none"/>
          <w14:textFill>
            <w14:solidFill>
              <w14:schemeClr w14:val="tx1"/>
            </w14:solidFill>
          </w14:textFill>
        </w:rPr>
        <w:t>GB 2894</w:t>
      </w:r>
    </w:p>
    <w:p w14:paraId="430C58A7">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《碳素结构钢》GB/T 700</w:t>
      </w:r>
    </w:p>
    <w:p w14:paraId="7C13C59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《低合金高强度结构钢》GB/T 1591</w:t>
      </w:r>
    </w:p>
    <w:p w14:paraId="46D6079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《设备及管道绝热技术通则》GB/T 4272</w:t>
      </w:r>
    </w:p>
    <w:p w14:paraId="391F1F1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《预应力混凝土用钢绞线》GB/T 5224</w:t>
      </w:r>
    </w:p>
    <w:p w14:paraId="321686F8">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《设备及管道绝热设计导则》GB/T 8175</w:t>
      </w:r>
    </w:p>
    <w:p w14:paraId="5B74AE0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《预应力混凝土用螺纹钢筋》GB/T 20065</w:t>
      </w:r>
    </w:p>
    <w:p w14:paraId="61FB4159">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《结构工程用纤维增强复合材料筋》GB/T 26743</w:t>
      </w:r>
    </w:p>
    <w:p w14:paraId="5C80058D">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《高密度聚乙烯外护管硬质聚氨酯泡沫塑料预制直埋保温管及管件》</w:t>
      </w:r>
      <w:r>
        <w:rPr>
          <w:rFonts w:ascii="Times New Roman" w:hAnsi="Times New Roman" w:cs="Times New Roman"/>
          <w:color w:val="000000" w:themeColor="text1"/>
          <w:highlight w:val="none"/>
          <w:u w:val="none"/>
          <w14:textFill>
            <w14:solidFill>
              <w14:schemeClr w14:val="tx1"/>
            </w14:solidFill>
          </w14:textFill>
        </w:rPr>
        <w:t>GB/T 29047</w:t>
      </w:r>
    </w:p>
    <w:p w14:paraId="6B75A2D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《综合布线系统工程验收规范》GB/T 50312</w:t>
      </w:r>
    </w:p>
    <w:p w14:paraId="256F12C1">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《建设工程文件归档规范》</w:t>
      </w:r>
      <w:r>
        <w:rPr>
          <w:rFonts w:ascii="Times New Roman" w:hAnsi="Times New Roman" w:cs="Times New Roman"/>
          <w:color w:val="000000" w:themeColor="text1"/>
          <w:highlight w:val="none"/>
          <w:u w:val="none"/>
          <w14:textFill>
            <w14:solidFill>
              <w14:schemeClr w14:val="tx1"/>
            </w14:solidFill>
          </w14:textFill>
        </w:rPr>
        <w:t>GB</w:t>
      </w:r>
      <w:r>
        <w:rPr>
          <w:rFonts w:hint="eastAsia" w:cs="Times New Roman"/>
          <w:color w:val="000000" w:themeColor="text1"/>
          <w:highlight w:val="none"/>
          <w:u w:val="none"/>
          <w14:textFill>
            <w14:solidFill>
              <w14:schemeClr w14:val="tx1"/>
            </w14:solidFill>
          </w14:textFill>
        </w:rPr>
        <w:t>/</w:t>
      </w:r>
      <w:r>
        <w:rPr>
          <w:rFonts w:ascii="Times New Roman" w:hAnsi="Times New Roman" w:cs="Times New Roman"/>
          <w:color w:val="000000" w:themeColor="text1"/>
          <w:highlight w:val="none"/>
          <w:u w:val="none"/>
          <w14:textFill>
            <w14:solidFill>
              <w14:schemeClr w14:val="tx1"/>
            </w14:solidFill>
          </w14:textFill>
        </w:rPr>
        <w:t>T 50328</w:t>
      </w:r>
    </w:p>
    <w:p w14:paraId="40F0B444">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《混凝土结构耐久性设计规范》GB/T 50476</w:t>
      </w:r>
    </w:p>
    <w:p w14:paraId="7BF0ECD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《工业安装工程施工质量验收统一标准》GB/T 50252</w:t>
      </w:r>
    </w:p>
    <w:p w14:paraId="07394FFF">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《城镇燃气输配工程施工及验收</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w:t>
      </w:r>
      <w:r>
        <w:rPr>
          <w:rFonts w:hint="eastAsia" w:ascii="Times New Roman" w:hAnsi="Times New Roman" w:eastAsia="方正书宋简体" w:cs="Times New Roman"/>
          <w:color w:val="000000" w:themeColor="text1"/>
          <w:highlight w:val="none"/>
          <w:u w:val="none"/>
          <w14:textFill>
            <w14:solidFill>
              <w14:schemeClr w14:val="tx1"/>
            </w14:solidFill>
          </w14:textFill>
        </w:rPr>
        <w:t>GB/T 51455</w:t>
      </w:r>
    </w:p>
    <w:p w14:paraId="64873868">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《全球导航卫星系统（GNSS）测量规范》</w:t>
      </w:r>
      <w:r>
        <w:rPr>
          <w:rFonts w:ascii="Times New Roman" w:hAnsi="Times New Roman" w:cs="Times New Roman"/>
          <w:color w:val="000000" w:themeColor="text1"/>
          <w:highlight w:val="none"/>
          <w:u w:val="none"/>
          <w14:textFill>
            <w14:solidFill>
              <w14:schemeClr w14:val="tx1"/>
            </w14:solidFill>
          </w14:textFill>
        </w:rPr>
        <w:t>GB/T</w:t>
      </w:r>
      <w:r>
        <w:rPr>
          <w:rFonts w:hint="eastAsia" w:cs="Times New Roman"/>
          <w:color w:val="000000" w:themeColor="text1"/>
          <w:highlight w:val="none"/>
          <w:u w:val="none"/>
          <w14:textFill>
            <w14:solidFill>
              <w14:schemeClr w14:val="tx1"/>
            </w14:solidFill>
          </w14:textFill>
        </w:rPr>
        <w:t xml:space="preserve"> </w:t>
      </w:r>
      <w:r>
        <w:rPr>
          <w:rFonts w:ascii="Times New Roman" w:hAnsi="Times New Roman" w:cs="Times New Roman"/>
          <w:color w:val="000000" w:themeColor="text1"/>
          <w:highlight w:val="none"/>
          <w:u w:val="none"/>
          <w14:textFill>
            <w14:solidFill>
              <w14:schemeClr w14:val="tx1"/>
            </w14:solidFill>
          </w14:textFill>
        </w:rPr>
        <w:t>18314</w:t>
      </w:r>
    </w:p>
    <w:p w14:paraId="5AA92908">
      <w:pPr>
        <w:overflowPunct w:val="0"/>
        <w:spacing w:line="348" w:lineRule="exact"/>
        <w:ind w:firstLine="422" w:firstLineChars="200"/>
        <w:rPr>
          <w:rFonts w:ascii="方正书宋简体" w:hAnsi="方正书宋简体" w:eastAsia="方正书宋简体" w:cs="方正书宋简体"/>
          <w:bCs/>
          <w:color w:val="000000" w:themeColor="text1"/>
          <w:highlight w:val="none"/>
          <w:u w:val="none"/>
          <w14:textFill>
            <w14:solidFill>
              <w14:schemeClr w14:val="tx1"/>
            </w14:solidFill>
          </w14:textFill>
        </w:rPr>
      </w:pPr>
      <w:r>
        <w:rPr>
          <w:rFonts w:hint="eastAsia" w:ascii="方正书宋简体" w:hAnsi="方正书宋简体" w:eastAsia="方正书宋简体" w:cs="方正书宋简体"/>
          <w:color w:val="000000" w:themeColor="text1"/>
          <w:highlight w:val="none"/>
          <w:u w:val="none"/>
          <w14:textFill>
            <w14:solidFill>
              <w14:schemeClr w14:val="tx1"/>
            </w14:solidFill>
          </w14:textFill>
        </w:rPr>
        <w:t>《城市综合管廊工程技术标准》</w:t>
      </w:r>
      <w:r>
        <w:rPr>
          <w:rFonts w:ascii="Times New Roman" w:hAnsi="Times New Roman" w:eastAsia="方正书宋简体" w:cs="Times New Roman"/>
          <w:bCs/>
          <w:color w:val="000000" w:themeColor="text1"/>
          <w:highlight w:val="none"/>
          <w:u w:val="none"/>
          <w14:textFill>
            <w14:solidFill>
              <w14:schemeClr w14:val="tx1"/>
            </w14:solidFill>
          </w14:textFill>
        </w:rPr>
        <w:t>GB/T 50838</w:t>
      </w:r>
    </w:p>
    <w:p w14:paraId="3B0E8CB5">
      <w:pPr>
        <w:overflowPunct w:val="0"/>
        <w:spacing w:line="348" w:lineRule="exact"/>
        <w:ind w:firstLine="418"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spacing w:val="-1"/>
          <w:highlight w:val="none"/>
          <w:u w:val="none"/>
          <w14:textFill>
            <w14:solidFill>
              <w14:schemeClr w14:val="tx1"/>
            </w14:solidFill>
          </w14:textFill>
        </w:rPr>
        <w:t xml:space="preserve">《国家预拌混凝土标准》GB/T </w:t>
      </w:r>
      <w:r>
        <w:rPr>
          <w:rFonts w:ascii="Times New Roman" w:hAnsi="Times New Roman" w:eastAsia="方正书宋简体" w:cs="Times New Roman"/>
          <w:bCs/>
          <w:color w:val="000000" w:themeColor="text1"/>
          <w:highlight w:val="none"/>
          <w:u w:val="none"/>
          <w14:textFill>
            <w14:solidFill>
              <w14:schemeClr w14:val="tx1"/>
            </w14:solidFill>
          </w14:textFill>
        </w:rPr>
        <w:t>14902</w:t>
      </w:r>
    </w:p>
    <w:p w14:paraId="6063E755">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《密闭空间作业职业危害防护规范》</w:t>
      </w:r>
      <w:r>
        <w:rPr>
          <w:rFonts w:ascii="Times New Roman" w:hAnsi="Times New Roman" w:cs="Times New Roman"/>
          <w:color w:val="000000" w:themeColor="text1"/>
          <w:highlight w:val="none"/>
          <w:u w:val="none"/>
          <w14:textFill>
            <w14:solidFill>
              <w14:schemeClr w14:val="tx1"/>
            </w14:solidFill>
          </w14:textFill>
        </w:rPr>
        <w:t>GBZ/T 205</w:t>
      </w:r>
    </w:p>
    <w:p w14:paraId="4DC439F2">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《城镇供热管网工程施工及验收规范》CJJ 28</w:t>
      </w:r>
    </w:p>
    <w:p w14:paraId="68F0D178">
      <w:pPr>
        <w:overflowPunct w:val="0"/>
        <w:spacing w:line="348" w:lineRule="exact"/>
        <w:ind w:firstLine="422" w:firstLineChars="200"/>
        <w:rPr>
          <w:rFonts w:ascii="方正书宋简体" w:hAnsi="方正书宋简体" w:eastAsia="方正书宋简体" w:cs="方正书宋简体"/>
          <w:color w:val="000000" w:themeColor="text1"/>
          <w:highlight w:val="none"/>
          <w:u w:val="none"/>
          <w14:textFill>
            <w14:solidFill>
              <w14:schemeClr w14:val="tx1"/>
            </w14:solidFill>
          </w14:textFill>
        </w:rPr>
      </w:pPr>
      <w:r>
        <w:rPr>
          <w:rFonts w:hint="eastAsia" w:ascii="方正书宋简体" w:hAnsi="方正书宋简体" w:eastAsia="方正书宋简体" w:cs="方正书宋简体"/>
          <w:color w:val="000000" w:themeColor="text1"/>
          <w:highlight w:val="none"/>
          <w:u w:val="none"/>
          <w14:textFill>
            <w14:solidFill>
              <w14:schemeClr w14:val="tx1"/>
            </w14:solidFill>
          </w14:textFill>
        </w:rPr>
        <w:t>《市政工程勘察规范》</w:t>
      </w:r>
      <w:r>
        <w:rPr>
          <w:rFonts w:ascii="Times New Roman" w:hAnsi="Times New Roman" w:eastAsia="方正书宋简体" w:cs="Times New Roman"/>
          <w:color w:val="000000" w:themeColor="text1"/>
          <w:highlight w:val="none"/>
          <w:u w:val="none"/>
          <w14:textFill>
            <w14:solidFill>
              <w14:schemeClr w14:val="tx1"/>
            </w14:solidFill>
          </w14:textFill>
        </w:rPr>
        <w:t>CJJ 56</w:t>
      </w:r>
    </w:p>
    <w:p w14:paraId="4DC06C6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《城镇燃气埋地钢质管道腐蚀控制技术规范》CJJ 95</w:t>
      </w:r>
    </w:p>
    <w:p w14:paraId="05A717A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《城镇供热管网结构设计规范》CJJ 105</w:t>
      </w:r>
    </w:p>
    <w:p w14:paraId="46E4360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《城镇供热管网设计</w:t>
      </w:r>
      <w:r>
        <w:rPr>
          <w:rFonts w:hint="eastAsia" w:ascii="Times New Roman" w:hAnsi="Times New Roman" w:eastAsia="方正书宋简体" w:cs="Times New Roman"/>
          <w:color w:val="000000" w:themeColor="text1"/>
          <w:highlight w:val="none"/>
          <w:u w:val="none"/>
          <w14:textFill>
            <w14:solidFill>
              <w14:schemeClr w14:val="tx1"/>
            </w14:solidFill>
          </w14:textFill>
        </w:rPr>
        <w:t>标准</w:t>
      </w:r>
      <w:r>
        <w:rPr>
          <w:rFonts w:ascii="Times New Roman" w:hAnsi="Times New Roman" w:eastAsia="方正书宋简体" w:cs="Times New Roman"/>
          <w:color w:val="000000" w:themeColor="text1"/>
          <w:highlight w:val="none"/>
          <w:u w:val="none"/>
          <w14:textFill>
            <w14:solidFill>
              <w14:schemeClr w14:val="tx1"/>
            </w14:solidFill>
          </w14:textFill>
        </w:rPr>
        <w:t>》CJJ</w:t>
      </w:r>
      <w:r>
        <w:rPr>
          <w:rFonts w:hint="eastAsia" w:ascii="Times New Roman" w:hAnsi="Times New Roman" w:eastAsia="方正书宋简体" w:cs="Times New Roman"/>
          <w:color w:val="000000" w:themeColor="text1"/>
          <w:highlight w:val="none"/>
          <w:u w:val="none"/>
          <w14:textFill>
            <w14:solidFill>
              <w14:schemeClr w14:val="tx1"/>
            </w14:solidFill>
          </w14:textFill>
        </w:rPr>
        <w:t>/T</w:t>
      </w:r>
      <w:r>
        <w:rPr>
          <w:rFonts w:ascii="Times New Roman" w:hAnsi="Times New Roman" w:eastAsia="方正书宋简体" w:cs="Times New Roman"/>
          <w:color w:val="000000" w:themeColor="text1"/>
          <w:highlight w:val="none"/>
          <w:u w:val="none"/>
          <w14:textFill>
            <w14:solidFill>
              <w14:schemeClr w14:val="tx1"/>
            </w14:solidFill>
          </w14:textFill>
        </w:rPr>
        <w:t xml:space="preserve"> 34</w:t>
      </w:r>
    </w:p>
    <w:p w14:paraId="4AB992F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《城建档案业务管理规范》</w:t>
      </w:r>
      <w:r>
        <w:rPr>
          <w:rFonts w:ascii="Times New Roman" w:hAnsi="Times New Roman" w:cs="Times New Roman"/>
          <w:color w:val="000000" w:themeColor="text1"/>
          <w:highlight w:val="none"/>
          <w:u w:val="none"/>
          <w14:textFill>
            <w14:solidFill>
              <w14:schemeClr w14:val="tx1"/>
            </w14:solidFill>
          </w14:textFill>
        </w:rPr>
        <w:t>CJJ/T 158</w:t>
      </w:r>
    </w:p>
    <w:p w14:paraId="41441E0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《盾构隧道管片质量检测技术标准》</w:t>
      </w:r>
      <w:r>
        <w:rPr>
          <w:rFonts w:ascii="Times New Roman" w:hAnsi="Times New Roman" w:cs="Times New Roman"/>
          <w:color w:val="000000" w:themeColor="text1"/>
          <w:highlight w:val="none"/>
          <w:u w:val="none"/>
          <w14:textFill>
            <w14:solidFill>
              <w14:schemeClr w14:val="tx1"/>
            </w14:solidFill>
          </w14:textFill>
        </w:rPr>
        <w:t>CJJ/T 164</w:t>
      </w:r>
    </w:p>
    <w:p w14:paraId="661AA573">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《湿陷性黄土场地勘察及地基处理技术标准》</w:t>
      </w:r>
      <w:r>
        <w:rPr>
          <w:rFonts w:ascii="Times New Roman" w:hAnsi="Times New Roman" w:cs="Times New Roman"/>
          <w:color w:val="000000" w:themeColor="text1"/>
          <w:highlight w:val="none"/>
          <w:u w:val="none"/>
          <w14:textFill>
            <w14:solidFill>
              <w14:schemeClr w14:val="tx1"/>
            </w14:solidFill>
          </w14:textFill>
        </w:rPr>
        <w:t>DBJ04/T 312</w:t>
      </w:r>
    </w:p>
    <w:p w14:paraId="435F658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《建筑基坑工程技术规范》DBJ04/T 306</w:t>
      </w:r>
    </w:p>
    <w:p w14:paraId="46A9300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sectPr>
          <w:pgSz w:w="7937" w:h="11509"/>
          <w:pgMar w:top="1020" w:right="907" w:bottom="1020" w:left="907" w:header="737" w:footer="737" w:gutter="0"/>
          <w:pgNumType w:fmt="decimal"/>
          <w:cols w:space="0" w:num="1"/>
          <w:docGrid w:type="linesAndChars" w:linePitch="312" w:charSpace="233"/>
        </w:sectPr>
      </w:pPr>
    </w:p>
    <w:p w14:paraId="08B42789">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《电力电缆隧道设计规程》 DL/T 5484</w:t>
      </w:r>
    </w:p>
    <w:p w14:paraId="166F7E71">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《电气装置安装工程 接地装置施工及验收规范》</w:t>
      </w:r>
      <w:r>
        <w:rPr>
          <w:rFonts w:hint="eastAsia" w:ascii="Times New Roman" w:hAnsi="Times New Roman" w:eastAsia="方正书宋简体" w:cs="Times New Roman"/>
          <w:color w:val="000000" w:themeColor="text1"/>
          <w:highlight w:val="none"/>
          <w:u w:val="none"/>
          <w14:textFill>
            <w14:solidFill>
              <w14:schemeClr w14:val="tx1"/>
            </w14:solidFill>
          </w14:textFill>
        </w:rPr>
        <w:t>DL/T5852</w:t>
      </w:r>
    </w:p>
    <w:p w14:paraId="15743B2D">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《阻燃及耐火电缆》GA 306</w:t>
      </w:r>
    </w:p>
    <w:p w14:paraId="5C711A14">
      <w:pPr>
        <w:overflowPunct w:val="0"/>
        <w:spacing w:line="348" w:lineRule="exact"/>
        <w:ind w:firstLine="422" w:firstLineChars="200"/>
        <w:rPr>
          <w:rFonts w:ascii="Times New Roman" w:hAnsi="Times New Roman" w:eastAsia="方正书宋简体" w:cs="Times New Roman"/>
          <w:bCs/>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《装配式混凝土结构技术规程》JGJ 1</w:t>
      </w:r>
    </w:p>
    <w:p w14:paraId="679CB26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《钢筋焊接及验收规程》JGJ 18</w:t>
      </w:r>
    </w:p>
    <w:p w14:paraId="4637F6F2">
      <w:pPr>
        <w:overflowPunct w:val="0"/>
        <w:spacing w:line="348" w:lineRule="exact"/>
        <w:ind w:firstLine="422" w:firstLineChars="200"/>
        <w:rPr>
          <w:rFonts w:ascii="Times New Roman" w:hAnsi="Times New Roman"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《普通混凝土用砂、石质量及检验方法标准》JGJ 52</w:t>
      </w:r>
    </w:p>
    <w:p w14:paraId="6632E6C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Cs/>
          <w:color w:val="000000" w:themeColor="text1"/>
          <w:highlight w:val="none"/>
          <w:u w:val="none"/>
          <w14:textFill>
            <w14:solidFill>
              <w14:schemeClr w14:val="tx1"/>
            </w14:solidFill>
          </w14:textFill>
        </w:rPr>
        <w:t xml:space="preserve">《混凝土用水标准》JGJ </w:t>
      </w:r>
      <w:r>
        <w:rPr>
          <w:rFonts w:ascii="Times New Roman" w:hAnsi="Times New Roman" w:eastAsia="方正书宋简体" w:cs="Times New Roman"/>
          <w:bCs/>
          <w:color w:val="000000" w:themeColor="text1"/>
          <w:spacing w:val="-2"/>
          <w:highlight w:val="none"/>
          <w:u w:val="none"/>
          <w14:textFill>
            <w14:solidFill>
              <w14:schemeClr w14:val="tx1"/>
            </w14:solidFill>
          </w14:textFill>
        </w:rPr>
        <w:t>63</w:t>
      </w:r>
    </w:p>
    <w:p w14:paraId="306766E8">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《建筑地基处理技术规范》JGJ 79</w:t>
      </w:r>
    </w:p>
    <w:p w14:paraId="569AB39B">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《建筑基坑支护技术规程》JGJ 120</w:t>
      </w:r>
    </w:p>
    <w:p w14:paraId="09E53AB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《湿陷性黄土地区建筑基坑工程安全技术规程》JGJ 167</w:t>
      </w:r>
    </w:p>
    <w:p w14:paraId="635C790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《建筑施工土石方工程安全技术规范》JGJ 180</w:t>
      </w:r>
    </w:p>
    <w:p w14:paraId="26926B7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《建筑深基坑工程施工安全技术规范》JGJ 311</w:t>
      </w:r>
    </w:p>
    <w:p w14:paraId="4197A39F">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《承压设备无损检测 第2部分：射线检测》NB/T 47013.2</w:t>
      </w:r>
    </w:p>
    <w:p w14:paraId="2E22AB5C">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《钢质管道熔结环氧粉末外涂层技术标准》SY/T 0315</w:t>
      </w:r>
    </w:p>
    <w:p w14:paraId="72B2AD15">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《涂装前钢材表面预处理规范》SY/T 0407</w:t>
      </w:r>
    </w:p>
    <w:p w14:paraId="655B6AEE">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《钢质管道聚乙烯防腐层技术标准》SY/T 0413</w:t>
      </w:r>
    </w:p>
    <w:p w14:paraId="063521AA">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《通信线路工程设计规范》YD 5102</w:t>
      </w:r>
    </w:p>
    <w:p w14:paraId="20D87F5D">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《通信线路工程验收规范》YD 5121</w:t>
      </w:r>
    </w:p>
    <w:p w14:paraId="388680A6">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《光缆进线室设计规定》YD/T 5151</w:t>
      </w:r>
    </w:p>
    <w:p w14:paraId="2B31CB00">
      <w:pPr>
        <w:overflowPunct w:val="0"/>
        <w:spacing w:line="348" w:lineRule="exact"/>
        <w:ind w:firstLine="422" w:firstLineChars="20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t>《光缆进线室验收规定》YD/T 5152</w:t>
      </w:r>
    </w:p>
    <w:p w14:paraId="18DC4CB1">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5299E1B2">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43A2CFCD">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p w14:paraId="4A7A3407">
      <w:pPr>
        <w:pStyle w:val="3"/>
        <w:tabs>
          <w:tab w:val="right" w:leader="dot" w:pos="8310"/>
        </w:tabs>
        <w:adjustRightInd w:val="0"/>
        <w:snapToGrid w:val="0"/>
        <w:spacing w:line="20" w:lineRule="exact"/>
        <w:jc w:val="center"/>
        <w:rPr>
          <w:rFonts w:ascii="Times New Roman" w:hAnsi="Times New Roman" w:eastAsia="方正书宋简体" w:cs="Times New Roman"/>
          <w:b/>
          <w:color w:val="000000" w:themeColor="text1"/>
          <w:szCs w:val="21"/>
          <w:highlight w:val="none"/>
          <w:lang w:val="zh-CN"/>
          <w14:textFill>
            <w14:solidFill>
              <w14:schemeClr w14:val="tx1"/>
            </w14:solidFill>
          </w14:textFill>
        </w:rPr>
        <w:sectPr>
          <w:footerReference r:id="rId15" w:type="default"/>
          <w:pgSz w:w="7937" w:h="11509"/>
          <w:pgMar w:top="1020" w:right="907" w:bottom="1020" w:left="907" w:header="737" w:footer="737" w:gutter="0"/>
          <w:pgNumType w:fmt="decimal" w:start="116"/>
          <w:cols w:space="0" w:num="1"/>
          <w:docGrid w:type="linesAndChars" w:linePitch="312" w:charSpace="233"/>
        </w:sectPr>
      </w:pPr>
    </w:p>
    <w:p w14:paraId="2D3CD06C">
      <w:pPr>
        <w:rPr>
          <w:rFonts w:ascii="Times New Roman" w:hAnsi="Times New Roman" w:cs="Times New Roman"/>
          <w:color w:val="000000" w:themeColor="text1"/>
          <w:highlight w:val="none"/>
          <w:lang w:val="zh-CN"/>
          <w14:textFill>
            <w14:solidFill>
              <w14:schemeClr w14:val="tx1"/>
            </w14:solidFill>
          </w14:textFill>
        </w:rPr>
      </w:pPr>
    </w:p>
    <w:p w14:paraId="7F496CB2">
      <w:pPr>
        <w:spacing w:line="20" w:lineRule="exact"/>
        <w:jc w:val="center"/>
        <w:rPr>
          <w:rFonts w:ascii="Times New Roman" w:hAnsi="Times New Roman" w:eastAsia="方正书宋简体" w:cs="Times New Roman"/>
          <w:color w:val="000000" w:themeColor="text1"/>
          <w:sz w:val="28"/>
          <w:szCs w:val="28"/>
          <w:highlight w:val="none"/>
          <w14:textFill>
            <w14:solidFill>
              <w14:schemeClr w14:val="tx1"/>
            </w14:solidFill>
          </w14:textFill>
        </w:rPr>
      </w:pPr>
    </w:p>
    <w:p w14:paraId="3EDBD696">
      <w:pPr>
        <w:spacing w:before="842" w:beforeLines="270"/>
        <w:jc w:val="center"/>
        <w:rPr>
          <w:rFonts w:ascii="Times New Roman" w:hAnsi="Times New Roman" w:eastAsia="方正书宋简体" w:cs="Times New Roman"/>
          <w:color w:val="000000" w:themeColor="text1"/>
          <w:sz w:val="28"/>
          <w:szCs w:val="28"/>
          <w:highlight w:val="none"/>
          <w14:textFill>
            <w14:solidFill>
              <w14:schemeClr w14:val="tx1"/>
            </w14:solidFill>
          </w14:textFill>
        </w:rPr>
      </w:pPr>
      <w:r>
        <w:rPr>
          <w:rFonts w:ascii="Times New Roman" w:hAnsi="Times New Roman" w:eastAsia="方正书宋简体" w:cs="Times New Roman"/>
          <w:color w:val="000000" w:themeColor="text1"/>
          <w:sz w:val="28"/>
          <w:szCs w:val="28"/>
          <w:highlight w:val="none"/>
          <w14:textFill>
            <w14:solidFill>
              <w14:schemeClr w14:val="tx1"/>
            </w14:solidFill>
          </w14:textFill>
        </w:rPr>
        <w:t>山西省工程建设地方标准</w:t>
      </w:r>
    </w:p>
    <w:p w14:paraId="12C3FDF4">
      <w:pPr>
        <w:spacing w:before="312" w:beforeLines="100" w:line="500" w:lineRule="exact"/>
        <w:jc w:val="center"/>
        <w:rPr>
          <w:rFonts w:ascii="Times New Roman" w:hAnsi="Times New Roman" w:eastAsia="方正黑体简体" w:cs="Times New Roman"/>
          <w:color w:val="000000" w:themeColor="text1"/>
          <w:sz w:val="36"/>
          <w:szCs w:val="36"/>
          <w:highlight w:val="none"/>
          <w14:textFill>
            <w14:solidFill>
              <w14:schemeClr w14:val="tx1"/>
            </w14:solidFill>
          </w14:textFill>
        </w:rPr>
      </w:pPr>
      <w:r>
        <w:rPr>
          <w:rFonts w:ascii="Times New Roman" w:hAnsi="Times New Roman" w:eastAsia="方正黑体简体" w:cs="Times New Roman"/>
          <w:color w:val="000000" w:themeColor="text1"/>
          <w:sz w:val="36"/>
          <w:szCs w:val="36"/>
          <w:highlight w:val="none"/>
          <w14:textFill>
            <w14:solidFill>
              <w14:schemeClr w14:val="tx1"/>
            </w14:solidFill>
          </w14:textFill>
        </w:rPr>
        <w:t>城市综合管廊工程技术标准</w:t>
      </w:r>
    </w:p>
    <w:p w14:paraId="03F23BBB">
      <w:pPr>
        <w:spacing w:before="312" w:beforeLines="100"/>
        <w:jc w:val="center"/>
        <w:rPr>
          <w:rFonts w:ascii="Times New Roman" w:hAnsi="Times New Roman" w:eastAsia="方正黑体简体" w:cs="Times New Roman"/>
          <w:b/>
          <w:bCs/>
          <w:color w:val="000000" w:themeColor="text1"/>
          <w:kern w:val="0"/>
          <w:sz w:val="28"/>
          <w:szCs w:val="28"/>
          <w:highlight w:val="none"/>
          <w14:textFill>
            <w14:solidFill>
              <w14:schemeClr w14:val="tx1"/>
            </w14:solidFill>
          </w14:textFill>
        </w:rPr>
      </w:pPr>
      <w:r>
        <w:rPr>
          <w:rFonts w:ascii="Times New Roman" w:hAnsi="Times New Roman" w:eastAsia="方正黑体简体" w:cs="Times New Roman"/>
          <w:b/>
          <w:bCs/>
          <w:color w:val="000000" w:themeColor="text1"/>
          <w:kern w:val="0"/>
          <w:sz w:val="28"/>
          <w:szCs w:val="28"/>
          <w:highlight w:val="none"/>
          <w14:textFill>
            <w14:solidFill>
              <w14:schemeClr w14:val="tx1"/>
            </w14:solidFill>
          </w14:textFill>
        </w:rPr>
        <w:t>DBJ04/T</w:t>
      </w:r>
      <w:r>
        <w:rPr>
          <w:rFonts w:hint="eastAsia" w:ascii="Times New Roman" w:hAnsi="Times New Roman" w:eastAsia="方正黑体简体" w:cs="Times New Roman"/>
          <w:b/>
          <w:bCs/>
          <w:color w:val="000000" w:themeColor="text1"/>
          <w:kern w:val="0"/>
          <w:sz w:val="28"/>
          <w:szCs w:val="28"/>
          <w:highlight w:val="none"/>
          <w14:textFill>
            <w14:solidFill>
              <w14:schemeClr w14:val="tx1"/>
            </w14:solidFill>
          </w14:textFill>
        </w:rPr>
        <w:t xml:space="preserve">    </w:t>
      </w:r>
      <w:r>
        <w:rPr>
          <w:rFonts w:ascii="Times New Roman" w:hAnsi="Times New Roman" w:eastAsia="方正黑体简体" w:cs="Times New Roman"/>
          <w:color w:val="000000" w:themeColor="text1"/>
          <w:kern w:val="0"/>
          <w:sz w:val="28"/>
          <w:szCs w:val="28"/>
          <w:highlight w:val="none"/>
          <w14:textFill>
            <w14:solidFill>
              <w14:schemeClr w14:val="tx1"/>
            </w14:solidFill>
          </w14:textFill>
        </w:rPr>
        <w:t>—</w:t>
      </w:r>
      <w:r>
        <w:rPr>
          <w:rFonts w:ascii="Times New Roman" w:hAnsi="Times New Roman" w:eastAsia="方正黑体简体" w:cs="Times New Roman"/>
          <w:b/>
          <w:bCs/>
          <w:color w:val="000000" w:themeColor="text1"/>
          <w:kern w:val="0"/>
          <w:sz w:val="28"/>
          <w:szCs w:val="28"/>
          <w:highlight w:val="none"/>
          <w14:textFill>
            <w14:solidFill>
              <w14:schemeClr w14:val="tx1"/>
            </w14:solidFill>
          </w14:textFill>
        </w:rPr>
        <w:t>20</w:t>
      </w:r>
      <w:r>
        <w:rPr>
          <w:rFonts w:hint="eastAsia" w:ascii="Times New Roman" w:hAnsi="Times New Roman" w:eastAsia="方正黑体简体" w:cs="Times New Roman"/>
          <w:b/>
          <w:bCs/>
          <w:color w:val="000000" w:themeColor="text1"/>
          <w:kern w:val="0"/>
          <w:sz w:val="28"/>
          <w:szCs w:val="28"/>
          <w:highlight w:val="none"/>
          <w14:textFill>
            <w14:solidFill>
              <w14:schemeClr w14:val="tx1"/>
            </w14:solidFill>
          </w14:textFill>
        </w:rPr>
        <w:t>25</w:t>
      </w:r>
    </w:p>
    <w:p w14:paraId="7EEA3059">
      <w:pPr>
        <w:spacing w:before="31"/>
        <w:jc w:val="center"/>
        <w:rPr>
          <w:rFonts w:ascii="Times New Roman" w:hAnsi="Times New Roman" w:eastAsia="方正书宋简体" w:cs="Times New Roman"/>
          <w:color w:val="000000" w:themeColor="text1"/>
          <w:sz w:val="32"/>
          <w:szCs w:val="32"/>
          <w:highlight w:val="none"/>
          <w14:textFill>
            <w14:solidFill>
              <w14:schemeClr w14:val="tx1"/>
            </w14:solidFill>
          </w14:textFill>
        </w:rPr>
      </w:pPr>
      <w:r>
        <w:rPr>
          <w:rFonts w:ascii="Times New Roman" w:hAnsi="Times New Roman" w:eastAsia="方正书宋简体" w:cs="Times New Roman"/>
          <w:color w:val="000000" w:themeColor="text1"/>
          <w:sz w:val="32"/>
          <w:szCs w:val="32"/>
          <w:highlight w:val="none"/>
          <w14:textFill>
            <w14:solidFill>
              <w14:schemeClr w14:val="tx1"/>
            </w14:solidFill>
          </w14:textFill>
        </w:rPr>
        <w:t>条 文 说 明</w:t>
      </w:r>
    </w:p>
    <w:p w14:paraId="794DC81B">
      <w:pPr>
        <w:pStyle w:val="10"/>
        <w:rPr>
          <w:color w:val="000000" w:themeColor="text1"/>
          <w:highlight w:val="none"/>
          <w14:textFill>
            <w14:solidFill>
              <w14:schemeClr w14:val="tx1"/>
            </w14:solidFill>
          </w14:textFill>
        </w:rPr>
      </w:pPr>
    </w:p>
    <w:p w14:paraId="3802A4BA">
      <w:pPr>
        <w:pStyle w:val="10"/>
        <w:rPr>
          <w:color w:val="000000" w:themeColor="text1"/>
          <w:highlight w:val="none"/>
          <w14:textFill>
            <w14:solidFill>
              <w14:schemeClr w14:val="tx1"/>
            </w14:solidFill>
          </w14:textFill>
        </w:rPr>
      </w:pPr>
    </w:p>
    <w:p w14:paraId="58764338">
      <w:pPr>
        <w:pStyle w:val="10"/>
        <w:rPr>
          <w:color w:val="000000" w:themeColor="text1"/>
          <w:highlight w:val="none"/>
          <w14:textFill>
            <w14:solidFill>
              <w14:schemeClr w14:val="tx1"/>
            </w14:solidFill>
          </w14:textFill>
        </w:rPr>
      </w:pPr>
    </w:p>
    <w:p w14:paraId="4BFD9867">
      <w:pPr>
        <w:pStyle w:val="10"/>
        <w:rPr>
          <w:color w:val="000000" w:themeColor="text1"/>
          <w:highlight w:val="none"/>
          <w14:textFill>
            <w14:solidFill>
              <w14:schemeClr w14:val="tx1"/>
            </w14:solidFill>
          </w14:textFill>
        </w:rPr>
      </w:pPr>
    </w:p>
    <w:p w14:paraId="5ACC982F">
      <w:pPr>
        <w:overflowPunct w:val="0"/>
        <w:spacing w:line="348" w:lineRule="exact"/>
        <w:jc w:val="center"/>
        <w:rPr>
          <w:rFonts w:ascii="Times New Roman" w:hAnsi="Times New Roman" w:eastAsia="方正书宋简体" w:cs="Times New Roman"/>
          <w:b/>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2D41B388">
      <w:pPr>
        <w:pStyle w:val="3"/>
        <w:tabs>
          <w:tab w:val="right" w:leader="dot" w:pos="8310"/>
        </w:tabs>
        <w:adjustRightInd w:val="0"/>
        <w:snapToGrid w:val="0"/>
        <w:spacing w:before="156" w:beforeLines="50" w:after="312" w:afterLines="100" w:line="600" w:lineRule="exact"/>
        <w:jc w:val="center"/>
        <w:rPr>
          <w:rFonts w:ascii="Times New Roman" w:hAnsi="Times New Roman" w:eastAsia="方正黑体简体" w:cs="Times New Roman"/>
          <w:bCs w:val="0"/>
          <w:caps/>
          <w:color w:val="000000"/>
          <w:kern w:val="0"/>
          <w:sz w:val="28"/>
          <w:szCs w:val="28"/>
          <w:highlight w:val="none"/>
          <w:lang w:val="zh-CN"/>
        </w:rPr>
      </w:pPr>
      <w:r>
        <w:rPr>
          <w:rFonts w:hint="eastAsia" w:ascii="Times New Roman" w:hAnsi="Times New Roman" w:eastAsia="方正黑体简体" w:cs="Times New Roman"/>
          <w:bCs w:val="0"/>
          <w:caps/>
          <w:color w:val="000000"/>
          <w:kern w:val="0"/>
          <w:sz w:val="28"/>
          <w:szCs w:val="28"/>
          <w:highlight w:val="none"/>
        </w:rPr>
        <w:t>修</w:t>
      </w:r>
      <w:r>
        <w:rPr>
          <w:rFonts w:ascii="Times New Roman" w:hAnsi="Times New Roman" w:eastAsia="方正黑体简体" w:cs="Times New Roman"/>
          <w:bCs w:val="0"/>
          <w:caps/>
          <w:color w:val="000000"/>
          <w:kern w:val="0"/>
          <w:sz w:val="28"/>
          <w:szCs w:val="28"/>
          <w:highlight w:val="none"/>
          <w:lang w:val="zh-CN"/>
        </w:rPr>
        <w:t xml:space="preserve"> </w:t>
      </w:r>
      <w:r>
        <w:rPr>
          <w:rFonts w:hint="eastAsia" w:ascii="Times New Roman" w:hAnsi="Times New Roman" w:eastAsia="方正黑体简体" w:cs="Times New Roman"/>
          <w:bCs w:val="0"/>
          <w:caps/>
          <w:color w:val="000000"/>
          <w:kern w:val="0"/>
          <w:sz w:val="28"/>
          <w:szCs w:val="28"/>
          <w:highlight w:val="none"/>
          <w:lang w:val="zh-CN"/>
        </w:rPr>
        <w:t>订</w:t>
      </w:r>
      <w:r>
        <w:rPr>
          <w:rFonts w:ascii="Times New Roman" w:hAnsi="Times New Roman" w:eastAsia="方正黑体简体" w:cs="Times New Roman"/>
          <w:bCs w:val="0"/>
          <w:caps/>
          <w:color w:val="000000"/>
          <w:kern w:val="0"/>
          <w:sz w:val="28"/>
          <w:szCs w:val="28"/>
          <w:highlight w:val="none"/>
          <w:lang w:val="zh-CN"/>
        </w:rPr>
        <w:t xml:space="preserve"> 说 明</w:t>
      </w:r>
    </w:p>
    <w:p w14:paraId="5A1C510D">
      <w:pPr>
        <w:overflowPunct w:val="0"/>
        <w:adjustRightInd w:val="0"/>
        <w:snapToGrid w:val="0"/>
        <w:spacing w:line="348" w:lineRule="exact"/>
        <w:ind w:firstLine="422" w:firstLineChars="200"/>
        <w:rPr>
          <w:rFonts w:ascii="Times New Roman" w:hAnsi="Times New Roman" w:eastAsia="方正书宋简体" w:cs="Times New Roman"/>
          <w:bCs/>
          <w:color w:val="000000"/>
          <w:highlight w:val="none"/>
        </w:rPr>
      </w:pPr>
      <w:r>
        <w:rPr>
          <w:rFonts w:ascii="Times New Roman" w:hAnsi="Times New Roman" w:eastAsia="方正书宋简体" w:cs="Times New Roman"/>
          <w:bCs/>
          <w:color w:val="000000"/>
          <w:highlight w:val="none"/>
        </w:rPr>
        <w:t>《</w:t>
      </w:r>
      <w:r>
        <w:rPr>
          <w:rFonts w:hint="eastAsia" w:ascii="Times New Roman" w:hAnsi="Times New Roman" w:eastAsia="方正书宋简体" w:cs="Times New Roman"/>
          <w:bCs/>
          <w:color w:val="000000"/>
          <w:highlight w:val="none"/>
        </w:rPr>
        <w:t>城市综合管廊工程技术标准》</w:t>
      </w:r>
      <w:r>
        <w:rPr>
          <w:rFonts w:ascii="Times New Roman" w:hAnsi="Times New Roman" w:eastAsia="方正书宋简体" w:cs="Times New Roman"/>
          <w:bCs/>
          <w:color w:val="000000"/>
          <w:highlight w:val="none"/>
        </w:rPr>
        <w:t>DBJ04/T</w:t>
      </w:r>
      <w:r>
        <w:rPr>
          <w:rFonts w:hint="eastAsia" w:ascii="Times New Roman" w:hAnsi="Times New Roman" w:eastAsia="方正书宋简体" w:cs="Times New Roman"/>
          <w:bCs/>
          <w:color w:val="000000"/>
          <w:highlight w:val="none"/>
        </w:rPr>
        <w:t xml:space="preserve">   —</w:t>
      </w:r>
      <w:r>
        <w:rPr>
          <w:rFonts w:ascii="Times New Roman" w:hAnsi="Times New Roman" w:eastAsia="方正书宋简体" w:cs="Times New Roman"/>
          <w:bCs/>
          <w:color w:val="000000"/>
          <w:highlight w:val="none"/>
        </w:rPr>
        <w:t>2025经山西省住房和城乡建设厅</w:t>
      </w:r>
      <w:r>
        <w:rPr>
          <w:rFonts w:hint="eastAsia" w:ascii="Times New Roman" w:hAnsi="Times New Roman" w:eastAsia="方正书宋简体" w:cs="Times New Roman"/>
          <w:bCs/>
          <w:color w:val="000000"/>
          <w:highlight w:val="none"/>
        </w:rPr>
        <w:t xml:space="preserve">   </w:t>
      </w:r>
      <w:r>
        <w:rPr>
          <w:rFonts w:ascii="Times New Roman" w:hAnsi="Times New Roman" w:eastAsia="方正书宋简体" w:cs="Times New Roman"/>
          <w:bCs/>
          <w:color w:val="000000"/>
          <w:highlight w:val="none"/>
        </w:rPr>
        <w:t>年</w:t>
      </w:r>
      <w:r>
        <w:rPr>
          <w:rFonts w:hint="eastAsia" w:ascii="Times New Roman" w:hAnsi="Times New Roman" w:eastAsia="方正书宋简体" w:cs="Times New Roman"/>
          <w:bCs/>
          <w:color w:val="000000"/>
          <w:highlight w:val="none"/>
        </w:rPr>
        <w:t xml:space="preserve">  </w:t>
      </w:r>
      <w:r>
        <w:rPr>
          <w:rFonts w:ascii="Times New Roman" w:hAnsi="Times New Roman" w:eastAsia="方正书宋简体" w:cs="Times New Roman"/>
          <w:bCs/>
          <w:color w:val="000000"/>
          <w:highlight w:val="none"/>
        </w:rPr>
        <w:t>月</w:t>
      </w:r>
      <w:r>
        <w:rPr>
          <w:rFonts w:hint="eastAsia" w:ascii="Times New Roman" w:hAnsi="Times New Roman" w:eastAsia="方正书宋简体" w:cs="Times New Roman"/>
          <w:bCs/>
          <w:color w:val="000000"/>
          <w:highlight w:val="none"/>
        </w:rPr>
        <w:t xml:space="preserve">  </w:t>
      </w:r>
      <w:r>
        <w:rPr>
          <w:rFonts w:ascii="Times New Roman" w:hAnsi="Times New Roman" w:eastAsia="方正书宋简体" w:cs="Times New Roman"/>
          <w:bCs/>
          <w:color w:val="000000"/>
          <w:highlight w:val="none"/>
        </w:rPr>
        <w:t>日第</w:t>
      </w:r>
      <w:r>
        <w:rPr>
          <w:rFonts w:hint="eastAsia" w:ascii="Times New Roman" w:hAnsi="Times New Roman" w:eastAsia="方正书宋简体" w:cs="Times New Roman"/>
          <w:bCs/>
          <w:color w:val="000000"/>
          <w:highlight w:val="none"/>
        </w:rPr>
        <w:t xml:space="preserve">  </w:t>
      </w:r>
      <w:r>
        <w:rPr>
          <w:rFonts w:ascii="Times New Roman" w:hAnsi="Times New Roman" w:eastAsia="方正书宋简体" w:cs="Times New Roman"/>
          <w:bCs/>
          <w:color w:val="000000"/>
          <w:highlight w:val="none"/>
        </w:rPr>
        <w:t>号公告批准</w:t>
      </w:r>
      <w:r>
        <w:rPr>
          <w:rFonts w:hint="eastAsia" w:ascii="Times New Roman" w:hAnsi="Times New Roman" w:eastAsia="方正书宋简体" w:cs="Times New Roman"/>
          <w:bCs/>
          <w:color w:val="000000"/>
          <w:highlight w:val="none"/>
        </w:rPr>
        <w:t>、</w:t>
      </w:r>
      <w:r>
        <w:rPr>
          <w:rFonts w:ascii="Times New Roman" w:hAnsi="Times New Roman" w:eastAsia="方正书宋简体" w:cs="Times New Roman"/>
          <w:bCs/>
          <w:color w:val="000000"/>
          <w:highlight w:val="none"/>
        </w:rPr>
        <w:t>发布。</w:t>
      </w:r>
    </w:p>
    <w:p w14:paraId="04429FBA">
      <w:pPr>
        <w:pStyle w:val="59"/>
        <w:rPr>
          <w:bCs/>
          <w:color w:val="000000"/>
          <w:highlight w:val="none"/>
          <w:u w:val="none"/>
        </w:rPr>
      </w:pPr>
      <w:r>
        <w:rPr>
          <w:bCs/>
          <w:color w:val="000000"/>
          <w:highlight w:val="none"/>
        </w:rPr>
        <w:t>本</w:t>
      </w:r>
      <w:r>
        <w:rPr>
          <w:rFonts w:hint="eastAsia"/>
          <w:bCs/>
          <w:color w:val="000000"/>
          <w:highlight w:val="none"/>
        </w:rPr>
        <w:t>标准</w:t>
      </w:r>
      <w:r>
        <w:rPr>
          <w:bCs/>
          <w:color w:val="000000"/>
          <w:highlight w:val="none"/>
        </w:rPr>
        <w:t>是在山西省工程建设地方标准</w:t>
      </w:r>
      <w:r>
        <w:rPr>
          <w:rFonts w:hint="eastAsia"/>
          <w:bCs/>
          <w:color w:val="000000"/>
          <w:highlight w:val="none"/>
        </w:rPr>
        <w:t>《城市综合管廊工程技术标准》</w:t>
      </w:r>
      <w:r>
        <w:rPr>
          <w:bCs/>
          <w:color w:val="000000"/>
          <w:highlight w:val="none"/>
        </w:rPr>
        <w:t>DBJ04/T</w:t>
      </w:r>
      <w:r>
        <w:rPr>
          <w:rFonts w:hint="eastAsia"/>
          <w:bCs/>
          <w:color w:val="000000"/>
          <w:highlight w:val="none"/>
        </w:rPr>
        <w:t xml:space="preserve"> 389—</w:t>
      </w:r>
      <w:r>
        <w:rPr>
          <w:bCs/>
          <w:color w:val="000000"/>
          <w:highlight w:val="none"/>
        </w:rPr>
        <w:t>201</w:t>
      </w:r>
      <w:r>
        <w:rPr>
          <w:rFonts w:hint="eastAsia"/>
          <w:bCs/>
          <w:color w:val="000000"/>
          <w:highlight w:val="none"/>
        </w:rPr>
        <w:t>9的</w:t>
      </w:r>
      <w:r>
        <w:rPr>
          <w:bCs/>
          <w:color w:val="000000"/>
          <w:highlight w:val="none"/>
        </w:rPr>
        <w:t>基础上修订完成的。</w:t>
      </w:r>
      <w:r>
        <w:rPr>
          <w:rFonts w:hint="eastAsia"/>
          <w:bCs/>
          <w:color w:val="000000"/>
          <w:highlight w:val="none"/>
        </w:rPr>
        <w:t>城市综合管廊技术经过近十年的发展已在本地区取得了诸多应用，且在此期间国家、行业和地方标准均有修订，原标准内容已不能满足行业及市场的要求</w:t>
      </w:r>
      <w:r>
        <w:rPr>
          <w:rFonts w:hint="eastAsia"/>
          <w:bCs/>
          <w:color w:val="000000"/>
          <w:highlight w:val="none"/>
          <w:u w:val="none"/>
        </w:rPr>
        <w:t>，需</w:t>
      </w:r>
      <w:r>
        <w:rPr>
          <w:rFonts w:hint="eastAsia"/>
          <w:color w:val="000000" w:themeColor="text1"/>
          <w:highlight w:val="none"/>
          <w:u w:val="none"/>
          <w14:textFill>
            <w14:solidFill>
              <w14:schemeClr w14:val="tx1"/>
            </w14:solidFill>
          </w14:textFill>
        </w:rPr>
        <w:t>调整第7、8、9、13、14章的顺序，修改了第2.0.4、3.0.7、4.3.4、6.3.1、6.6.2、6.6.7、6.6.9、8.1.2、8.1.6、8.1.7、8.1.8、8.1.9、8.2.2、8.2.8、8.2.9条，增加了第5.1.3、5.1.5、5.3.3、5.3.4、5.4.2条2款、5.4.5、6.3.6、8.2.10、10.3.2、14.1.14~14.1.18、14.2.11~14.2.1、15.0.6~15.0.7条，删除了2.0.7~2.0.9、2.0.17~2.0.33条、10.7~10.8节</w:t>
      </w:r>
      <w:r>
        <w:rPr>
          <w:color w:val="000000" w:themeColor="text1"/>
          <w:highlight w:val="none"/>
          <w:u w:val="none"/>
          <w14:textFill>
            <w14:solidFill>
              <w14:schemeClr w14:val="tx1"/>
            </w14:solidFill>
          </w14:textFill>
        </w:rPr>
        <w:t>。</w:t>
      </w:r>
      <w:r>
        <w:rPr>
          <w:rFonts w:hint="eastAsia"/>
          <w:highlight w:val="none"/>
          <w:u w:val="none"/>
        </w:rPr>
        <w:t>修订的主要技术内容有：取消</w:t>
      </w:r>
      <w:r>
        <w:rPr>
          <w:highlight w:val="none"/>
          <w:u w:val="none"/>
        </w:rPr>
        <w:t>缆线管廊</w:t>
      </w:r>
      <w:r>
        <w:rPr>
          <w:rFonts w:hint="eastAsia"/>
          <w:highlight w:val="none"/>
          <w:u w:val="none"/>
        </w:rPr>
        <w:t>类型，</w:t>
      </w:r>
      <w:r>
        <w:rPr>
          <w:highlight w:val="none"/>
          <w:u w:val="none"/>
        </w:rPr>
        <w:t>增加小型综合管廊类型</w:t>
      </w:r>
      <w:r>
        <w:rPr>
          <w:rFonts w:hint="eastAsia"/>
          <w:highlight w:val="none"/>
          <w:u w:val="none"/>
        </w:rPr>
        <w:t>；</w:t>
      </w:r>
      <w:r>
        <w:rPr>
          <w:highlight w:val="none"/>
          <w:u w:val="none"/>
        </w:rPr>
        <w:t>分别对干线、支线、小型综合管廊的断面尺寸、管线安装尺寸、附属设施设置要求做出相应的调整和规定；取消了舱室内的防火分隔及防火分区概念；取消了容纳电力电缆的干、支线综合管廊设置自动灭火系统的要求；取消了标准段管廊内每隔50m设置手提式灭火器的要求；取消了</w:t>
      </w:r>
      <w:r>
        <w:rPr>
          <w:rFonts w:hint="eastAsia"/>
          <w:highlight w:val="none"/>
          <w:u w:val="none"/>
        </w:rPr>
        <w:t>天然气</w:t>
      </w:r>
      <w:r>
        <w:rPr>
          <w:highlight w:val="none"/>
          <w:u w:val="none"/>
        </w:rPr>
        <w:t>、蒸汽管道独立成舱敷设的要求，取消了燃气舱室采用防火花地坪等相关要求；结合近年来住房</w:t>
      </w:r>
      <w:r>
        <w:rPr>
          <w:rFonts w:hint="eastAsia"/>
          <w:highlight w:val="none"/>
          <w:u w:val="none"/>
          <w:lang w:val="en-US" w:eastAsia="zh-CN"/>
        </w:rPr>
        <w:t>和</w:t>
      </w:r>
      <w:r>
        <w:rPr>
          <w:highlight w:val="none"/>
          <w:u w:val="none"/>
        </w:rPr>
        <w:t>城乡建设部发布的各类更新标准、通用规范，同步更新本规范中的相关条文</w:t>
      </w:r>
      <w:r>
        <w:rPr>
          <w:rFonts w:hint="eastAsia"/>
          <w:bCs/>
          <w:color w:val="000000"/>
          <w:highlight w:val="none"/>
          <w:u w:val="none"/>
        </w:rPr>
        <w:t>，充实原标准内容，使修订标准具备普遍性、通用性、更适宜我省城市综合管廊的技术应用。</w:t>
      </w:r>
    </w:p>
    <w:p w14:paraId="36CCF965">
      <w:pPr>
        <w:overflowPunct w:val="0"/>
        <w:adjustRightInd w:val="0"/>
        <w:snapToGrid w:val="0"/>
        <w:spacing w:line="348" w:lineRule="exact"/>
        <w:ind w:firstLine="422" w:firstLineChars="200"/>
        <w:rPr>
          <w:rFonts w:ascii="Times New Roman" w:hAnsi="Times New Roman" w:eastAsia="方正书宋简体" w:cs="Times New Roman"/>
          <w:bCs/>
          <w:color w:val="000000"/>
          <w:highlight w:val="none"/>
        </w:rPr>
      </w:pPr>
      <w:r>
        <w:rPr>
          <w:rFonts w:ascii="Times New Roman" w:hAnsi="Times New Roman" w:eastAsia="方正书宋简体" w:cs="Times New Roman"/>
          <w:bCs/>
          <w:color w:val="000000"/>
          <w:highlight w:val="none"/>
        </w:rPr>
        <w:t>本标准修订过程中，编制组在总结我省城市综合管廊工程技术的基础上，进行了广泛的调查研究，并结合相关修订的规范、标准条文，多次与地方主管部门、设计、施工等有关单位人员进行技术交流和讨论，同时参考了国内其他省市的先进经验，经过对主要技术内容反复讨论和修改，最终完成了本标准的修订工作。</w:t>
      </w:r>
    </w:p>
    <w:p w14:paraId="15A98D5A">
      <w:pPr>
        <w:overflowPunct w:val="0"/>
        <w:adjustRightInd w:val="0"/>
        <w:snapToGrid w:val="0"/>
        <w:spacing w:line="348" w:lineRule="exact"/>
        <w:ind w:firstLine="422" w:firstLineChars="200"/>
        <w:rPr>
          <w:rFonts w:ascii="Times New Roman" w:hAnsi="Times New Roman" w:eastAsia="方正书宋简体" w:cs="Times New Roman"/>
          <w:bCs/>
          <w:color w:val="000000"/>
          <w:highlight w:val="none"/>
        </w:rPr>
      </w:pPr>
      <w:r>
        <w:rPr>
          <w:rFonts w:ascii="Times New Roman" w:hAnsi="Times New Roman" w:eastAsia="方正书宋简体" w:cs="Times New Roman"/>
          <w:bCs/>
          <w:color w:val="000000"/>
          <w:highlight w:val="none"/>
        </w:rPr>
        <w:t>为便于广大设计、施工、科研、学校等单位有关人员在使用本</w:t>
      </w:r>
      <w:r>
        <w:rPr>
          <w:rFonts w:ascii="Times New Roman" w:hAnsi="Times New Roman" w:eastAsia="方正书宋简体" w:cs="Times New Roman"/>
          <w:bCs/>
          <w:color w:val="000000"/>
          <w:spacing w:val="6"/>
          <w:highlight w:val="none"/>
        </w:rPr>
        <w:t>标准时能正确理解和执行条文规定</w:t>
      </w:r>
      <w:r>
        <w:rPr>
          <w:rFonts w:hint="eastAsia" w:ascii="Times New Roman" w:hAnsi="Times New Roman" w:eastAsia="方正书宋简体" w:cs="Times New Roman"/>
          <w:bCs/>
          <w:color w:val="000000"/>
          <w:spacing w:val="6"/>
          <w:highlight w:val="none"/>
        </w:rPr>
        <w:t>，</w:t>
      </w:r>
      <w:r>
        <w:rPr>
          <w:rFonts w:ascii="Times New Roman" w:hAnsi="Times New Roman" w:eastAsia="方正书宋简体" w:cs="Times New Roman"/>
          <w:bCs/>
          <w:color w:val="000000"/>
          <w:spacing w:val="6"/>
          <w:highlight w:val="none"/>
        </w:rPr>
        <w:t>《</w:t>
      </w:r>
      <w:r>
        <w:rPr>
          <w:rFonts w:hint="eastAsia" w:ascii="Times New Roman" w:hAnsi="Times New Roman" w:eastAsia="方正书宋简体" w:cs="Times New Roman"/>
          <w:bCs/>
          <w:color w:val="000000"/>
          <w:spacing w:val="6"/>
          <w:highlight w:val="none"/>
        </w:rPr>
        <w:t>城市综合管廊工程技术标准</w:t>
      </w:r>
      <w:r>
        <w:rPr>
          <w:rFonts w:ascii="Times New Roman" w:hAnsi="Times New Roman" w:eastAsia="方正书宋简体" w:cs="Times New Roman"/>
          <w:bCs/>
          <w:color w:val="000000"/>
          <w:highlight w:val="none"/>
        </w:rPr>
        <w:t>》编制组按章、节、条、款顺序编制了本标准的条文说明。但是本条文说明不具备与</w:t>
      </w:r>
      <w:r>
        <w:rPr>
          <w:rFonts w:hint="eastAsia" w:ascii="Times New Roman" w:hAnsi="Times New Roman" w:eastAsia="方正书宋简体" w:cs="Times New Roman"/>
          <w:bCs/>
          <w:color w:val="000000"/>
          <w:highlight w:val="none"/>
        </w:rPr>
        <w:t>标准</w:t>
      </w:r>
      <w:r>
        <w:rPr>
          <w:rFonts w:ascii="Times New Roman" w:hAnsi="Times New Roman" w:eastAsia="方正书宋简体" w:cs="Times New Roman"/>
          <w:bCs/>
          <w:color w:val="000000"/>
          <w:highlight w:val="none"/>
        </w:rPr>
        <w:t>正文同等的法律效力，仅供使用者作为理解和把握本标准的参考。</w:t>
      </w:r>
    </w:p>
    <w:p w14:paraId="10940F9A">
      <w:pPr>
        <w:overflowPunct w:val="0"/>
        <w:spacing w:line="348" w:lineRule="exact"/>
        <w:ind w:firstLine="422" w:firstLineChars="200"/>
        <w:jc w:val="left"/>
        <w:rPr>
          <w:rFonts w:ascii="Times New Roman" w:hAnsi="Times New Roman" w:eastAsia="方正书宋简体" w:cs="Times New Roman"/>
          <w:color w:val="000000" w:themeColor="text1"/>
          <w:highlight w:val="none"/>
          <w14:textFill>
            <w14:solidFill>
              <w14:schemeClr w14:val="tx1"/>
            </w14:solidFill>
          </w14:textFill>
        </w:rPr>
      </w:pPr>
    </w:p>
    <w:p w14:paraId="143B06FA">
      <w:pPr>
        <w:rPr>
          <w:rFonts w:ascii="Times New Roman" w:hAnsi="Times New Roman" w:eastAsia="方正书宋简体" w:cs="Times New Roman"/>
          <w:color w:val="000000" w:themeColor="text1"/>
          <w:highlight w:val="none"/>
          <w14:textFill>
            <w14:solidFill>
              <w14:schemeClr w14:val="tx1"/>
            </w14:solidFill>
          </w14:textFill>
        </w:rPr>
      </w:pPr>
      <w:bookmarkStart w:id="145" w:name="_Toc37689812"/>
      <w:r>
        <w:rPr>
          <w:rFonts w:ascii="Times New Roman" w:hAnsi="Times New Roman" w:eastAsia="方正书宋简体" w:cs="Times New Roman"/>
          <w:color w:val="000000" w:themeColor="text1"/>
          <w:highlight w:val="none"/>
          <w14:textFill>
            <w14:solidFill>
              <w14:schemeClr w14:val="tx1"/>
            </w14:solidFill>
          </w14:textFill>
        </w:rPr>
        <w:br w:type="page"/>
      </w:r>
    </w:p>
    <w:p w14:paraId="5FF9BA45">
      <w:pPr>
        <w:pStyle w:val="3"/>
        <w:tabs>
          <w:tab w:val="right" w:leader="dot" w:pos="8310"/>
        </w:tabs>
        <w:adjustRightInd w:val="0"/>
        <w:snapToGrid w:val="0"/>
        <w:spacing w:line="20" w:lineRule="exact"/>
        <w:jc w:val="center"/>
        <w:rPr>
          <w:rFonts w:ascii="Times New Roman" w:hAnsi="Times New Roman" w:eastAsia="方正书宋简体" w:cs="Times New Roman"/>
          <w:b/>
          <w:color w:val="000000" w:themeColor="text1"/>
          <w:szCs w:val="21"/>
          <w:highlight w:val="none"/>
          <w:lang w:val="zh-CN"/>
          <w14:textFill>
            <w14:solidFill>
              <w14:schemeClr w14:val="tx1"/>
            </w14:solidFill>
          </w14:textFill>
        </w:rPr>
      </w:pPr>
    </w:p>
    <w:p w14:paraId="0A6BCA7A">
      <w:pPr>
        <w:adjustRightInd w:val="0"/>
        <w:snapToGrid w:val="0"/>
        <w:spacing w:before="312" w:beforeLines="100" w:after="312" w:afterLines="100"/>
        <w:jc w:val="center"/>
        <w:rPr>
          <w:rFonts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目　次</w:t>
      </w:r>
    </w:p>
    <w:p w14:paraId="644362E4">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总则</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24</w:t>
      </w:r>
    </w:p>
    <w:p w14:paraId="0835A3FE">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术语</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26</w:t>
      </w:r>
    </w:p>
    <w:p w14:paraId="0CE0EE9D">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基本规定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29</w:t>
      </w:r>
    </w:p>
    <w:p w14:paraId="2C2EBE60">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系统规划</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33</w:t>
      </w:r>
    </w:p>
    <w:p w14:paraId="184A2B57">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4.1  </w:t>
      </w:r>
      <w:r>
        <w:rPr>
          <w:rFonts w:ascii="Times New Roman" w:hAnsi="Times New Roman" w:eastAsia="方正书宋简体" w:cs="Times New Roman"/>
          <w:color w:val="000000" w:themeColor="text1"/>
          <w:highlight w:val="none"/>
          <w14:textFill>
            <w14:solidFill>
              <w14:schemeClr w14:val="tx1"/>
            </w14:solidFill>
          </w14:textFill>
        </w:rPr>
        <w:t>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33</w:t>
      </w:r>
    </w:p>
    <w:p w14:paraId="706D6080">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4.2  </w:t>
      </w:r>
      <w:r>
        <w:rPr>
          <w:rFonts w:ascii="Times New Roman" w:hAnsi="Times New Roman" w:eastAsia="方正书宋简体" w:cs="Times New Roman"/>
          <w:color w:val="000000" w:themeColor="text1"/>
          <w:highlight w:val="none"/>
          <w14:textFill>
            <w14:solidFill>
              <w14:schemeClr w14:val="tx1"/>
            </w14:solidFill>
          </w14:textFill>
        </w:rPr>
        <w:t>管廊系统布局</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34</w:t>
      </w:r>
    </w:p>
    <w:p w14:paraId="2F1BFBA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4.3  </w:t>
      </w:r>
      <w:r>
        <w:rPr>
          <w:rFonts w:ascii="Times New Roman" w:hAnsi="Times New Roman" w:eastAsia="方正书宋简体" w:cs="Times New Roman"/>
          <w:color w:val="000000" w:themeColor="text1"/>
          <w:highlight w:val="none"/>
          <w14:textFill>
            <w14:solidFill>
              <w14:schemeClr w14:val="tx1"/>
            </w14:solidFill>
          </w14:textFill>
        </w:rPr>
        <w:t>入廊管线</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35</w:t>
      </w:r>
    </w:p>
    <w:p w14:paraId="5F92C1F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4.4  </w:t>
      </w:r>
      <w:r>
        <w:rPr>
          <w:rFonts w:ascii="Times New Roman" w:hAnsi="Times New Roman" w:eastAsia="方正书宋简体" w:cs="Times New Roman"/>
          <w:color w:val="000000" w:themeColor="text1"/>
          <w:highlight w:val="none"/>
          <w14:textFill>
            <w14:solidFill>
              <w14:schemeClr w14:val="tx1"/>
            </w14:solidFill>
          </w14:textFill>
        </w:rPr>
        <w:t>平面位置</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37</w:t>
      </w:r>
    </w:p>
    <w:p w14:paraId="1C28CBD9">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4.5  </w:t>
      </w:r>
      <w:r>
        <w:rPr>
          <w:rFonts w:ascii="Times New Roman" w:hAnsi="Times New Roman" w:eastAsia="方正书宋简体" w:cs="Times New Roman"/>
          <w:color w:val="000000" w:themeColor="text1"/>
          <w:highlight w:val="none"/>
          <w14:textFill>
            <w14:solidFill>
              <w14:schemeClr w14:val="tx1"/>
            </w14:solidFill>
          </w14:textFill>
        </w:rPr>
        <w:t>竖向条件</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38</w:t>
      </w:r>
    </w:p>
    <w:p w14:paraId="6420FB80">
      <w:pPr>
        <w:tabs>
          <w:tab w:val="right" w:leader="middleDot" w:pos="6096"/>
        </w:tabs>
        <w:overflowPunct w:val="0"/>
        <w:spacing w:line="348" w:lineRule="exact"/>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14</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605D5C21">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14</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78A436C6">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5.2 </w:t>
      </w:r>
      <w:r>
        <w:rPr>
          <w:rFonts w:ascii="Times New Roman" w:hAnsi="Times New Roman" w:eastAsia="方正书宋简体" w:cs="Times New Roman"/>
          <w:color w:val="000000" w:themeColor="text1"/>
          <w:highlight w:val="none"/>
          <w14:textFill>
            <w14:solidFill>
              <w14:schemeClr w14:val="tx1"/>
            </w14:solidFill>
          </w14:textFill>
        </w:rPr>
        <w:t xml:space="preserve"> 可行性研究勘察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14</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4ED6537F">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5.3</w:t>
      </w:r>
      <w:r>
        <w:rPr>
          <w:rFonts w:ascii="Times New Roman" w:hAnsi="Times New Roman" w:eastAsia="方正书宋简体" w:cs="Times New Roman"/>
          <w:color w:val="000000" w:themeColor="text1"/>
          <w:highlight w:val="none"/>
          <w14:textFill>
            <w14:solidFill>
              <w14:schemeClr w14:val="tx1"/>
            </w14:solidFill>
          </w14:textFill>
        </w:rPr>
        <w:t xml:space="preserve">  初步勘察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41</w:t>
      </w:r>
    </w:p>
    <w:p w14:paraId="0F4E1BDC">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5.4</w:t>
      </w:r>
      <w:r>
        <w:rPr>
          <w:rFonts w:ascii="Times New Roman" w:hAnsi="Times New Roman" w:eastAsia="方正书宋简体" w:cs="Times New Roman"/>
          <w:color w:val="000000" w:themeColor="text1"/>
          <w:highlight w:val="none"/>
          <w14:textFill>
            <w14:solidFill>
              <w14:schemeClr w14:val="tx1"/>
            </w14:solidFill>
          </w14:textFill>
        </w:rPr>
        <w:t xml:space="preserve">  详细勘察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41</w:t>
      </w:r>
    </w:p>
    <w:p w14:paraId="7A7EE827">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5.5</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 xml:space="preserve">  施工勘察</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142</w:t>
      </w:r>
    </w:p>
    <w:p w14:paraId="428F8FE7">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 </w:t>
      </w:r>
      <w:r>
        <w:rPr>
          <w:rFonts w:ascii="Times New Roman" w:hAnsi="Times New Roman" w:eastAsia="方正书宋简体" w:cs="Times New Roman"/>
          <w:color w:val="000000" w:themeColor="text1"/>
          <w:highlight w:val="none"/>
          <w14:textFill>
            <w14:solidFill>
              <w14:schemeClr w14:val="tx1"/>
            </w14:solidFill>
          </w14:textFill>
        </w:rPr>
        <w:t xml:space="preserve"> 总体设计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43</w:t>
      </w:r>
    </w:p>
    <w:p w14:paraId="1890679D">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6.1 </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43</w:t>
      </w:r>
    </w:p>
    <w:p w14:paraId="76E3AB94">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6.2</w:t>
      </w:r>
      <w:r>
        <w:rPr>
          <w:rFonts w:ascii="Times New Roman" w:hAnsi="Times New Roman" w:eastAsia="方正书宋简体" w:cs="Times New Roman"/>
          <w:color w:val="000000" w:themeColor="text1"/>
          <w:highlight w:val="none"/>
          <w14:textFill>
            <w14:solidFill>
              <w14:schemeClr w14:val="tx1"/>
            </w14:solidFill>
          </w14:textFill>
        </w:rPr>
        <w:t xml:space="preserve">  空间设计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45</w:t>
      </w:r>
    </w:p>
    <w:p w14:paraId="173A39CA">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6.3 </w:t>
      </w:r>
      <w:r>
        <w:rPr>
          <w:rFonts w:ascii="Times New Roman" w:hAnsi="Times New Roman" w:eastAsia="方正书宋简体" w:cs="Times New Roman"/>
          <w:color w:val="000000" w:themeColor="text1"/>
          <w:highlight w:val="none"/>
          <w14:textFill>
            <w14:solidFill>
              <w14:schemeClr w14:val="tx1"/>
            </w14:solidFill>
          </w14:textFill>
        </w:rPr>
        <w:t xml:space="preserve"> 横断面设计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5</w:t>
      </w:r>
    </w:p>
    <w:p w14:paraId="2FC7B8F3">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6.4</w:t>
      </w:r>
      <w:r>
        <w:rPr>
          <w:rFonts w:ascii="Times New Roman" w:hAnsi="Times New Roman" w:eastAsia="方正书宋简体" w:cs="Times New Roman"/>
          <w:color w:val="000000" w:themeColor="text1"/>
          <w:highlight w:val="none"/>
          <w14:textFill>
            <w14:solidFill>
              <w14:schemeClr w14:val="tx1"/>
            </w14:solidFill>
          </w14:textFill>
        </w:rPr>
        <w:t xml:space="preserve">  纵断面设计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47</w:t>
      </w:r>
    </w:p>
    <w:p w14:paraId="1C0F0F75">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6.5</w:t>
      </w:r>
      <w:r>
        <w:rPr>
          <w:rFonts w:ascii="Times New Roman" w:hAnsi="Times New Roman" w:eastAsia="方正书宋简体" w:cs="Times New Roman"/>
          <w:color w:val="000000" w:themeColor="text1"/>
          <w:highlight w:val="none"/>
          <w14:textFill>
            <w14:solidFill>
              <w14:schemeClr w14:val="tx1"/>
            </w14:solidFill>
          </w14:textFill>
        </w:rPr>
        <w:t xml:space="preserve">  分支预留</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7</w:t>
      </w:r>
    </w:p>
    <w:p w14:paraId="08D0B26E">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6.6</w:t>
      </w:r>
      <w:r>
        <w:rPr>
          <w:rFonts w:ascii="Times New Roman" w:hAnsi="Times New Roman" w:eastAsia="方正书宋简体" w:cs="Times New Roman"/>
          <w:color w:val="000000" w:themeColor="text1"/>
          <w:highlight w:val="none"/>
          <w14:textFill>
            <w14:solidFill>
              <w14:schemeClr w14:val="tx1"/>
            </w14:solidFill>
          </w14:textFill>
        </w:rPr>
        <w:t xml:space="preserve">  节点设计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8</w:t>
      </w:r>
    </w:p>
    <w:p w14:paraId="4FDBE783">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 </w:t>
      </w:r>
      <w:r>
        <w:rPr>
          <w:rFonts w:ascii="Times New Roman" w:hAnsi="Times New Roman" w:eastAsia="方正书宋简体" w:cs="Times New Roman"/>
          <w:color w:val="000000" w:themeColor="text1"/>
          <w:highlight w:val="none"/>
          <w14:textFill>
            <w14:solidFill>
              <w14:schemeClr w14:val="tx1"/>
            </w14:solidFill>
          </w14:textFill>
        </w:rPr>
        <w:t xml:space="preserve"> 结构设计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51</w:t>
      </w:r>
    </w:p>
    <w:p w14:paraId="4ED4A90F">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1</w:t>
      </w:r>
    </w:p>
    <w:p w14:paraId="527793F4">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7.2</w:t>
      </w:r>
      <w:r>
        <w:rPr>
          <w:rFonts w:ascii="Times New Roman" w:hAnsi="Times New Roman" w:eastAsia="方正书宋简体" w:cs="Times New Roman"/>
          <w:color w:val="000000" w:themeColor="text1"/>
          <w:highlight w:val="none"/>
          <w14:textFill>
            <w14:solidFill>
              <w14:schemeClr w14:val="tx1"/>
            </w14:solidFill>
          </w14:textFill>
        </w:rPr>
        <w:t xml:space="preserve">  材料</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2</w:t>
      </w:r>
    </w:p>
    <w:p w14:paraId="5910F44C">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7.3</w:t>
      </w:r>
      <w:r>
        <w:rPr>
          <w:rFonts w:ascii="Times New Roman" w:hAnsi="Times New Roman" w:eastAsia="方正书宋简体" w:cs="Times New Roman"/>
          <w:color w:val="000000" w:themeColor="text1"/>
          <w:highlight w:val="none"/>
          <w14:textFill>
            <w14:solidFill>
              <w14:schemeClr w14:val="tx1"/>
            </w14:solidFill>
          </w14:textFill>
        </w:rPr>
        <w:t xml:space="preserve">  结构上的作用</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53</w:t>
      </w:r>
    </w:p>
    <w:p w14:paraId="24525D44">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7.4</w:t>
      </w:r>
      <w:r>
        <w:rPr>
          <w:rFonts w:ascii="Times New Roman" w:hAnsi="Times New Roman" w:eastAsia="方正书宋简体" w:cs="Times New Roman"/>
          <w:color w:val="000000" w:themeColor="text1"/>
          <w:highlight w:val="none"/>
          <w14:textFill>
            <w14:solidFill>
              <w14:schemeClr w14:val="tx1"/>
            </w14:solidFill>
          </w14:textFill>
        </w:rPr>
        <w:t xml:space="preserve">  现浇混凝土综合管廊结构</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3</w:t>
      </w:r>
    </w:p>
    <w:p w14:paraId="20E7DFD8">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7.5</w:t>
      </w:r>
      <w:r>
        <w:rPr>
          <w:rFonts w:ascii="Times New Roman" w:hAnsi="Times New Roman" w:eastAsia="方正书宋简体" w:cs="Times New Roman"/>
          <w:color w:val="000000" w:themeColor="text1"/>
          <w:highlight w:val="none"/>
          <w14:textFill>
            <w14:solidFill>
              <w14:schemeClr w14:val="tx1"/>
            </w14:solidFill>
          </w14:textFill>
        </w:rPr>
        <w:t xml:space="preserve">  预制拼装综合管廊结构</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4</w:t>
      </w:r>
    </w:p>
    <w:p w14:paraId="3F34EA48">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7.6 </w:t>
      </w:r>
      <w:r>
        <w:rPr>
          <w:rFonts w:ascii="Times New Roman" w:hAnsi="Times New Roman" w:eastAsia="方正书宋简体" w:cs="Times New Roman"/>
          <w:color w:val="000000" w:themeColor="text1"/>
          <w:highlight w:val="none"/>
          <w14:textFill>
            <w14:solidFill>
              <w14:schemeClr w14:val="tx1"/>
            </w14:solidFill>
          </w14:textFill>
        </w:rPr>
        <w:t xml:space="preserve"> 构造要求</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5</w:t>
      </w:r>
    </w:p>
    <w:p w14:paraId="7689E95C">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7.7 </w:t>
      </w:r>
      <w:r>
        <w:rPr>
          <w:rFonts w:ascii="Times New Roman" w:hAnsi="Times New Roman" w:eastAsia="方正书宋简体" w:cs="Times New Roman"/>
          <w:color w:val="000000" w:themeColor="text1"/>
          <w:highlight w:val="none"/>
          <w14:textFill>
            <w14:solidFill>
              <w14:schemeClr w14:val="tx1"/>
            </w14:solidFill>
          </w14:textFill>
        </w:rPr>
        <w:t xml:space="preserve"> 地基处理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6</w:t>
      </w:r>
    </w:p>
    <w:p w14:paraId="59072684">
      <w:pPr>
        <w:tabs>
          <w:tab w:val="right" w:leader="middleDot" w:pos="6096"/>
        </w:tabs>
        <w:overflowPunct w:val="0"/>
        <w:spacing w:line="348" w:lineRule="exact"/>
        <w:ind w:firstLine="316" w:firstLineChars="150"/>
        <w:rPr>
          <w:rFonts w:ascii="Times New Roman" w:hAnsi="Times New Roman" w:eastAsia="方正书宋简体" w:cs="Times New Roman"/>
          <w:b/>
          <w:bCs/>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7.8</w:t>
      </w:r>
      <w:r>
        <w:rPr>
          <w:rFonts w:ascii="Times New Roman" w:hAnsi="Times New Roman" w:eastAsia="方正书宋简体" w:cs="Times New Roman"/>
          <w:color w:val="000000" w:themeColor="text1"/>
          <w:highlight w:val="none"/>
          <w14:textFill>
            <w14:solidFill>
              <w14:schemeClr w14:val="tx1"/>
            </w14:solidFill>
          </w14:textFill>
        </w:rPr>
        <w:t xml:space="preserve">  基坑设计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7</w:t>
      </w:r>
    </w:p>
    <w:p w14:paraId="4959DEE8">
      <w:pPr>
        <w:tabs>
          <w:tab w:val="right" w:leader="middleDot" w:pos="6096"/>
        </w:tabs>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8 </w:t>
      </w:r>
      <w:r>
        <w:rPr>
          <w:rFonts w:ascii="Times New Roman" w:hAnsi="Times New Roman" w:eastAsia="方正书宋简体" w:cs="Times New Roman"/>
          <w:color w:val="000000" w:themeColor="text1"/>
          <w:highlight w:val="none"/>
          <w14:textFill>
            <w14:solidFill>
              <w14:schemeClr w14:val="tx1"/>
            </w14:solidFill>
          </w14:textFill>
        </w:rPr>
        <w:t xml:space="preserve"> 附属设施设计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9</w:t>
      </w:r>
    </w:p>
    <w:p w14:paraId="17C945EC">
      <w:pPr>
        <w:tabs>
          <w:tab w:val="right" w:leader="middleDot" w:pos="6096"/>
        </w:tabs>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8.1</w:t>
      </w:r>
      <w:r>
        <w:rPr>
          <w:rFonts w:ascii="Times New Roman" w:hAnsi="Times New Roman" w:eastAsia="方正书宋简体" w:cs="Times New Roman"/>
          <w:color w:val="000000" w:themeColor="text1"/>
          <w:highlight w:val="none"/>
          <w14:textFill>
            <w14:solidFill>
              <w14:schemeClr w14:val="tx1"/>
            </w14:solidFill>
          </w14:textFill>
        </w:rPr>
        <w:t xml:space="preserve">  消防系统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9</w:t>
      </w:r>
    </w:p>
    <w:p w14:paraId="1F8C27D5">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8.2</w:t>
      </w:r>
      <w:r>
        <w:rPr>
          <w:rFonts w:ascii="Times New Roman" w:hAnsi="Times New Roman" w:eastAsia="方正书宋简体" w:cs="Times New Roman"/>
          <w:color w:val="000000" w:themeColor="text1"/>
          <w:highlight w:val="none"/>
          <w14:textFill>
            <w14:solidFill>
              <w14:schemeClr w14:val="tx1"/>
            </w14:solidFill>
          </w14:textFill>
        </w:rPr>
        <w:t xml:space="preserve">  通风系统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16</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5EE0D997">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8.3</w:t>
      </w:r>
      <w:r>
        <w:rPr>
          <w:rFonts w:ascii="Times New Roman" w:hAnsi="Times New Roman" w:eastAsia="方正书宋简体" w:cs="Times New Roman"/>
          <w:color w:val="000000" w:themeColor="text1"/>
          <w:highlight w:val="none"/>
          <w14:textFill>
            <w14:solidFill>
              <w14:schemeClr w14:val="tx1"/>
            </w14:solidFill>
          </w14:textFill>
        </w:rPr>
        <w:t xml:space="preserve">  供电系统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62</w:t>
      </w:r>
    </w:p>
    <w:p w14:paraId="73084D12">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8.4</w:t>
      </w:r>
      <w:r>
        <w:rPr>
          <w:rFonts w:ascii="Times New Roman" w:hAnsi="Times New Roman" w:eastAsia="方正书宋简体" w:cs="Times New Roman"/>
          <w:color w:val="000000" w:themeColor="text1"/>
          <w:highlight w:val="none"/>
          <w14:textFill>
            <w14:solidFill>
              <w14:schemeClr w14:val="tx1"/>
            </w14:solidFill>
          </w14:textFill>
        </w:rPr>
        <w:t xml:space="preserve">  照明系统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65</w:t>
      </w:r>
    </w:p>
    <w:p w14:paraId="208195DD">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8.5</w:t>
      </w:r>
      <w:r>
        <w:rPr>
          <w:rFonts w:ascii="Times New Roman" w:hAnsi="Times New Roman" w:eastAsia="方正书宋简体" w:cs="Times New Roman"/>
          <w:color w:val="000000" w:themeColor="text1"/>
          <w:highlight w:val="none"/>
          <w14:textFill>
            <w14:solidFill>
              <w14:schemeClr w14:val="tx1"/>
            </w14:solidFill>
          </w14:textFill>
        </w:rPr>
        <w:t xml:space="preserve">  监控与报警系统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65</w:t>
      </w:r>
    </w:p>
    <w:p w14:paraId="265F0F89">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8.6</w:t>
      </w:r>
      <w:r>
        <w:rPr>
          <w:rFonts w:ascii="Times New Roman" w:hAnsi="Times New Roman" w:eastAsia="方正书宋简体" w:cs="Times New Roman"/>
          <w:color w:val="000000" w:themeColor="text1"/>
          <w:highlight w:val="none"/>
          <w14:textFill>
            <w14:solidFill>
              <w14:schemeClr w14:val="tx1"/>
            </w14:solidFill>
          </w14:textFill>
        </w:rPr>
        <w:t xml:space="preserve">  排水系统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66</w:t>
      </w:r>
    </w:p>
    <w:p w14:paraId="27E3C2DA">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8.7</w:t>
      </w:r>
      <w:r>
        <w:rPr>
          <w:rFonts w:ascii="Times New Roman" w:hAnsi="Times New Roman" w:eastAsia="方正书宋简体" w:cs="Times New Roman"/>
          <w:color w:val="000000" w:themeColor="text1"/>
          <w:highlight w:val="none"/>
          <w14:textFill>
            <w14:solidFill>
              <w14:schemeClr w14:val="tx1"/>
            </w14:solidFill>
          </w14:textFill>
        </w:rPr>
        <w:t xml:space="preserve">  标识系统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66</w:t>
      </w:r>
    </w:p>
    <w:p w14:paraId="67B6F4FE">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8.8</w:t>
      </w:r>
      <w:r>
        <w:rPr>
          <w:rFonts w:ascii="Times New Roman" w:hAnsi="Times New Roman" w:eastAsia="方正书宋简体" w:cs="Times New Roman"/>
          <w:color w:val="000000" w:themeColor="text1"/>
          <w:highlight w:val="none"/>
          <w14:textFill>
            <w14:solidFill>
              <w14:schemeClr w14:val="tx1"/>
            </w14:solidFill>
          </w14:textFill>
        </w:rPr>
        <w:t xml:space="preserve">  监控中心</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67</w:t>
      </w:r>
    </w:p>
    <w:p w14:paraId="70E19F45">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 </w:t>
      </w:r>
      <w:r>
        <w:rPr>
          <w:rFonts w:ascii="Times New Roman" w:hAnsi="Times New Roman" w:eastAsia="方正书宋简体" w:cs="Times New Roman"/>
          <w:color w:val="000000" w:themeColor="text1"/>
          <w:highlight w:val="none"/>
          <w14:textFill>
            <w14:solidFill>
              <w14:schemeClr w14:val="tx1"/>
            </w14:solidFill>
          </w14:textFill>
        </w:rPr>
        <w:t xml:space="preserve"> 管线设计</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69</w:t>
      </w:r>
    </w:p>
    <w:p w14:paraId="1AA80298">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9.1 </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69</w:t>
      </w:r>
    </w:p>
    <w:p w14:paraId="3A7843AE">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9.2</w:t>
      </w:r>
      <w:r>
        <w:rPr>
          <w:rFonts w:ascii="Times New Roman" w:hAnsi="Times New Roman" w:eastAsia="方正书宋简体" w:cs="Times New Roman"/>
          <w:color w:val="000000" w:themeColor="text1"/>
          <w:highlight w:val="none"/>
          <w14:textFill>
            <w14:solidFill>
              <w14:schemeClr w14:val="tx1"/>
            </w14:solidFill>
          </w14:textFill>
        </w:rPr>
        <w:t xml:space="preserve">  给水、再生水管道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69</w:t>
      </w:r>
    </w:p>
    <w:p w14:paraId="32C94879">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9.3</w:t>
      </w:r>
      <w:r>
        <w:rPr>
          <w:rFonts w:ascii="Times New Roman" w:hAnsi="Times New Roman" w:eastAsia="方正书宋简体" w:cs="Times New Roman"/>
          <w:color w:val="000000" w:themeColor="text1"/>
          <w:highlight w:val="none"/>
          <w14:textFill>
            <w14:solidFill>
              <w14:schemeClr w14:val="tx1"/>
            </w14:solidFill>
          </w14:textFill>
        </w:rPr>
        <w:t xml:space="preserve">  排水管渠</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17</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0</w:t>
      </w:r>
    </w:p>
    <w:p w14:paraId="6EEE10C3">
      <w:pPr>
        <w:tabs>
          <w:tab w:val="right" w:leader="middleDot" w:pos="6096"/>
        </w:tabs>
        <w:overflowPunct w:val="0"/>
        <w:spacing w:line="348" w:lineRule="exact"/>
        <w:ind w:firstLine="316" w:firstLineChars="150"/>
        <w:rPr>
          <w:rFonts w:hint="eastAsia" w:ascii="Times New Roman" w:hAnsi="Times New Roman" w:eastAsia="方正书宋简体" w:cs="Times New Roman"/>
          <w:color w:val="000000" w:themeColor="text1"/>
          <w:highlight w:val="none"/>
          <w:lang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9.4</w:t>
      </w:r>
      <w:r>
        <w:rPr>
          <w:rFonts w:ascii="Times New Roman" w:hAnsi="Times New Roman" w:eastAsia="方正书宋简体" w:cs="Times New Roman"/>
          <w:color w:val="000000" w:themeColor="text1"/>
          <w:highlight w:val="none"/>
          <w14:textFill>
            <w14:solidFill>
              <w14:schemeClr w14:val="tx1"/>
            </w14:solidFill>
          </w14:textFill>
        </w:rPr>
        <w:t xml:space="preserve">  天然气管道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17</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w:t>
      </w:r>
    </w:p>
    <w:p w14:paraId="3E05FBA1">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9.5</w:t>
      </w:r>
      <w:r>
        <w:rPr>
          <w:rFonts w:ascii="Times New Roman" w:hAnsi="Times New Roman" w:eastAsia="方正书宋简体" w:cs="Times New Roman"/>
          <w:color w:val="000000" w:themeColor="text1"/>
          <w:highlight w:val="none"/>
          <w14:textFill>
            <w14:solidFill>
              <w14:schemeClr w14:val="tx1"/>
            </w14:solidFill>
          </w14:textFill>
        </w:rPr>
        <w:t xml:space="preserve">  热力管道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71</w:t>
      </w:r>
    </w:p>
    <w:p w14:paraId="069333D2">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9.6 </w:t>
      </w:r>
      <w:r>
        <w:rPr>
          <w:rFonts w:ascii="Times New Roman" w:hAnsi="Times New Roman" w:eastAsia="方正书宋简体" w:cs="Times New Roman"/>
          <w:color w:val="000000" w:themeColor="text1"/>
          <w:highlight w:val="none"/>
          <w14:textFill>
            <w14:solidFill>
              <w14:schemeClr w14:val="tx1"/>
            </w14:solidFill>
          </w14:textFill>
        </w:rPr>
        <w:t xml:space="preserve"> 电力电缆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72</w:t>
      </w:r>
    </w:p>
    <w:p w14:paraId="5837BB15">
      <w:pPr>
        <w:tabs>
          <w:tab w:val="right" w:leader="middleDot" w:pos="6096"/>
        </w:tabs>
        <w:overflowPunct w:val="0"/>
        <w:spacing w:line="348" w:lineRule="exact"/>
        <w:ind w:firstLine="316" w:firstLineChars="15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9.7</w:t>
      </w:r>
      <w:r>
        <w:rPr>
          <w:rFonts w:ascii="Times New Roman" w:hAnsi="Times New Roman" w:eastAsia="方正书宋简体" w:cs="Times New Roman"/>
          <w:color w:val="000000" w:themeColor="text1"/>
          <w:highlight w:val="none"/>
          <w14:textFill>
            <w14:solidFill>
              <w14:schemeClr w14:val="tx1"/>
            </w14:solidFill>
          </w14:textFill>
        </w:rPr>
        <w:t xml:space="preserve">  通信线缆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73</w:t>
      </w:r>
    </w:p>
    <w:p w14:paraId="1246481A">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ascii="Times New Roman" w:hAnsi="Times New Roman" w:eastAsia="方正书宋简体" w:cs="Times New Roman"/>
          <w:color w:val="000000" w:themeColor="text1"/>
          <w:highlight w:val="none"/>
          <w14:textFill>
            <w14:solidFill>
              <w14:schemeClr w14:val="tx1"/>
            </w14:solidFill>
          </w14:textFill>
        </w:rPr>
        <w:t xml:space="preserve">  结构施工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74</w:t>
      </w:r>
    </w:p>
    <w:p w14:paraId="2D48C7D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74</w:t>
      </w:r>
    </w:p>
    <w:p w14:paraId="5C266382">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10.2</w:t>
      </w:r>
      <w:r>
        <w:rPr>
          <w:rFonts w:ascii="Times New Roman" w:hAnsi="Times New Roman" w:eastAsia="方正书宋简体" w:cs="Times New Roman"/>
          <w:color w:val="000000" w:themeColor="text1"/>
          <w:highlight w:val="none"/>
          <w14:textFill>
            <w14:solidFill>
              <w14:schemeClr w14:val="tx1"/>
            </w14:solidFill>
          </w14:textFill>
        </w:rPr>
        <w:t xml:space="preserve">  施工测量</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75</w:t>
      </w:r>
    </w:p>
    <w:p w14:paraId="0A5C8705">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10.3</w:t>
      </w:r>
      <w:r>
        <w:rPr>
          <w:rFonts w:ascii="Times New Roman" w:hAnsi="Times New Roman" w:eastAsia="方正书宋简体" w:cs="Times New Roman"/>
          <w:color w:val="000000" w:themeColor="text1"/>
          <w:highlight w:val="none"/>
          <w14:textFill>
            <w14:solidFill>
              <w14:schemeClr w14:val="tx1"/>
            </w14:solidFill>
          </w14:textFill>
        </w:rPr>
        <w:t xml:space="preserve">  地基、沟槽（基坑）</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76</w:t>
      </w:r>
    </w:p>
    <w:p w14:paraId="3691C736">
      <w:pPr>
        <w:tabs>
          <w:tab w:val="right" w:leader="middleDot" w:pos="6096"/>
        </w:tabs>
        <w:overflowPunct w:val="0"/>
        <w:spacing w:line="348" w:lineRule="exact"/>
        <w:ind w:firstLine="422" w:firstLineChars="200"/>
        <w:rPr>
          <w:rFonts w:hint="default" w:ascii="Times New Roman" w:hAnsi="Times New Roman" w:eastAsia="方正书宋简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 xml:space="preserve">10.4 </w:t>
      </w:r>
      <w:r>
        <w:rPr>
          <w:rFonts w:hint="eastAsia" w:ascii="Times New Roman" w:hAnsi="Times New Roman" w:eastAsia="方正书宋简体" w:cs="Times New Roman"/>
          <w:b w:val="0"/>
          <w:bCs w:val="0"/>
          <w:color w:val="000000" w:themeColor="text1"/>
          <w:highlight w:val="none"/>
          <w:lang w:val="en-US" w:eastAsia="zh-CN"/>
          <w14:textFill>
            <w14:solidFill>
              <w14:schemeClr w14:val="tx1"/>
            </w14:solidFill>
          </w14:textFill>
        </w:rPr>
        <w:t xml:space="preserve"> 现浇结构施工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76</w:t>
      </w:r>
    </w:p>
    <w:p w14:paraId="73A6295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10.5</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装配式</w:t>
      </w:r>
      <w:r>
        <w:rPr>
          <w:rFonts w:ascii="Times New Roman" w:hAnsi="Times New Roman" w:eastAsia="方正书宋简体" w:cs="Times New Roman"/>
          <w:color w:val="000000" w:themeColor="text1"/>
          <w:highlight w:val="none"/>
          <w14:textFill>
            <w14:solidFill>
              <w14:schemeClr w14:val="tx1"/>
            </w14:solidFill>
          </w14:textFill>
        </w:rPr>
        <w:t>结构</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77</w:t>
      </w:r>
    </w:p>
    <w:p w14:paraId="5C687B2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10.6</w:t>
      </w:r>
      <w:r>
        <w:rPr>
          <w:rFonts w:ascii="Times New Roman" w:hAnsi="Times New Roman" w:eastAsia="方正书宋简体" w:cs="Times New Roman"/>
          <w:color w:val="000000" w:themeColor="text1"/>
          <w:highlight w:val="none"/>
          <w14:textFill>
            <w14:solidFill>
              <w14:schemeClr w14:val="tx1"/>
            </w14:solidFill>
          </w14:textFill>
        </w:rPr>
        <w:t xml:space="preserve">  预应力工程</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78</w:t>
      </w:r>
    </w:p>
    <w:p w14:paraId="4018B96F">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7</w:t>
      </w:r>
      <w:r>
        <w:rPr>
          <w:rFonts w:ascii="Times New Roman" w:hAnsi="Times New Roman" w:eastAsia="方正书宋简体" w:cs="Times New Roman"/>
          <w:color w:val="000000" w:themeColor="text1"/>
          <w:highlight w:val="none"/>
          <w14:textFill>
            <w14:solidFill>
              <w14:schemeClr w14:val="tx1"/>
            </w14:solidFill>
          </w14:textFill>
        </w:rPr>
        <w:t xml:space="preserve">  顶推施工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6DEAC40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 xml:space="preserve">  防水施工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79</w:t>
      </w:r>
    </w:p>
    <w:p w14:paraId="62701AEF">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9</w:t>
      </w:r>
      <w:r>
        <w:rPr>
          <w:rFonts w:ascii="Times New Roman" w:hAnsi="Times New Roman" w:eastAsia="方正书宋简体" w:cs="Times New Roman"/>
          <w:color w:val="000000" w:themeColor="text1"/>
          <w:highlight w:val="none"/>
          <w14:textFill>
            <w14:solidFill>
              <w14:schemeClr w14:val="tx1"/>
            </w14:solidFill>
          </w14:textFill>
        </w:rPr>
        <w:t xml:space="preserve">  施工成品保护</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0</w:t>
      </w:r>
    </w:p>
    <w:p w14:paraId="01C6388A">
      <w:pPr>
        <w:tabs>
          <w:tab w:val="right" w:leader="middleDot" w:pos="6096"/>
        </w:tabs>
        <w:overflowPunct w:val="0"/>
        <w:spacing w:line="348" w:lineRule="exact"/>
        <w:ind w:firstLine="422" w:firstLineChars="20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10.1</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0</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季节性</w:t>
      </w:r>
      <w:r>
        <w:rPr>
          <w:rFonts w:ascii="Times New Roman" w:hAnsi="Times New Roman" w:eastAsia="方正书宋简体" w:cs="Times New Roman"/>
          <w:color w:val="000000" w:themeColor="text1"/>
          <w:highlight w:val="none"/>
          <w14:textFill>
            <w14:solidFill>
              <w14:schemeClr w14:val="tx1"/>
            </w14:solidFill>
          </w14:textFill>
        </w:rPr>
        <w:t>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w:t>
      </w:r>
      <w:r>
        <w:rPr>
          <w:rFonts w:ascii="Times New Roman" w:hAnsi="Times New Roman" w:eastAsia="方正书宋简体" w:cs="Times New Roman"/>
          <w:color w:val="000000" w:themeColor="text1"/>
          <w:highlight w:val="none"/>
          <w14:textFill>
            <w14:solidFill>
              <w14:schemeClr w14:val="tx1"/>
            </w14:solidFill>
          </w14:textFill>
        </w:rPr>
        <w:t>0</w:t>
      </w:r>
    </w:p>
    <w:p w14:paraId="2C73C752">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w:t>
      </w:r>
      <w:r>
        <w:rPr>
          <w:rFonts w:ascii="Times New Roman" w:hAnsi="Times New Roman" w:eastAsia="方正书宋简体" w:cs="Times New Roman"/>
          <w:color w:val="000000" w:themeColor="text1"/>
          <w:highlight w:val="none"/>
          <w14:textFill>
            <w14:solidFill>
              <w14:schemeClr w14:val="tx1"/>
            </w14:solidFill>
          </w14:textFill>
        </w:rPr>
        <w:t xml:space="preserve">  附属设施施工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82</w:t>
      </w:r>
    </w:p>
    <w:p w14:paraId="70B26FA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82</w:t>
      </w:r>
    </w:p>
    <w:p w14:paraId="08733D5B">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11.2</w:t>
      </w:r>
      <w:r>
        <w:rPr>
          <w:rFonts w:ascii="Times New Roman" w:hAnsi="Times New Roman" w:eastAsia="方正书宋简体" w:cs="Times New Roman"/>
          <w:color w:val="000000" w:themeColor="text1"/>
          <w:highlight w:val="none"/>
          <w14:textFill>
            <w14:solidFill>
              <w14:schemeClr w14:val="tx1"/>
            </w14:solidFill>
          </w14:textFill>
        </w:rPr>
        <w:t xml:space="preserve">  消防系统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82</w:t>
      </w:r>
    </w:p>
    <w:p w14:paraId="48058920">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11.3</w:t>
      </w:r>
      <w:r>
        <w:rPr>
          <w:rFonts w:ascii="Times New Roman" w:hAnsi="Times New Roman" w:eastAsia="方正书宋简体" w:cs="Times New Roman"/>
          <w:color w:val="000000" w:themeColor="text1"/>
          <w:highlight w:val="none"/>
          <w14:textFill>
            <w14:solidFill>
              <w14:schemeClr w14:val="tx1"/>
            </w14:solidFill>
          </w14:textFill>
        </w:rPr>
        <w:t xml:space="preserve">  通风系统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176A6BE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11.4</w:t>
      </w:r>
      <w:r>
        <w:rPr>
          <w:rFonts w:ascii="Times New Roman" w:hAnsi="Times New Roman" w:eastAsia="方正书宋简体" w:cs="Times New Roman"/>
          <w:color w:val="000000" w:themeColor="text1"/>
          <w:highlight w:val="none"/>
          <w14:textFill>
            <w14:solidFill>
              <w14:schemeClr w14:val="tx1"/>
            </w14:solidFill>
          </w14:textFill>
        </w:rPr>
        <w:t xml:space="preserve">  供电系统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68B9C67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11.5</w:t>
      </w:r>
      <w:r>
        <w:rPr>
          <w:rFonts w:ascii="Times New Roman" w:hAnsi="Times New Roman" w:eastAsia="方正书宋简体" w:cs="Times New Roman"/>
          <w:color w:val="000000" w:themeColor="text1"/>
          <w:highlight w:val="none"/>
          <w14:textFill>
            <w14:solidFill>
              <w14:schemeClr w14:val="tx1"/>
            </w14:solidFill>
          </w14:textFill>
        </w:rPr>
        <w:t xml:space="preserve">  照明系统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83</w:t>
      </w:r>
    </w:p>
    <w:p w14:paraId="39FEDB3B">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11.6 </w:t>
      </w:r>
      <w:r>
        <w:rPr>
          <w:rFonts w:ascii="Times New Roman" w:hAnsi="Times New Roman" w:eastAsia="方正书宋简体" w:cs="Times New Roman"/>
          <w:color w:val="000000" w:themeColor="text1"/>
          <w:highlight w:val="none"/>
          <w14:textFill>
            <w14:solidFill>
              <w14:schemeClr w14:val="tx1"/>
            </w14:solidFill>
          </w14:textFill>
        </w:rPr>
        <w:t xml:space="preserve"> 监控与报警系统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84</w:t>
      </w:r>
    </w:p>
    <w:p w14:paraId="012D3BC8">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11.7 </w:t>
      </w:r>
      <w:r>
        <w:rPr>
          <w:rFonts w:ascii="Times New Roman" w:hAnsi="Times New Roman" w:eastAsia="方正书宋简体" w:cs="Times New Roman"/>
          <w:color w:val="000000" w:themeColor="text1"/>
          <w:highlight w:val="none"/>
          <w14:textFill>
            <w14:solidFill>
              <w14:schemeClr w14:val="tx1"/>
            </w14:solidFill>
          </w14:textFill>
        </w:rPr>
        <w:t xml:space="preserve"> 排水系统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84</w:t>
      </w:r>
    </w:p>
    <w:p w14:paraId="3F5B16D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11.8</w:t>
      </w:r>
      <w:r>
        <w:rPr>
          <w:rFonts w:ascii="Times New Roman" w:hAnsi="Times New Roman" w:eastAsia="方正书宋简体" w:cs="Times New Roman"/>
          <w:color w:val="000000" w:themeColor="text1"/>
          <w:highlight w:val="none"/>
          <w14:textFill>
            <w14:solidFill>
              <w14:schemeClr w14:val="tx1"/>
            </w14:solidFill>
          </w14:textFill>
        </w:rPr>
        <w:t xml:space="preserve">  标识系统</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84</w:t>
      </w:r>
    </w:p>
    <w:p w14:paraId="2488E066">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12 </w:t>
      </w:r>
      <w:r>
        <w:rPr>
          <w:rFonts w:ascii="Times New Roman" w:hAnsi="Times New Roman" w:eastAsia="方正书宋简体" w:cs="Times New Roman"/>
          <w:color w:val="000000" w:themeColor="text1"/>
          <w:highlight w:val="none"/>
          <w14:textFill>
            <w14:solidFill>
              <w14:schemeClr w14:val="tx1"/>
            </w14:solidFill>
          </w14:textFill>
        </w:rPr>
        <w:t xml:space="preserve"> 管线工程施工</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85</w:t>
      </w:r>
    </w:p>
    <w:p w14:paraId="32156C4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12.1</w:t>
      </w:r>
      <w:r>
        <w:rPr>
          <w:rFonts w:ascii="Times New Roman" w:hAnsi="Times New Roman" w:eastAsia="方正书宋简体" w:cs="Times New Roman"/>
          <w:color w:val="000000" w:themeColor="text1"/>
          <w:highlight w:val="none"/>
          <w14:textFill>
            <w14:solidFill>
              <w14:schemeClr w14:val="tx1"/>
            </w14:solidFill>
          </w14:textFill>
        </w:rPr>
        <w:t xml:space="preserve">  一般规定</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85</w:t>
      </w:r>
    </w:p>
    <w:p w14:paraId="7AE743EB">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12.2</w:t>
      </w:r>
      <w:r>
        <w:rPr>
          <w:rFonts w:ascii="Times New Roman" w:hAnsi="Times New Roman" w:eastAsia="方正书宋简体" w:cs="Times New Roman"/>
          <w:color w:val="000000" w:themeColor="text1"/>
          <w:highlight w:val="none"/>
          <w14:textFill>
            <w14:solidFill>
              <w14:schemeClr w14:val="tx1"/>
            </w14:solidFill>
          </w14:textFill>
        </w:rPr>
        <w:t xml:space="preserve">  给水及再生水管道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85</w:t>
      </w:r>
    </w:p>
    <w:p w14:paraId="152578B3">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12.3</w:t>
      </w:r>
      <w:r>
        <w:rPr>
          <w:rFonts w:ascii="Times New Roman" w:hAnsi="Times New Roman" w:eastAsia="方正书宋简体" w:cs="Times New Roman"/>
          <w:color w:val="000000" w:themeColor="text1"/>
          <w:highlight w:val="none"/>
          <w14:textFill>
            <w14:solidFill>
              <w14:schemeClr w14:val="tx1"/>
            </w14:solidFill>
          </w14:textFill>
        </w:rPr>
        <w:t xml:space="preserve">  排水管道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85</w:t>
      </w:r>
    </w:p>
    <w:p w14:paraId="599414E9">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12.4</w:t>
      </w:r>
      <w:r>
        <w:rPr>
          <w:rFonts w:ascii="Times New Roman" w:hAnsi="Times New Roman" w:eastAsia="方正书宋简体" w:cs="Times New Roman"/>
          <w:color w:val="000000" w:themeColor="text1"/>
          <w:highlight w:val="none"/>
          <w14:textFill>
            <w14:solidFill>
              <w14:schemeClr w14:val="tx1"/>
            </w14:solidFill>
          </w14:textFill>
        </w:rPr>
        <w:t xml:space="preserve">  燃气管道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86</w:t>
      </w:r>
    </w:p>
    <w:p w14:paraId="20F31D17">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12.5</w:t>
      </w:r>
      <w:r>
        <w:rPr>
          <w:rFonts w:ascii="Times New Roman" w:hAnsi="Times New Roman" w:eastAsia="方正书宋简体" w:cs="Times New Roman"/>
          <w:color w:val="000000" w:themeColor="text1"/>
          <w:highlight w:val="none"/>
          <w14:textFill>
            <w14:solidFill>
              <w14:schemeClr w14:val="tx1"/>
            </w14:solidFill>
          </w14:textFill>
        </w:rPr>
        <w:t xml:space="preserve">  热力管道</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87</w:t>
      </w:r>
    </w:p>
    <w:p w14:paraId="29AFCB28">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12.6</w:t>
      </w:r>
      <w:r>
        <w:rPr>
          <w:rFonts w:ascii="Times New Roman" w:hAnsi="Times New Roman" w:eastAsia="方正书宋简体" w:cs="Times New Roman"/>
          <w:color w:val="000000" w:themeColor="text1"/>
          <w:highlight w:val="none"/>
          <w14:textFill>
            <w14:solidFill>
              <w14:schemeClr w14:val="tx1"/>
            </w14:solidFill>
          </w14:textFill>
        </w:rPr>
        <w:t xml:space="preserve">  电力电缆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5811822A">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12.7</w:t>
      </w:r>
      <w:r>
        <w:rPr>
          <w:rFonts w:ascii="Times New Roman" w:hAnsi="Times New Roman" w:eastAsia="方正书宋简体" w:cs="Times New Roman"/>
          <w:color w:val="000000" w:themeColor="text1"/>
          <w:highlight w:val="none"/>
          <w14:textFill>
            <w14:solidFill>
              <w14:schemeClr w14:val="tx1"/>
            </w14:solidFill>
          </w14:textFill>
        </w:rPr>
        <w:t xml:space="preserve">  通信线缆</w:t>
      </w:r>
      <w:r>
        <w:rPr>
          <w:rFonts w:ascii="Times New Roman" w:hAnsi="Times New Roman" w:eastAsia="方正书宋简体" w:cs="Times New Roman"/>
          <w:color w:val="000000" w:themeColor="text1"/>
          <w:highlight w:val="none"/>
          <w14:textFill>
            <w14:solidFill>
              <w14:schemeClr w14:val="tx1"/>
            </w14:solidFill>
          </w14:textFill>
        </w:rPr>
        <w:tab/>
      </w:r>
      <w:r>
        <w:rPr>
          <w:rFonts w:ascii="Times New Roman" w:hAnsi="Times New Roman" w:eastAsia="方正书宋简体" w:cs="Times New Roman"/>
          <w:color w:val="000000" w:themeColor="text1"/>
          <w:highlight w:val="none"/>
          <w14:textFill>
            <w14:solidFill>
              <w14:schemeClr w14:val="tx1"/>
            </w14:solidFill>
          </w14:textFill>
        </w:rPr>
        <w:t>1</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88</w:t>
      </w:r>
    </w:p>
    <w:p w14:paraId="4CB0C7D1">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工程质量验收与资料管理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189</w:t>
      </w:r>
    </w:p>
    <w:p w14:paraId="337E7DD4">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w:t>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质量验收</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189</w:t>
      </w:r>
    </w:p>
    <w:p w14:paraId="7596E94D">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b/>
          <w:bCs/>
          <w:color w:val="000000" w:themeColor="text1"/>
          <w:highlight w:val="none"/>
          <w14:textFill>
            <w14:solidFill>
              <w14:schemeClr w14:val="tx1"/>
            </w14:solidFill>
          </w14:textFill>
        </w:rPr>
        <w:t>.</w:t>
      </w: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资料管理</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190</w:t>
      </w:r>
    </w:p>
    <w:p w14:paraId="650DAD6F">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安全与绿色施工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190</w:t>
      </w:r>
    </w:p>
    <w:p w14:paraId="7F0C84B1">
      <w:pPr>
        <w:tabs>
          <w:tab w:val="right" w:leader="middleDot" w:pos="6096"/>
        </w:tabs>
        <w:overflowPunct w:val="0"/>
        <w:spacing w:line="348" w:lineRule="exact"/>
        <w:ind w:firstLine="422" w:firstLineChars="200"/>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安全施工</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190</w:t>
      </w:r>
    </w:p>
    <w:p w14:paraId="44FD19FD">
      <w:pPr>
        <w:tabs>
          <w:tab w:val="right" w:leader="middleDot" w:pos="6096"/>
        </w:tabs>
        <w:overflowPunct w:val="0"/>
        <w:spacing w:line="348" w:lineRule="exact"/>
        <w:ind w:firstLine="422" w:firstLineChars="200"/>
        <w:rPr>
          <w:rFonts w:hint="default" w:ascii="Times New Roman" w:hAnsi="Times New Roman" w:eastAsia="方正书宋简体" w:cs="Times New Roman"/>
          <w:b/>
          <w:bCs/>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hint="eastAsia"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绿色、文明施工与环境保护</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191</w:t>
      </w:r>
    </w:p>
    <w:p w14:paraId="222E2911">
      <w:pPr>
        <w:tabs>
          <w:tab w:val="right" w:leader="middleDot" w:pos="6096"/>
        </w:tabs>
        <w:overflowPunct w:val="0"/>
        <w:spacing w:line="348" w:lineRule="exact"/>
        <w:rPr>
          <w:rFonts w:hint="default" w:ascii="Times New Roman" w:hAnsi="Times New Roman" w:eastAsia="方正书宋简体" w:cs="Times New Roman"/>
          <w:color w:val="000000" w:themeColor="text1"/>
          <w:highlight w:val="none"/>
          <w:lang w:val="en-US" w:eastAsia="zh-CN"/>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15</w:t>
      </w:r>
      <w:r>
        <w:rPr>
          <w:rFonts w:ascii="Times New Roman" w:hAnsi="Times New Roman" w:eastAsia="方正书宋简体" w:cs="Times New Roman"/>
          <w:color w:val="000000" w:themeColor="text1"/>
          <w:highlight w:val="none"/>
          <w14:textFill>
            <w14:solidFill>
              <w14:schemeClr w14:val="tx1"/>
            </w14:solidFill>
          </w14:textFill>
        </w:rPr>
        <w:t xml:space="preserve">  运营维护</w:t>
      </w:r>
      <w:r>
        <w:rPr>
          <w:rFonts w:ascii="Times New Roman" w:hAnsi="Times New Roman" w:eastAsia="方正书宋简体" w:cs="Times New Roman"/>
          <w:color w:val="000000" w:themeColor="text1"/>
          <w:highlight w:val="none"/>
          <w14:textFill>
            <w14:solidFill>
              <w14:schemeClr w14:val="tx1"/>
            </w14:solidFill>
          </w14:textFill>
        </w:rPr>
        <w:tab/>
      </w:r>
      <w:r>
        <w:rPr>
          <w:rFonts w:hint="eastAsia" w:ascii="Times New Roman" w:hAnsi="Times New Roman" w:eastAsia="方正书宋简体" w:cs="Times New Roman"/>
          <w:color w:val="000000" w:themeColor="text1"/>
          <w:highlight w:val="none"/>
          <w:lang w:val="en-US" w:eastAsia="zh-CN"/>
          <w14:textFill>
            <w14:solidFill>
              <w14:schemeClr w14:val="tx1"/>
            </w14:solidFill>
          </w14:textFill>
        </w:rPr>
        <w:t>193</w:t>
      </w:r>
    </w:p>
    <w:p w14:paraId="361B6BF9">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0D61CFD9">
      <w:pPr>
        <w:pStyle w:val="2"/>
        <w:rPr>
          <w:b w:val="0"/>
          <w:bCs w:val="0"/>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b w:val="0"/>
          <w:bCs w:val="0"/>
          <w:color w:val="000000" w:themeColor="text1"/>
          <w:highlight w:val="none"/>
          <w14:textFill>
            <w14:solidFill>
              <w14:schemeClr w14:val="tx1"/>
            </w14:solidFill>
          </w14:textFill>
        </w:rPr>
        <w:t>总  则</w:t>
      </w:r>
      <w:bookmarkEnd w:id="145"/>
    </w:p>
    <w:p w14:paraId="7DE5681E">
      <w:pPr>
        <w:pStyle w:val="5"/>
        <w:rPr>
          <w:highlight w:val="none"/>
        </w:rPr>
      </w:pPr>
      <w:r>
        <w:rPr>
          <w:b/>
          <w:highlight w:val="none"/>
        </w:rPr>
        <w:t>1.0.1</w:t>
      </w:r>
      <w:r>
        <w:rPr>
          <w:highlight w:val="none"/>
        </w:rPr>
        <w:t xml:space="preserve">  传统直埋管线的敷设及检修需不断破挖路面，形成“拉链式马路”，影响城市交通、破坏环境，且严重影响检修及增容；各种管线分属不同部门管理，信息不畅，易导致重复建设；井盖数量多，行车舒适度差；年代久远档案不全，地下空间开发时易造成既有管线破坏，带来不必要的损失；直埋管线与土壤接触，易造成管线腐蚀、损坏，且不易被发现，严重时产生巨大社会影响；电力线缆采用架空方式，占地大，影响城市规划及市容。</w:t>
      </w:r>
    </w:p>
    <w:p w14:paraId="57B13BAD">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城市地下空间开发利用是城市可持续发展的重要途径，地下综合管廊是地下空间开发利用的一个主要方面。</w:t>
      </w:r>
    </w:p>
    <w:p w14:paraId="454B3024">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下综合管廊对推进新型城镇化、补齐城市基础设施短板，实现城市发展方式的转变意义重大。建设城市地下综合管廊是保障城市运营安全的重要环节，可以加强管线检查维护，掌握管线管理信息，及时发现管线安全风险，消除安全隐患，避免发生管线事故。</w:t>
      </w:r>
    </w:p>
    <w:p w14:paraId="5A124C43">
      <w:pPr>
        <w:pStyle w:val="5"/>
        <w:rPr>
          <w:highlight w:val="none"/>
        </w:rPr>
      </w:pPr>
      <w:r>
        <w:rPr>
          <w:b/>
          <w:highlight w:val="none"/>
        </w:rPr>
        <w:t>1.0.2</w:t>
      </w:r>
      <w:r>
        <w:rPr>
          <w:highlight w:val="none"/>
        </w:rPr>
        <w:t xml:space="preserve">  山西省的综合管廊建设正处于起步阶段，一般为新建工程。但有些地下人防工程根据功能的改变，需要改建和扩建为综合管廊。</w:t>
      </w:r>
    </w:p>
    <w:p w14:paraId="45C1E160">
      <w:pPr>
        <w:pStyle w:val="5"/>
        <w:rPr>
          <w:highlight w:val="none"/>
          <w:u w:val="none"/>
        </w:rPr>
      </w:pPr>
      <w:r>
        <w:rPr>
          <w:b/>
          <w:highlight w:val="none"/>
        </w:rPr>
        <w:t>1.0.3</w:t>
      </w:r>
      <w:r>
        <w:rPr>
          <w:highlight w:val="none"/>
        </w:rPr>
        <w:t xml:space="preserve">  地下综合管廊是城市地下空间利用的一个有机组成部分，城市地下空间资源是宝贵而有限的，而且是不可逆的；城市地下空间利用应与城市地面、地上空间利用达到互补和互相协调。因此原则上综合管</w:t>
      </w:r>
      <w:r>
        <w:rPr>
          <w:highlight w:val="none"/>
          <w:u w:val="none"/>
        </w:rPr>
        <w:t>廊</w:t>
      </w:r>
      <w:r>
        <w:rPr>
          <w:rFonts w:hint="eastAsia"/>
          <w:color w:val="auto"/>
          <w:highlight w:val="none"/>
          <w:u w:val="none"/>
        </w:rPr>
        <w:t>工程专项</w:t>
      </w:r>
      <w:r>
        <w:rPr>
          <w:highlight w:val="none"/>
          <w:u w:val="none"/>
        </w:rPr>
        <w:t>规划应与城市地下空间规划以及城市建设总体规划同步协调进行。</w:t>
      </w:r>
    </w:p>
    <w:p w14:paraId="7E97991B">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条件不允许必须先行或单独</w:t>
      </w:r>
      <w:r>
        <w:rPr>
          <w:highlight w:val="none"/>
          <w:u w:val="none"/>
        </w:rPr>
        <w:t>规划</w:t>
      </w:r>
      <w:r>
        <w:rPr>
          <w:rFonts w:hint="eastAsia"/>
          <w:highlight w:val="none"/>
          <w:u w:val="none"/>
        </w:rPr>
        <w:t>建设</w:t>
      </w:r>
      <w:r>
        <w:rPr>
          <w:color w:val="000000" w:themeColor="text1"/>
          <w:highlight w:val="none"/>
          <w:u w:val="none"/>
          <w14:textFill>
            <w14:solidFill>
              <w14:schemeClr w14:val="tx1"/>
            </w14:solidFill>
          </w14:textFill>
        </w:rPr>
        <w:t>的综合管廊，必须根据城市总体规划与现有和拟建的城市地下步行通道系统、地下轨道交通、地下快速路系统以及为解决城市内涝问题而建设的地面</w:t>
      </w:r>
      <w:r>
        <w:rPr>
          <w:rFonts w:hint="eastAsia"/>
          <w:highlight w:val="none"/>
          <w:u w:val="none"/>
        </w:rPr>
        <w:t>与</w:t>
      </w:r>
      <w:r>
        <w:rPr>
          <w:color w:val="000000" w:themeColor="text1"/>
          <w:highlight w:val="none"/>
          <w:u w:val="none"/>
          <w14:textFill>
            <w14:solidFill>
              <w14:schemeClr w14:val="tx1"/>
            </w14:solidFill>
          </w14:textFill>
        </w:rPr>
        <w:t>地下“海绵”设施和贮排雨洪的城市地下河流、蓄排洪设施保持衔接即通过充分协调，达到统筹规划的编制。</w:t>
      </w:r>
    </w:p>
    <w:p w14:paraId="18D991F4">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综合管廊建设是百年大计，规划时还应充分考虑埋设深度，以及城市未来发展中对地下物流、垃圾集运和处理、雨水利用、</w:t>
      </w:r>
      <w:r>
        <w:rPr>
          <w:rFonts w:hint="eastAsia"/>
          <w:highlight w:val="none"/>
          <w:u w:val="none"/>
        </w:rPr>
        <w:t>再生水</w:t>
      </w:r>
      <w:r>
        <w:rPr>
          <w:color w:val="000000" w:themeColor="text1"/>
          <w:highlight w:val="none"/>
          <w:u w:val="none"/>
          <w14:textFill>
            <w14:solidFill>
              <w14:schemeClr w14:val="tx1"/>
            </w14:solidFill>
          </w14:textFill>
        </w:rPr>
        <w:t>输送乃至利用地热地冷资源实现城市供热供冷所需空间的规划要求，同时这也有利于提升综合管廊的经营性。</w:t>
      </w:r>
    </w:p>
    <w:p w14:paraId="2622E36E">
      <w:pPr>
        <w:pStyle w:val="59"/>
        <w:rPr>
          <w:highlight w:val="none"/>
          <w:u w:val="none"/>
        </w:rPr>
      </w:pPr>
      <w:r>
        <w:rPr>
          <w:rFonts w:hint="eastAsia"/>
          <w:highlight w:val="none"/>
          <w:u w:val="none"/>
        </w:rPr>
        <w:t>综合管廊建设基于各专业管线专项规划，专项规划时已经考虑了未来发展的需求，因此本次修订删除了“适度超前”，增加“安全适用、经济合理”的原则。</w:t>
      </w:r>
    </w:p>
    <w:p w14:paraId="6DC0FBE7">
      <w:pPr>
        <w:overflowPunct w:val="0"/>
        <w:spacing w:line="348" w:lineRule="exact"/>
        <w:jc w:val="left"/>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br w:type="page"/>
      </w:r>
    </w:p>
    <w:p w14:paraId="775293D5">
      <w:pPr>
        <w:pStyle w:val="2"/>
        <w:rPr>
          <w:color w:val="000000" w:themeColor="text1"/>
          <w:highlight w:val="none"/>
          <w14:textFill>
            <w14:solidFill>
              <w14:schemeClr w14:val="tx1"/>
            </w14:solidFill>
          </w14:textFill>
        </w:rPr>
      </w:pPr>
      <w:bookmarkStart w:id="146" w:name="_Toc37689813"/>
      <w:r>
        <w:rPr>
          <w:color w:val="000000" w:themeColor="text1"/>
          <w:highlight w:val="none"/>
          <w14:textFill>
            <w14:solidFill>
              <w14:schemeClr w14:val="tx1"/>
            </w14:solidFill>
          </w14:textFill>
        </w:rPr>
        <w:t xml:space="preserve">2  </w:t>
      </w:r>
      <w:r>
        <w:rPr>
          <w:b w:val="0"/>
          <w:bCs w:val="0"/>
          <w:color w:val="000000" w:themeColor="text1"/>
          <w:highlight w:val="none"/>
          <w14:textFill>
            <w14:solidFill>
              <w14:schemeClr w14:val="tx1"/>
            </w14:solidFill>
          </w14:textFill>
        </w:rPr>
        <w:t>术</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语</w:t>
      </w:r>
      <w:bookmarkEnd w:id="146"/>
    </w:p>
    <w:p w14:paraId="6FC4CE39">
      <w:pPr>
        <w:pStyle w:val="5"/>
        <w:rPr>
          <w:b/>
          <w:color w:val="auto"/>
          <w:highlight w:val="none"/>
          <w:u w:val="none"/>
        </w:rPr>
      </w:pPr>
      <w:r>
        <w:rPr>
          <w:rFonts w:hint="eastAsia"/>
          <w:b/>
          <w:color w:val="auto"/>
          <w:highlight w:val="none"/>
          <w:u w:val="none"/>
        </w:rPr>
        <w:t xml:space="preserve">2.0.1  </w:t>
      </w:r>
      <w:r>
        <w:rPr>
          <w:rFonts w:hint="eastAsia"/>
          <w:bCs/>
          <w:color w:val="auto"/>
          <w:highlight w:val="none"/>
          <w:u w:val="none"/>
        </w:rPr>
        <w:t>本次对综合管廊的定义进行了修正，与国家标准统一，同时增加了小型综合管廊的分类。</w:t>
      </w:r>
    </w:p>
    <w:p w14:paraId="79CD6BB1">
      <w:pPr>
        <w:pStyle w:val="5"/>
        <w:rPr>
          <w:highlight w:val="none"/>
          <w:u w:val="none"/>
        </w:rPr>
      </w:pPr>
      <w:r>
        <w:rPr>
          <w:b/>
          <w:highlight w:val="none"/>
          <w:u w:val="none"/>
        </w:rPr>
        <w:t>2.0.2</w:t>
      </w:r>
      <w:r>
        <w:rPr>
          <w:highlight w:val="none"/>
          <w:u w:val="none"/>
        </w:rPr>
        <w:t xml:space="preserve">  干线综合管廊一般</w:t>
      </w:r>
      <w:r>
        <w:rPr>
          <w:rFonts w:hint="eastAsia"/>
          <w:highlight w:val="none"/>
          <w:u w:val="none"/>
        </w:rPr>
        <w:t>包括两种子类型，一种只容纳城市主干工程管线的主要干线综合管廊，不直接向用户提供服务；另一种同时容纳主干和配给工程管线的干支混合综合管廊，可兼顾向用户提供服务。</w:t>
      </w:r>
    </w:p>
    <w:p w14:paraId="46FB0B43">
      <w:pPr>
        <w:pStyle w:val="59"/>
        <w:rPr>
          <w:color w:val="000000" w:themeColor="text1"/>
          <w:highlight w:val="none"/>
          <w14:textFill>
            <w14:solidFill>
              <w14:schemeClr w14:val="tx1"/>
            </w14:solidFill>
          </w14:textFill>
        </w:rPr>
      </w:pPr>
      <w:r>
        <w:rPr>
          <w:color w:val="000000" w:themeColor="text1"/>
          <w:highlight w:val="none"/>
          <w:u w:val="none"/>
          <w14:textFill>
            <w14:solidFill>
              <w14:schemeClr w14:val="tx1"/>
            </w14:solidFill>
          </w14:textFill>
        </w:rPr>
        <w:t>干线综合管廊主要连接原站（如自来水厂、发电厂、热力厂等）与支线综合管廊。其一般不直接服务于沿线地区。干线综合管廊内主要容纳的管线为高压电力电缆、</w:t>
      </w:r>
      <w:r>
        <w:rPr>
          <w:color w:val="000000" w:themeColor="text1"/>
          <w:highlight w:val="none"/>
          <w14:textFill>
            <w14:solidFill>
              <w14:schemeClr w14:val="tx1"/>
            </w14:solidFill>
          </w14:textFill>
        </w:rPr>
        <w:t>信息主干电缆或光缆、给水主干管管道、热力主干管道等，有时结合地形也将排水管道容纳在内。在干线综合管廊内，电力电缆主要从超高压变电站输送到一、二次变电站，信息电缆或光缆主要为转接局之间的信息传输，热力管道主要为热力厂至调压站之间的输送。干线综合管廊的断面通常为圆形或多格箱形，如图 1 所示。综合管廊内一般要求设置工作通道及照明、通风等设备。干线综合管廊的特点主要为：</w:t>
      </w:r>
    </w:p>
    <w:p w14:paraId="75A23341">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1）稳定、大流量的运输；</w:t>
      </w:r>
    </w:p>
    <w:p w14:paraId="6A953873">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2）高度的安全性；</w:t>
      </w:r>
    </w:p>
    <w:p w14:paraId="79A38D15">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3）紧凑的内部结构；</w:t>
      </w:r>
    </w:p>
    <w:p w14:paraId="126861C2">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4）可直接供给到稳定使用的大型客户；</w:t>
      </w:r>
    </w:p>
    <w:p w14:paraId="497AFE28">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5）一般需要专用的设备；</w:t>
      </w:r>
    </w:p>
    <w:p w14:paraId="0E752498">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6）管理及运营比较简单。</w:t>
      </w:r>
    </w:p>
    <w:p w14:paraId="3F098973">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122930" cy="1476375"/>
            <wp:effectExtent l="0" t="0" r="1270" b="9525"/>
            <wp:docPr id="1" name="图片 1" descr="H:/2025.5.7     安装公司雍琦的/图1.tif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2025.5.7     安装公司雍琦的/图1.tif图1"/>
                    <pic:cNvPicPr>
                      <a:picLocks noChangeAspect="1"/>
                    </pic:cNvPicPr>
                  </pic:nvPicPr>
                  <pic:blipFill>
                    <a:blip r:embed="rId23"/>
                    <a:srcRect t="31" b="31"/>
                    <a:stretch>
                      <a:fillRect/>
                    </a:stretch>
                  </pic:blipFill>
                  <pic:spPr>
                    <a:xfrm>
                      <a:off x="0" y="0"/>
                      <a:ext cx="3122930" cy="1476375"/>
                    </a:xfrm>
                    <a:prstGeom prst="rect">
                      <a:avLst/>
                    </a:prstGeom>
                  </pic:spPr>
                </pic:pic>
              </a:graphicData>
            </a:graphic>
          </wp:inline>
        </w:drawing>
      </w:r>
    </w:p>
    <w:p w14:paraId="6BEADD63">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1</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干线综合管廊示意图</w:t>
      </w:r>
    </w:p>
    <w:p w14:paraId="21F8308C">
      <w:pPr>
        <w:pStyle w:val="5"/>
        <w:rPr>
          <w:highlight w:val="none"/>
        </w:rPr>
      </w:pPr>
      <w:r>
        <w:rPr>
          <w:b/>
          <w:highlight w:val="none"/>
        </w:rPr>
        <w:t xml:space="preserve">2.0.3 </w:t>
      </w:r>
      <w:r>
        <w:rPr>
          <w:highlight w:val="none"/>
        </w:rPr>
        <w:t xml:space="preserve"> 支线综合管廊主要用于将各种管线从干线综合管廊分配、输送至各直接用户。其一般设置在道路的两旁，容纳直接服务于沿线地区的各种管线。支线综合管廊的截面以矩形较为常见，一般为单舱或双舱箱形结构，如（图2）所示。综合管廊内一般要求设置工作通道及照明、通风等设备。支线综合管廊的特点主要为：</w:t>
      </w:r>
    </w:p>
    <w:p w14:paraId="16B026F6">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1）有效（内部空间）截面较小；</w:t>
      </w:r>
    </w:p>
    <w:p w14:paraId="7ED3680E">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2）结构简单，施工方便；</w:t>
      </w:r>
    </w:p>
    <w:p w14:paraId="0F4BE63D">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3）多为常用定型设备；</w:t>
      </w:r>
    </w:p>
    <w:p w14:paraId="6DCC5D17">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4）一般不直接服务于大型客户。</w:t>
      </w:r>
    </w:p>
    <w:p w14:paraId="541C3EA1">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177540" cy="1882140"/>
            <wp:effectExtent l="0" t="0" r="7620" b="7620"/>
            <wp:docPr id="5" name="图片 5" descr="H:/2025.5.7     安装公司雍琦的/图2.tif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2025.5.7     安装公司雍琦的/图2.tif图2"/>
                    <pic:cNvPicPr>
                      <a:picLocks noChangeAspect="1"/>
                    </pic:cNvPicPr>
                  </pic:nvPicPr>
                  <pic:blipFill>
                    <a:blip r:embed="rId24"/>
                    <a:srcRect l="20" r="20"/>
                    <a:stretch>
                      <a:fillRect/>
                    </a:stretch>
                  </pic:blipFill>
                  <pic:spPr>
                    <a:xfrm>
                      <a:off x="0" y="0"/>
                      <a:ext cx="3177540" cy="1882140"/>
                    </a:xfrm>
                    <a:prstGeom prst="rect">
                      <a:avLst/>
                    </a:prstGeom>
                  </pic:spPr>
                </pic:pic>
              </a:graphicData>
            </a:graphic>
          </wp:inline>
        </w:drawing>
      </w:r>
    </w:p>
    <w:p w14:paraId="5A9B8951">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2</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支线综合管廊示意图</w:t>
      </w:r>
    </w:p>
    <w:p w14:paraId="461A9A61">
      <w:pPr>
        <w:pStyle w:val="59"/>
        <w:rPr>
          <w:highlight w:val="none"/>
          <w:u w:val="none"/>
        </w:rPr>
      </w:pPr>
      <w:r>
        <w:rPr>
          <w:rFonts w:hint="eastAsia"/>
          <w:highlight w:val="none"/>
          <w:u w:val="none"/>
        </w:rPr>
        <w:t>本次对干线、支线综合管廊的定义进行了修正，与国家标准统一，调整了干线管廊的定义在于其容纳工程管线的类别和等级，而非敷设位置或断面形式。</w:t>
      </w:r>
    </w:p>
    <w:p w14:paraId="2DA878B8">
      <w:pPr>
        <w:pStyle w:val="5"/>
        <w:rPr>
          <w:highlight w:val="none"/>
        </w:rPr>
      </w:pPr>
      <w:r>
        <w:rPr>
          <w:b/>
          <w:highlight w:val="none"/>
          <w:u w:val="none"/>
        </w:rPr>
        <w:t>2.0.4</w:t>
      </w:r>
      <w:r>
        <w:rPr>
          <w:highlight w:val="none"/>
          <w:u w:val="none"/>
        </w:rPr>
        <w:t xml:space="preserve">  </w:t>
      </w:r>
      <w:r>
        <w:rPr>
          <w:rFonts w:hint="eastAsia"/>
          <w:highlight w:val="none"/>
          <w:u w:val="none"/>
        </w:rPr>
        <w:t>小型综合</w:t>
      </w:r>
      <w:r>
        <w:rPr>
          <w:highlight w:val="none"/>
          <w:u w:val="none"/>
        </w:rPr>
        <w:t>管廊</w:t>
      </w:r>
      <w:r>
        <w:rPr>
          <w:highlight w:val="none"/>
        </w:rPr>
        <w:t>一般设置在道路的人行道下面，其埋深较浅。截面以矩形较为常见，如（图3）所示。一般工作通道不要求通行，管廊内不要求设置照明、通风等设备，仅设置供维护时可开启的盖板或工作手孔即可。</w:t>
      </w:r>
    </w:p>
    <w:p w14:paraId="5B57F5B5">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127375" cy="1809750"/>
            <wp:effectExtent l="0" t="0" r="15875" b="0"/>
            <wp:docPr id="64" name="图片 64" descr="H:/2025.5.7     安装公司雍琦的/图3.tif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H:/2025.5.7     安装公司雍琦的/图3.tif图3"/>
                    <pic:cNvPicPr>
                      <a:picLocks noChangeAspect="1"/>
                    </pic:cNvPicPr>
                  </pic:nvPicPr>
                  <pic:blipFill>
                    <a:blip r:embed="rId25"/>
                    <a:srcRect/>
                    <a:stretch>
                      <a:fillRect/>
                    </a:stretch>
                  </pic:blipFill>
                  <pic:spPr>
                    <a:xfrm>
                      <a:off x="0" y="0"/>
                      <a:ext cx="3127375" cy="1809750"/>
                    </a:xfrm>
                    <a:prstGeom prst="rect">
                      <a:avLst/>
                    </a:prstGeom>
                  </pic:spPr>
                </pic:pic>
              </a:graphicData>
            </a:graphic>
          </wp:inline>
        </w:drawing>
      </w:r>
    </w:p>
    <w:p w14:paraId="5879F592">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3</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w:t>
      </w:r>
      <w:r>
        <w:rPr>
          <w:rFonts w:hint="eastAsia" w:ascii="Times New Roman" w:hAnsi="Times New Roman" w:eastAsia="方正黑体简体" w:cs="Times New Roman"/>
          <w:bCs/>
          <w:color w:val="000000" w:themeColor="text1"/>
          <w:sz w:val="18"/>
          <w:szCs w:val="18"/>
          <w:highlight w:val="none"/>
          <w:u w:val="none"/>
          <w14:textFill>
            <w14:solidFill>
              <w14:schemeClr w14:val="tx1"/>
            </w14:solidFill>
          </w14:textFill>
        </w:rPr>
        <w:t>小型</w:t>
      </w:r>
      <w:r>
        <w:rPr>
          <w:rFonts w:ascii="Times New Roman" w:hAnsi="Times New Roman" w:eastAsia="方正黑体简体" w:cs="Times New Roman"/>
          <w:bCs/>
          <w:color w:val="000000" w:themeColor="text1"/>
          <w:sz w:val="18"/>
          <w:szCs w:val="18"/>
          <w:highlight w:val="none"/>
          <w:u w:val="none"/>
          <w14:textFill>
            <w14:solidFill>
              <w14:schemeClr w14:val="tx1"/>
            </w14:solidFill>
          </w14:textFill>
        </w:rPr>
        <w:t>综合</w:t>
      </w:r>
      <w:r>
        <w:rPr>
          <w:rFonts w:ascii="Times New Roman" w:hAnsi="Times New Roman" w:eastAsia="方正黑体简体" w:cs="Times New Roman"/>
          <w:bCs/>
          <w:color w:val="000000" w:themeColor="text1"/>
          <w:sz w:val="18"/>
          <w:szCs w:val="18"/>
          <w:highlight w:val="none"/>
          <w14:textFill>
            <w14:solidFill>
              <w14:schemeClr w14:val="tx1"/>
            </w14:solidFill>
          </w14:textFill>
        </w:rPr>
        <w:t>管廊示意图</w:t>
      </w:r>
    </w:p>
    <w:p w14:paraId="2B682154">
      <w:pPr>
        <w:pStyle w:val="59"/>
        <w:rPr>
          <w:highlight w:val="none"/>
          <w:u w:val="none"/>
        </w:rPr>
      </w:pPr>
      <w:r>
        <w:rPr>
          <w:rFonts w:hint="eastAsia"/>
          <w:highlight w:val="none"/>
          <w:u w:val="none"/>
        </w:rPr>
        <w:t>本次修订取消了缆线管廊分类，增加小型综合管廊分类，与国家标准统一。小型综合管廊扩展了将入廊管线从“缆线”扩展到了管线，并结合3.0.7、6.3.1条规定了管廊的附属设施与断面尺寸的要求，排除了传统的排管敷设管线形式。</w:t>
      </w:r>
    </w:p>
    <w:p w14:paraId="7B3D7830">
      <w:pPr>
        <w:overflowPunct w:val="0"/>
        <w:spacing w:line="348" w:lineRule="exact"/>
        <w:jc w:val="left"/>
        <w:rPr>
          <w:rFonts w:ascii="Times New Roman" w:hAnsi="Times New Roman" w:eastAsia="方正书宋简体" w:cs="Times New Roman"/>
          <w:b/>
          <w:bCs/>
          <w:color w:val="000000" w:themeColor="text1"/>
          <w:kern w:val="44"/>
          <w:highlight w:val="none"/>
          <w:u w:val="none"/>
          <w14:textFill>
            <w14:solidFill>
              <w14:schemeClr w14:val="tx1"/>
            </w14:solidFill>
          </w14:textFill>
        </w:rPr>
      </w:pPr>
      <w:r>
        <w:rPr>
          <w:rFonts w:ascii="Times New Roman" w:hAnsi="Times New Roman" w:eastAsia="方正书宋简体" w:cs="Times New Roman"/>
          <w:color w:val="000000" w:themeColor="text1"/>
          <w:highlight w:val="none"/>
          <w:u w:val="none"/>
          <w14:textFill>
            <w14:solidFill>
              <w14:schemeClr w14:val="tx1"/>
            </w14:solidFill>
          </w14:textFill>
        </w:rPr>
        <w:br w:type="page"/>
      </w:r>
    </w:p>
    <w:p w14:paraId="344A5189">
      <w:pPr>
        <w:pStyle w:val="2"/>
        <w:rPr>
          <w:color w:val="000000" w:themeColor="text1"/>
          <w:highlight w:val="none"/>
          <w:u w:val="none"/>
          <w14:textFill>
            <w14:solidFill>
              <w14:schemeClr w14:val="tx1"/>
            </w14:solidFill>
          </w14:textFill>
        </w:rPr>
      </w:pPr>
      <w:bookmarkStart w:id="147" w:name="_Toc37689815"/>
      <w:r>
        <w:rPr>
          <w:color w:val="000000" w:themeColor="text1"/>
          <w:highlight w:val="none"/>
          <w:u w:val="none"/>
          <w14:textFill>
            <w14:solidFill>
              <w14:schemeClr w14:val="tx1"/>
            </w14:solidFill>
          </w14:textFill>
        </w:rPr>
        <w:t xml:space="preserve">3  </w:t>
      </w:r>
      <w:r>
        <w:rPr>
          <w:b w:val="0"/>
          <w:bCs w:val="0"/>
          <w:color w:val="000000" w:themeColor="text1"/>
          <w:highlight w:val="none"/>
          <w:u w:val="none"/>
          <w14:textFill>
            <w14:solidFill>
              <w14:schemeClr w14:val="tx1"/>
            </w14:solidFill>
          </w14:textFill>
        </w:rPr>
        <w:t>基</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本</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规</w:t>
      </w:r>
      <w:r>
        <w:rPr>
          <w:b w:val="0"/>
          <w:bCs w:val="0"/>
          <w:color w:val="000000" w:themeColor="text1"/>
          <w:highlight w:val="none"/>
          <w:u w:val="none"/>
          <w:lang w:val="en-US"/>
          <w14:textFill>
            <w14:solidFill>
              <w14:schemeClr w14:val="tx1"/>
            </w14:solidFill>
          </w14:textFill>
        </w:rPr>
        <w:t xml:space="preserve"> </w:t>
      </w:r>
      <w:r>
        <w:rPr>
          <w:b w:val="0"/>
          <w:bCs w:val="0"/>
          <w:color w:val="000000" w:themeColor="text1"/>
          <w:highlight w:val="none"/>
          <w:u w:val="none"/>
          <w14:textFill>
            <w14:solidFill>
              <w14:schemeClr w14:val="tx1"/>
            </w14:solidFill>
          </w14:textFill>
        </w:rPr>
        <w:t>定</w:t>
      </w:r>
      <w:bookmarkEnd w:id="147"/>
    </w:p>
    <w:p w14:paraId="430CA408">
      <w:pPr>
        <w:pStyle w:val="5"/>
        <w:rPr>
          <w:highlight w:val="none"/>
          <w:u w:val="none"/>
        </w:rPr>
      </w:pPr>
      <w:r>
        <w:rPr>
          <w:b/>
          <w:highlight w:val="none"/>
          <w:u w:val="none"/>
        </w:rPr>
        <w:t>3.0.1</w:t>
      </w:r>
      <w:r>
        <w:rPr>
          <w:highlight w:val="none"/>
          <w:u w:val="none"/>
        </w:rPr>
        <w:t xml:space="preserve">  城市工程管线是指用于服务人民生产生活的市政常规管线，包括给水、雨水、污水、再生水、</w:t>
      </w:r>
      <w:r>
        <w:rPr>
          <w:rFonts w:hint="eastAsia"/>
          <w:color w:val="auto"/>
          <w:highlight w:val="none"/>
          <w:u w:val="none"/>
        </w:rPr>
        <w:t>天然气</w:t>
      </w:r>
      <w:r>
        <w:rPr>
          <w:highlight w:val="none"/>
          <w:u w:val="none"/>
        </w:rPr>
        <w:t>、热力、电力、通信、广播电视、气动垃圾输送等，这些市政管线应因地制宜纳入综合管廊，各类工业管线不属于本标准规定的范围。</w:t>
      </w:r>
      <w:r>
        <w:rPr>
          <w:rFonts w:hint="eastAsia"/>
          <w:color w:val="auto"/>
          <w:highlight w:val="none"/>
          <w:u w:val="none"/>
        </w:rPr>
        <w:t>给水管道包括居民生活用自来水、消防自来水、及自来水原水（从水源地输送至水厂）等，不包括生活用热水、再生水等。热力管道包含集中供热管道、区域空调水管道。</w:t>
      </w:r>
    </w:p>
    <w:p w14:paraId="43362659">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根据国内外工程实践，各种城市工程管线均可以敷设在综合管廊内，通过安全保护措施可以确保这些管线在综合管廊内安全运行。本标准明确了各类管线进入综合管廊的条件。一般情况下，信息电（光）缆、电力电缆、给水管道进入综合管廊技术难度较小，这些管线可以同舱敷设，天然气、雨水、污水、热力管道进入综合管廊需满足相关安全规定，天然气管道及热力管道不得与电力管线同舱敷设，且天然气管道应单舱敷设。压力流排水管道与给水管道相似，可优先安排进入综合管廊内。由于山西省城市建设场地地势条件差异较大，可通过详细的技术经济比较，确定采用重力流排水管渠进入综合管廊的方案。目前，重庆市、厦门市有充分利用地势条件将重力流污水管道纳入综合管廊的工程实例。考虑到重力流雨水、污水管渠对综合管廊竖向布置的影响，综合管廊内的雨水、污水主干线不宜过长，宜分段排入综合管廊外的下游干线。</w:t>
      </w:r>
    </w:p>
    <w:p w14:paraId="0F69FABA">
      <w:pPr>
        <w:pStyle w:val="59"/>
        <w:rPr>
          <w:color w:val="000000" w:themeColor="text1"/>
          <w:highlight w:val="none"/>
          <w14:textFill>
            <w14:solidFill>
              <w14:schemeClr w14:val="tx1"/>
            </w14:solidFill>
          </w14:textFill>
        </w:rPr>
      </w:pPr>
      <w:r>
        <w:rPr>
          <w:color w:val="000000" w:themeColor="text1"/>
          <w:highlight w:val="none"/>
          <w:u w:val="none"/>
          <w14:textFill>
            <w14:solidFill>
              <w14:schemeClr w14:val="tx1"/>
            </w14:solidFill>
          </w14:textFill>
        </w:rPr>
        <w:t>根据现行国家标准《城</w:t>
      </w:r>
      <w:r>
        <w:rPr>
          <w:color w:val="000000" w:themeColor="text1"/>
          <w:highlight w:val="none"/>
          <w14:textFill>
            <w14:solidFill>
              <w14:schemeClr w14:val="tx1"/>
            </w14:solidFill>
          </w14:textFill>
        </w:rPr>
        <w:t>镇燃气设计规范》GB 50028，城镇燃气包括人工煤气、液化石油气以及天然气。液化石油气密度大于空气，一旦泄漏不易排除；人工煤气中由于含有CO不宜纳入地下综合管廊。且随着经济的发展，天然气逐渐成为城镇燃气的主流，因此本标准仅考虑天然气管线纳入综合管廊。</w:t>
      </w:r>
    </w:p>
    <w:p w14:paraId="5B20B027">
      <w:pPr>
        <w:pStyle w:val="5"/>
        <w:rPr>
          <w:highlight w:val="none"/>
        </w:rPr>
      </w:pPr>
      <w:r>
        <w:rPr>
          <w:b/>
          <w:highlight w:val="none"/>
        </w:rPr>
        <w:t>3.0.2</w:t>
      </w:r>
      <w:r>
        <w:rPr>
          <w:highlight w:val="none"/>
        </w:rPr>
        <w:t xml:space="preserve">  综合管廊建设实施必须以综合管廊工程</w:t>
      </w:r>
      <w:r>
        <w:rPr>
          <w:rFonts w:hint="eastAsia"/>
          <w:color w:val="auto"/>
          <w:highlight w:val="none"/>
          <w:u w:val="none"/>
        </w:rPr>
        <w:t>专项</w:t>
      </w:r>
      <w:r>
        <w:rPr>
          <w:highlight w:val="none"/>
        </w:rPr>
        <w:t>规划为指导，保证综合管廊的系统性，提高综合管廊效益，应根据规划确定的综合管廊断面和位置，综合考虑施工方式和与周边构筑物的安全距离，预留相应的地下空间，保证后续建设项目实施。本条引用国家标准《城市综合管廊工程技术规范》GB 50838强制性条文，必须严格执行。</w:t>
      </w:r>
    </w:p>
    <w:p w14:paraId="3739C8C0">
      <w:pPr>
        <w:pStyle w:val="5"/>
        <w:rPr>
          <w:highlight w:val="none"/>
        </w:rPr>
      </w:pPr>
      <w:r>
        <w:rPr>
          <w:b/>
          <w:highlight w:val="none"/>
        </w:rPr>
        <w:t>3.0.3</w:t>
      </w:r>
      <w:r>
        <w:rPr>
          <w:highlight w:val="none"/>
        </w:rPr>
        <w:t xml:space="preserve">  根据《国务院关于加强城市基础设施建设的意见》（国发〔2013〕36号）和《关于加强城市地下管线建设管理的指导意见》（国发〔2014〕27号），稳步推进城市地下综合管廊建设，开展地下综合管廊试点工作，探索投融资、建设维护、定价收费、运营管理等模式，提高综合管廊建设管理水平。通过试点示范效应，带动山西省结合新区建设、城市更新、道路新（改、扩）建，在重要地段和管线密集区建设综合管廊。</w:t>
      </w:r>
    </w:p>
    <w:p w14:paraId="685F2934">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管廊的建设既要体现针对性，又要体现协同性。综合管廊建设要针对需求强烈的城市重要地段和管线密集区，提高综合管廊实施效果；综合管廊建设也要与新区建设、旧城改造、道路建设等相关项目协同推进，提高可实施性。</w:t>
      </w:r>
    </w:p>
    <w:p w14:paraId="63D3DE2C">
      <w:pPr>
        <w:pStyle w:val="5"/>
        <w:rPr>
          <w:highlight w:val="none"/>
        </w:rPr>
      </w:pPr>
      <w:r>
        <w:rPr>
          <w:b/>
          <w:highlight w:val="none"/>
        </w:rPr>
        <w:t>3.0.4</w:t>
      </w:r>
      <w:r>
        <w:rPr>
          <w:highlight w:val="none"/>
        </w:rPr>
        <w:t xml:space="preserve">  综合管廊应与所在道路同步建设，降低道路破复的概率，城市老（旧）城区综合管廊建设应以规划为指导，结合地下空间开发利用、城市更新、道路建设、地下主要管线改造等项目同步进行，避免单纯某一项目建设对地面交通、管线设施运行的影响，并减少项目投资。</w:t>
      </w:r>
    </w:p>
    <w:p w14:paraId="45470889">
      <w:pPr>
        <w:pStyle w:val="5"/>
        <w:rPr>
          <w:highlight w:val="none"/>
          <w:u w:val="none"/>
        </w:rPr>
      </w:pPr>
      <w:r>
        <w:rPr>
          <w:b/>
          <w:highlight w:val="none"/>
        </w:rPr>
        <w:t xml:space="preserve">3.0.5 </w:t>
      </w:r>
      <w:r>
        <w:rPr>
          <w:highlight w:val="none"/>
        </w:rPr>
        <w:t xml:space="preserve"> 综合管廊属于城市基础设施的一种类型，是一种高效集约的城市地下管线布置形式，</w:t>
      </w:r>
      <w:r>
        <w:rPr>
          <w:highlight w:val="none"/>
          <w:u w:val="none"/>
        </w:rPr>
        <w:t>综合管廊工程</w:t>
      </w:r>
      <w:r>
        <w:rPr>
          <w:rFonts w:hint="eastAsia"/>
          <w:color w:val="auto"/>
          <w:highlight w:val="none"/>
          <w:u w:val="none"/>
        </w:rPr>
        <w:t>专项</w:t>
      </w:r>
      <w:r>
        <w:rPr>
          <w:highlight w:val="none"/>
          <w:u w:val="none"/>
        </w:rPr>
        <w:t>规划应与城市给水、雨水、污水、供电、通信、</w:t>
      </w:r>
      <w:r>
        <w:rPr>
          <w:rFonts w:hint="eastAsia"/>
          <w:color w:val="auto"/>
          <w:highlight w:val="none"/>
          <w:u w:val="none"/>
        </w:rPr>
        <w:t>天然气</w:t>
      </w:r>
      <w:r>
        <w:rPr>
          <w:highlight w:val="none"/>
          <w:u w:val="none"/>
        </w:rPr>
        <w:t>、供热、再生水等地下管线设施规划相协调；城市综合管廊主体采用地下布置，属于城市地下空间利用的形式之一，因此综合管廊工程</w:t>
      </w:r>
      <w:r>
        <w:rPr>
          <w:rFonts w:hint="eastAsia"/>
          <w:color w:val="auto"/>
          <w:highlight w:val="none"/>
          <w:u w:val="none"/>
        </w:rPr>
        <w:t>专项</w:t>
      </w:r>
      <w:r>
        <w:rPr>
          <w:highlight w:val="none"/>
          <w:u w:val="none"/>
        </w:rPr>
        <w:t>规划建设应统筹考虑与城市地下空间尤其是轨道交通的关系；综合管廊的出入口、吊装口、进风口及排风</w:t>
      </w:r>
      <w:r>
        <w:rPr>
          <w:spacing w:val="6"/>
          <w:highlight w:val="none"/>
          <w:u w:val="none"/>
        </w:rPr>
        <w:t>口等均有露出地面的部分，其形式与位置等应与城市环境景观相一</w:t>
      </w:r>
      <w:r>
        <w:rPr>
          <w:highlight w:val="none"/>
          <w:u w:val="none"/>
        </w:rPr>
        <w:t>致。</w:t>
      </w:r>
    </w:p>
    <w:p w14:paraId="109FCFC2">
      <w:pPr>
        <w:pStyle w:val="5"/>
        <w:rPr>
          <w:highlight w:val="none"/>
          <w:u w:val="none"/>
          <w:bdr w:val="single" w:color="auto" w:sz="4" w:space="0"/>
        </w:rPr>
      </w:pPr>
      <w:r>
        <w:rPr>
          <w:b/>
          <w:highlight w:val="none"/>
          <w:u w:val="none"/>
        </w:rPr>
        <w:t>3.0.7</w:t>
      </w:r>
      <w:r>
        <w:rPr>
          <w:highlight w:val="none"/>
          <w:u w:val="none"/>
        </w:rPr>
        <w:t xml:space="preserve">  </w:t>
      </w:r>
      <w:r>
        <w:rPr>
          <w:rFonts w:hint="eastAsia"/>
          <w:highlight w:val="none"/>
          <w:u w:val="none"/>
        </w:rPr>
        <w:t>根据《城市综合管廊工程技术标准》GB/T 50838-2015（2024版），分别对干支线综合管廊、小型综合管廊的附属设施分别规定。</w:t>
      </w:r>
    </w:p>
    <w:p w14:paraId="602FF32D">
      <w:pPr>
        <w:pStyle w:val="5"/>
        <w:rPr>
          <w:highlight w:val="none"/>
          <w:u w:val="none"/>
          <w:bdr w:val="single" w:color="auto" w:sz="4" w:space="0"/>
        </w:rPr>
      </w:pPr>
      <w:r>
        <w:rPr>
          <w:b/>
          <w:highlight w:val="none"/>
          <w:u w:val="none"/>
        </w:rPr>
        <w:t>3.0.</w:t>
      </w:r>
      <w:r>
        <w:rPr>
          <w:rFonts w:hint="eastAsia"/>
          <w:b/>
          <w:highlight w:val="none"/>
          <w:u w:val="none"/>
          <w:lang w:val="en-US" w:eastAsia="zh-CN"/>
        </w:rPr>
        <w:t xml:space="preserve">8  </w:t>
      </w:r>
      <w:r>
        <w:rPr>
          <w:rFonts w:hint="eastAsia"/>
          <w:highlight w:val="none"/>
          <w:u w:val="none"/>
        </w:rPr>
        <w:t>《城市综合管廊工程技术标准》GB/T 50838-2015（2024版）与本标准中均有相应的章节规定了综合管廊设计的具体内容，本条不再重复。仅强调入廊管线应进行专项设计。</w:t>
      </w:r>
    </w:p>
    <w:p w14:paraId="17A5EE5F">
      <w:pPr>
        <w:pStyle w:val="5"/>
        <w:rPr>
          <w:highlight w:val="none"/>
        </w:rPr>
      </w:pPr>
      <w:r>
        <w:rPr>
          <w:b/>
          <w:highlight w:val="none"/>
        </w:rPr>
        <w:t xml:space="preserve">3.0.9  </w:t>
      </w:r>
      <w:r>
        <w:rPr>
          <w:highlight w:val="none"/>
        </w:rPr>
        <w:t>为确保综合管廊内各类管线安全运行，纳入综合管廊内的管线均应根据管线运行特点和进入综合管廊后的特殊要求进行管线专项设计，管线专项设计应符合本规范和相关专业规范的技术规定。</w:t>
      </w:r>
    </w:p>
    <w:p w14:paraId="1B6A1EEF">
      <w:pPr>
        <w:pStyle w:val="5"/>
        <w:rPr>
          <w:highlight w:val="none"/>
        </w:rPr>
      </w:pPr>
      <w:r>
        <w:rPr>
          <w:b/>
          <w:highlight w:val="none"/>
        </w:rPr>
        <w:t xml:space="preserve">3.0.10  </w:t>
      </w:r>
      <w:r>
        <w:rPr>
          <w:highlight w:val="none"/>
        </w:rPr>
        <w:t>综合管廊节能措施的设计及实施，必须遵循《中华人民共和国节约能源法》及国家或行业其他现行相关标准及规定，在项目前期工作中，对管廊进行综合能耗分析，包括综合能耗和单位能耗，有效节约能源，合理利用能源，提高经济效益。综合管廊建设应贯彻落实《中华人民共和国环境保护法》和《中华人民共和国水土保持法》等国家、地方有关环境的法律和法规要求，并按照《中华人民共和国环境影响评价法》的要求，开展工程的环境影响评价工作。综合管廊建设应贯彻落实《绿色建筑评价标准》等国家、地方有关</w:t>
      </w:r>
      <w:r>
        <w:rPr>
          <w:spacing w:val="6"/>
          <w:highlight w:val="none"/>
        </w:rPr>
        <w:t>绿建的法律和法规要求，并按照《绿色建筑评价标准》开展相关工</w:t>
      </w:r>
      <w:r>
        <w:rPr>
          <w:highlight w:val="none"/>
        </w:rPr>
        <w:t>作。</w:t>
      </w:r>
    </w:p>
    <w:p w14:paraId="129F5696">
      <w:pPr>
        <w:pStyle w:val="5"/>
        <w:rPr>
          <w:highlight w:val="none"/>
        </w:rPr>
      </w:pPr>
      <w:r>
        <w:rPr>
          <w:rFonts w:hint="eastAsia"/>
          <w:b/>
          <w:highlight w:val="none"/>
        </w:rPr>
        <w:t>3</w:t>
      </w:r>
      <w:r>
        <w:rPr>
          <w:b/>
          <w:highlight w:val="none"/>
        </w:rPr>
        <w:t>.</w:t>
      </w:r>
      <w:r>
        <w:rPr>
          <w:rFonts w:hint="eastAsia"/>
          <w:b/>
          <w:highlight w:val="none"/>
        </w:rPr>
        <w:t>0</w:t>
      </w:r>
      <w:r>
        <w:rPr>
          <w:b/>
          <w:highlight w:val="none"/>
        </w:rPr>
        <w:t>.1</w:t>
      </w:r>
      <w:r>
        <w:rPr>
          <w:rFonts w:hint="eastAsia"/>
          <w:b/>
          <w:highlight w:val="none"/>
        </w:rPr>
        <w:t>2</w:t>
      </w:r>
      <w:r>
        <w:rPr>
          <w:b/>
          <w:highlight w:val="none"/>
        </w:rPr>
        <w:t xml:space="preserve"> </w:t>
      </w:r>
      <w:r>
        <w:rPr>
          <w:highlight w:val="none"/>
        </w:rPr>
        <w:t xml:space="preserve"> 综合管廊属于狭小空间多类型管道系统的容纳空间，尤其是出线井、管廊交叉节点、投料口等场所管道、支吊架、支墩、人员通行及材料运输通道、楼梯、排水、照明及供电等内容庞杂，空间狭小，采用传统的二维设计模式常常在施工阶段才发现设计方面存在的问题，造成工期延长、时间浪费和费用增加。采用BIM方式来进行设计，通过三维碰撞检查，可以使管道支吊架、支墩、阀门等布置更加合理、管道出线、管道交叉、管线分支连接更加合理；通过各专业共享BIM模型，及时发现专业矛盾并进行化解，提升整体质量和综合效率，通过BIM模型，自动生成平面、剖面、材料表等专题图纸，实现BIM模型和专题图纸的联动更新，大大提高工作效率，减少图纸错误。</w:t>
      </w:r>
    </w:p>
    <w:p w14:paraId="6C1BB782">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寻找城市地下可用和适用的地下空间规划综合管廊，需要考虑到地下空间资源相关的多种因素，通过GIS对对象城市所有道路下的管廊建设的适宜度进行评价，为规划路由的确定提供依据；利用GIS管理技术，我们可以将地形，管网，设备等信息进行统一管理，满足各部门对管网信息的需求，全面反应城市管廊管网总貌，明确每个设备的详细信息，进而实现对管廊管网最完整，最彻底的管理。</w:t>
      </w:r>
    </w:p>
    <w:p w14:paraId="7F78B0B1">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目前城市的管网管理系统大多是基于GIS技术，在一定程度上解决了整个城市或区域宏观管理的需求，但在建筑设施的微观管理领域则有所缺失，而BIM技术的应用正好可以填补这一空白。进行GIS与BIM的深度集成应用技术</w:t>
      </w:r>
      <w:r>
        <w:rPr>
          <w:rFonts w:eastAsia="宋体"/>
          <w:color w:val="000000" w:themeColor="text1"/>
          <w:highlight w:val="none"/>
          <w14:textFill>
            <w14:solidFill>
              <w14:schemeClr w14:val="tx1"/>
            </w14:solidFill>
          </w14:textFill>
        </w:rPr>
        <w:t>硏</w:t>
      </w:r>
      <w:r>
        <w:rPr>
          <w:color w:val="000000" w:themeColor="text1"/>
          <w:highlight w:val="none"/>
          <w14:textFill>
            <w14:solidFill>
              <w14:schemeClr w14:val="tx1"/>
            </w14:solidFill>
          </w14:textFill>
        </w:rPr>
        <w:t>究，将建筑设施外部地理环境信息与建筑设施自身属性信息相融合，全面推进管廊智慧化建设、管理的步伐。</w:t>
      </w:r>
      <w:r>
        <w:rPr>
          <w:rFonts w:hint="eastAsia"/>
          <w:color w:val="000000" w:themeColor="text1"/>
          <w:highlight w:val="none"/>
          <w14:textFill>
            <w14:solidFill>
              <w14:schemeClr w14:val="tx1"/>
            </w14:solidFill>
          </w14:textFill>
        </w:rPr>
        <w:t>（6.1.14转至此处）</w:t>
      </w:r>
      <w:r>
        <w:rPr>
          <w:color w:val="000000" w:themeColor="text1"/>
          <w:highlight w:val="none"/>
          <w14:textFill>
            <w14:solidFill>
              <w14:schemeClr w14:val="tx1"/>
            </w14:solidFill>
          </w14:textFill>
        </w:rPr>
        <w:br w:type="page"/>
      </w:r>
    </w:p>
    <w:p w14:paraId="55686C2A">
      <w:pPr>
        <w:pStyle w:val="2"/>
        <w:rPr>
          <w:b w:val="0"/>
          <w:bCs w:val="0"/>
          <w:color w:val="000000" w:themeColor="text1"/>
          <w:highlight w:val="none"/>
          <w14:textFill>
            <w14:solidFill>
              <w14:schemeClr w14:val="tx1"/>
            </w14:solidFill>
          </w14:textFill>
        </w:rPr>
      </w:pPr>
      <w:bookmarkStart w:id="148" w:name="_Toc37689816"/>
      <w:r>
        <w:rPr>
          <w:color w:val="000000" w:themeColor="text1"/>
          <w:highlight w:val="none"/>
          <w14:textFill>
            <w14:solidFill>
              <w14:schemeClr w14:val="tx1"/>
            </w14:solidFill>
          </w14:textFill>
        </w:rPr>
        <w:t xml:space="preserve">4  </w:t>
      </w:r>
      <w:r>
        <w:rPr>
          <w:b w:val="0"/>
          <w:bCs w:val="0"/>
          <w:color w:val="000000" w:themeColor="text1"/>
          <w:highlight w:val="none"/>
          <w14:textFill>
            <w14:solidFill>
              <w14:schemeClr w14:val="tx1"/>
            </w14:solidFill>
          </w14:textFill>
        </w:rPr>
        <w:t>系</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统</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规</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划</w:t>
      </w:r>
      <w:bookmarkEnd w:id="148"/>
    </w:p>
    <w:p w14:paraId="220A6D9D">
      <w:pPr>
        <w:pStyle w:val="4"/>
        <w:spacing w:before="156" w:after="156"/>
        <w:rPr>
          <w:b/>
          <w:color w:val="000000" w:themeColor="text1"/>
          <w:highlight w:val="none"/>
          <w14:textFill>
            <w14:solidFill>
              <w14:schemeClr w14:val="tx1"/>
            </w14:solidFill>
          </w14:textFill>
        </w:rPr>
      </w:pPr>
      <w:bookmarkStart w:id="149" w:name="_Toc37689817"/>
      <w:r>
        <w:rPr>
          <w:b/>
          <w:bCs w:val="0"/>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t xml:space="preserve">  一 般 规 定</w:t>
      </w:r>
      <w:bookmarkEnd w:id="149"/>
    </w:p>
    <w:p w14:paraId="702C791E">
      <w:pPr>
        <w:pStyle w:val="5"/>
        <w:rPr>
          <w:highlight w:val="none"/>
          <w:u w:val="none"/>
        </w:rPr>
      </w:pPr>
      <w:r>
        <w:rPr>
          <w:b/>
          <w:highlight w:val="none"/>
        </w:rPr>
        <w:t>4.1.1</w:t>
      </w:r>
      <w:r>
        <w:rPr>
          <w:highlight w:val="none"/>
        </w:rPr>
        <w:t xml:space="preserve">  城市总体规划是对一定时期内城市性质、发展目标、发展规划模、土地利</w:t>
      </w:r>
      <w:r>
        <w:rPr>
          <w:highlight w:val="none"/>
          <w:u w:val="none"/>
        </w:rPr>
        <w:t>用、空间布局以及各项建设的综合部署和实施措施，综合管廊工程</w:t>
      </w:r>
      <w:r>
        <w:rPr>
          <w:rFonts w:hint="eastAsia"/>
          <w:color w:val="auto"/>
          <w:highlight w:val="none"/>
          <w:u w:val="none"/>
        </w:rPr>
        <w:t>专项</w:t>
      </w:r>
      <w:r>
        <w:rPr>
          <w:highlight w:val="none"/>
          <w:u w:val="none"/>
        </w:rPr>
        <w:t>规划应以城市总体规划为上位依据并符合城市总体规划的发展要求，也是城市总体规划对市政基础设施建设要求的进一步落实，其规划年限、规划范围应与城市总体规划相一致。由于综合管廊生命周期原则上不少于100年，因此综合管廊工程</w:t>
      </w:r>
      <w:r>
        <w:rPr>
          <w:rFonts w:hint="eastAsia"/>
          <w:color w:val="auto"/>
          <w:highlight w:val="none"/>
          <w:u w:val="none"/>
        </w:rPr>
        <w:t>专项</w:t>
      </w:r>
      <w:r>
        <w:rPr>
          <w:highlight w:val="none"/>
          <w:u w:val="none"/>
        </w:rPr>
        <w:t>规划应适当考虑城市总体规划法定期限以外（即远景规划部分）的城市发展需求。</w:t>
      </w:r>
    </w:p>
    <w:p w14:paraId="34166E34">
      <w:pPr>
        <w:pStyle w:val="5"/>
        <w:rPr>
          <w:highlight w:val="none"/>
          <w:u w:val="none"/>
        </w:rPr>
      </w:pPr>
      <w:r>
        <w:rPr>
          <w:b/>
          <w:highlight w:val="none"/>
          <w:u w:val="none"/>
        </w:rPr>
        <w:t xml:space="preserve">4.1.2 </w:t>
      </w:r>
      <w:r>
        <w:rPr>
          <w:highlight w:val="none"/>
          <w:u w:val="none"/>
        </w:rPr>
        <w:t xml:space="preserve"> 城市新区的综合管廊工程</w:t>
      </w:r>
      <w:r>
        <w:rPr>
          <w:rFonts w:hint="eastAsia"/>
          <w:color w:val="auto"/>
          <w:highlight w:val="none"/>
          <w:u w:val="none"/>
        </w:rPr>
        <w:t>专项</w:t>
      </w:r>
      <w:r>
        <w:rPr>
          <w:highlight w:val="none"/>
          <w:u w:val="none"/>
        </w:rPr>
        <w:t>规划中，若综合管廊工程</w:t>
      </w:r>
      <w:r>
        <w:rPr>
          <w:rFonts w:hint="eastAsia"/>
          <w:color w:val="auto"/>
          <w:highlight w:val="none"/>
          <w:u w:val="none"/>
        </w:rPr>
        <w:t>专项</w:t>
      </w:r>
      <w:r>
        <w:rPr>
          <w:highlight w:val="none"/>
          <w:u w:val="none"/>
        </w:rPr>
        <w:t>规划建设在先，各工程管线</w:t>
      </w:r>
      <w:r>
        <w:rPr>
          <w:rFonts w:hint="eastAsia"/>
          <w:color w:val="auto"/>
          <w:highlight w:val="none"/>
          <w:u w:val="none"/>
        </w:rPr>
        <w:t>专项</w:t>
      </w:r>
      <w:r>
        <w:rPr>
          <w:highlight w:val="none"/>
          <w:u w:val="none"/>
        </w:rPr>
        <w:t>规划和管线综合规划应与综合管廊相适应；老城区的综合管廊工程</w:t>
      </w:r>
      <w:r>
        <w:rPr>
          <w:rFonts w:hint="eastAsia"/>
          <w:color w:val="auto"/>
          <w:highlight w:val="none"/>
          <w:u w:val="none"/>
        </w:rPr>
        <w:t>专项</w:t>
      </w:r>
      <w:r>
        <w:rPr>
          <w:highlight w:val="none"/>
          <w:u w:val="none"/>
        </w:rPr>
        <w:t>规划中，综合管廊应满足现有管线和规划管线的需求，并可依据综合管廊工程</w:t>
      </w:r>
      <w:r>
        <w:rPr>
          <w:rFonts w:hint="eastAsia"/>
          <w:color w:val="auto"/>
          <w:highlight w:val="none"/>
          <w:u w:val="none"/>
        </w:rPr>
        <w:t>专项</w:t>
      </w:r>
      <w:r>
        <w:rPr>
          <w:highlight w:val="none"/>
          <w:u w:val="none"/>
        </w:rPr>
        <w:t>规划对各工程管线</w:t>
      </w:r>
      <w:r>
        <w:rPr>
          <w:rFonts w:hint="eastAsia"/>
          <w:color w:val="auto"/>
          <w:highlight w:val="none"/>
          <w:u w:val="none"/>
        </w:rPr>
        <w:t>专项</w:t>
      </w:r>
      <w:r>
        <w:rPr>
          <w:highlight w:val="none"/>
          <w:u w:val="none"/>
        </w:rPr>
        <w:t>规划进行反馈优化。排水管线是否纳入综合管廊需要在综合管廊</w:t>
      </w:r>
      <w:r>
        <w:rPr>
          <w:rFonts w:hint="eastAsia"/>
          <w:color w:val="auto"/>
          <w:highlight w:val="none"/>
          <w:u w:val="none"/>
        </w:rPr>
        <w:t>工程专项</w:t>
      </w:r>
      <w:r>
        <w:rPr>
          <w:highlight w:val="none"/>
          <w:u w:val="none"/>
        </w:rPr>
        <w:t>规划中对道路竖向、排水管道坡度等多种条件综合分析确定。</w:t>
      </w:r>
    </w:p>
    <w:p w14:paraId="057FEFE4">
      <w:pPr>
        <w:pStyle w:val="5"/>
        <w:rPr>
          <w:highlight w:val="none"/>
          <w:u w:val="none"/>
        </w:rPr>
      </w:pPr>
      <w:r>
        <w:rPr>
          <w:b/>
          <w:highlight w:val="none"/>
          <w:u w:val="none"/>
        </w:rPr>
        <w:t>4.1.3</w:t>
      </w:r>
      <w:r>
        <w:rPr>
          <w:highlight w:val="none"/>
          <w:u w:val="none"/>
        </w:rPr>
        <w:t xml:space="preserve">  有条件建设综合管廊的城市应编制综合管廊工程</w:t>
      </w:r>
      <w:r>
        <w:rPr>
          <w:rFonts w:hint="eastAsia"/>
          <w:color w:val="auto"/>
          <w:highlight w:val="none"/>
          <w:u w:val="none"/>
        </w:rPr>
        <w:t>专项</w:t>
      </w:r>
      <w:r>
        <w:rPr>
          <w:highlight w:val="none"/>
          <w:u w:val="none"/>
        </w:rPr>
        <w:t>规划，且该规划要适应当地的实际发展情况，预留远期发展空间并落实近期可实施项目，体现规划的系统性。</w:t>
      </w:r>
    </w:p>
    <w:p w14:paraId="2A1E9554">
      <w:pPr>
        <w:pStyle w:val="5"/>
        <w:rPr>
          <w:highlight w:val="none"/>
          <w:u w:val="none"/>
        </w:rPr>
      </w:pPr>
      <w:r>
        <w:rPr>
          <w:b/>
          <w:highlight w:val="none"/>
          <w:u w:val="none"/>
        </w:rPr>
        <w:t>4.1.4</w:t>
      </w:r>
      <w:r>
        <w:rPr>
          <w:highlight w:val="none"/>
          <w:u w:val="none"/>
        </w:rPr>
        <w:t xml:space="preserve">  综合管廊相比较于传统管道直埋方式的优点之一是节省地下空间，综合管廊工程</w:t>
      </w:r>
      <w:r>
        <w:rPr>
          <w:rFonts w:hint="eastAsia"/>
          <w:color w:val="auto"/>
          <w:highlight w:val="none"/>
          <w:u w:val="none"/>
        </w:rPr>
        <w:t>专项</w:t>
      </w:r>
      <w:r>
        <w:rPr>
          <w:highlight w:val="none"/>
          <w:u w:val="none"/>
        </w:rPr>
        <w:t>规划应按照综合管廊内管线设施优化布置的原则预留地下空间，同时与地下和地上设施相协调，避免发生冲突。</w:t>
      </w:r>
    </w:p>
    <w:p w14:paraId="04BC9D3D">
      <w:pPr>
        <w:pStyle w:val="5"/>
        <w:ind w:firstLine="420"/>
        <w:rPr>
          <w:highlight w:val="none"/>
          <w:u w:val="none"/>
        </w:rPr>
      </w:pPr>
      <w:r>
        <w:rPr>
          <w:rFonts w:hint="eastAsia"/>
          <w:color w:val="auto"/>
          <w:highlight w:val="none"/>
          <w:u w:val="none"/>
        </w:rPr>
        <w:t>本条根据《城市综合管廊工程技术标准》</w:t>
      </w:r>
      <w:r>
        <w:rPr>
          <w:color w:val="auto"/>
          <w:highlight w:val="none"/>
          <w:u w:val="none"/>
        </w:rPr>
        <w:t>GB/T 50838-2015（2024版）</w:t>
      </w:r>
      <w:r>
        <w:rPr>
          <w:rFonts w:hint="eastAsia"/>
          <w:color w:val="auto"/>
          <w:highlight w:val="none"/>
          <w:u w:val="none"/>
        </w:rPr>
        <w:t>同步修</w:t>
      </w:r>
      <w:r>
        <w:rPr>
          <w:rFonts w:hint="eastAsia"/>
          <w:highlight w:val="none"/>
          <w:u w:val="none"/>
        </w:rPr>
        <w:t>订</w:t>
      </w:r>
      <w:r>
        <w:rPr>
          <w:rFonts w:hint="eastAsia"/>
          <w:color w:val="auto"/>
          <w:highlight w:val="none"/>
          <w:u w:val="none"/>
        </w:rPr>
        <w:t>。</w:t>
      </w:r>
    </w:p>
    <w:p w14:paraId="49DF2BD2">
      <w:pPr>
        <w:pStyle w:val="5"/>
        <w:rPr>
          <w:highlight w:val="none"/>
        </w:rPr>
      </w:pPr>
      <w:r>
        <w:rPr>
          <w:b/>
          <w:highlight w:val="none"/>
        </w:rPr>
        <w:t xml:space="preserve">4.1.5 </w:t>
      </w:r>
      <w:r>
        <w:rPr>
          <w:highlight w:val="none"/>
        </w:rPr>
        <w:t xml:space="preserve"> 管廊平面位置、管廊之间交叉口关系应以道路规划断面为基</w:t>
      </w:r>
      <w:r>
        <w:rPr>
          <w:spacing w:val="6"/>
          <w:highlight w:val="none"/>
        </w:rPr>
        <w:t>础进行布局；管廊近期建设计划应确保管廊按时投入使用，避免闲</w:t>
      </w:r>
      <w:r>
        <w:rPr>
          <w:highlight w:val="none"/>
        </w:rPr>
        <w:t>置。</w:t>
      </w:r>
    </w:p>
    <w:p w14:paraId="64C2A281">
      <w:pPr>
        <w:pStyle w:val="5"/>
        <w:rPr>
          <w:highlight w:val="none"/>
        </w:rPr>
      </w:pPr>
      <w:bookmarkStart w:id="150" w:name="_Toc37689818"/>
      <w:r>
        <w:rPr>
          <w:b/>
          <w:highlight w:val="none"/>
        </w:rPr>
        <w:t xml:space="preserve">4.1.6 </w:t>
      </w:r>
      <w:r>
        <w:rPr>
          <w:highlight w:val="none"/>
        </w:rPr>
        <w:t xml:space="preserve"> 管廊建设计划应与道路近期建设计划相协调，不能因为管廊建设造成对新建道路的重复开挖。</w:t>
      </w:r>
    </w:p>
    <w:p w14:paraId="3A0A5D44">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 xml:space="preserve">  管廊系统布局</w:t>
      </w:r>
      <w:bookmarkEnd w:id="150"/>
    </w:p>
    <w:p w14:paraId="6DC37D43">
      <w:pPr>
        <w:pStyle w:val="5"/>
        <w:rPr>
          <w:highlight w:val="none"/>
          <w:u w:val="none"/>
        </w:rPr>
      </w:pPr>
      <w:r>
        <w:rPr>
          <w:b/>
          <w:highlight w:val="none"/>
        </w:rPr>
        <w:t>4.2.1</w:t>
      </w:r>
      <w:r>
        <w:rPr>
          <w:highlight w:val="none"/>
        </w:rPr>
        <w:t xml:space="preserve"> </w:t>
      </w:r>
      <w:r>
        <w:rPr>
          <w:rFonts w:hint="eastAsia"/>
          <w:highlight w:val="none"/>
          <w:u w:val="none"/>
        </w:rPr>
        <w:t>综合管廊与地下交通、地下商业、地下人防设施等地下开发利用项目在空间上有交叉或者重叠时，应在规划、选线、勘察、设计、施工等阶段与上述项目在空间上统筹考虑，在设计施工阶段宜同步开展，并预先协调可能遇到的矛盾。</w:t>
      </w:r>
    </w:p>
    <w:p w14:paraId="1EBD5B8B">
      <w:pPr>
        <w:pStyle w:val="5"/>
        <w:rPr>
          <w:highlight w:val="none"/>
        </w:rPr>
      </w:pPr>
      <w:r>
        <w:rPr>
          <w:b/>
          <w:highlight w:val="none"/>
        </w:rPr>
        <w:t>4.2.2</w:t>
      </w:r>
      <w:r>
        <w:rPr>
          <w:highlight w:val="none"/>
        </w:rPr>
        <w:t xml:space="preserve">  按照我国目前的规划编制情况，城市给水、雨水、污水、供电、通信、天然气、供热、再生水等专项规划基本由专业部门编制完成，综合</w:t>
      </w:r>
      <w:r>
        <w:rPr>
          <w:highlight w:val="none"/>
          <w:u w:val="none"/>
        </w:rPr>
        <w:t>管廊工程</w:t>
      </w:r>
      <w:r>
        <w:rPr>
          <w:rFonts w:hint="eastAsia"/>
          <w:color w:val="auto"/>
          <w:highlight w:val="none"/>
          <w:u w:val="none"/>
        </w:rPr>
        <w:t>专项</w:t>
      </w:r>
      <w:r>
        <w:rPr>
          <w:highlight w:val="none"/>
          <w:u w:val="none"/>
        </w:rPr>
        <w:t>规划原则上以上述专项规划为依据确定综合管廊的布置及入廊管线种类，并且在综合管廊工程</w:t>
      </w:r>
      <w:r>
        <w:rPr>
          <w:rFonts w:hint="eastAsia"/>
          <w:color w:val="auto"/>
          <w:highlight w:val="none"/>
          <w:u w:val="none"/>
        </w:rPr>
        <w:t>专项</w:t>
      </w:r>
      <w:r>
        <w:rPr>
          <w:highlight w:val="none"/>
          <w:u w:val="none"/>
        </w:rPr>
        <w:t>规划编制过程中对上述专项规划提出调整意见和建议；对于上述专项规划编制不完善的城市，综合管廊工程</w:t>
      </w:r>
      <w:r>
        <w:rPr>
          <w:rFonts w:hint="eastAsia"/>
          <w:color w:val="auto"/>
          <w:highlight w:val="none"/>
          <w:u w:val="none"/>
        </w:rPr>
        <w:t>专项</w:t>
      </w:r>
      <w:r>
        <w:rPr>
          <w:highlight w:val="none"/>
          <w:u w:val="none"/>
        </w:rPr>
        <w:t>规划应考虑各专业管线现状情况和远期发展需求综合确定，并建议同步编制相关专</w:t>
      </w:r>
      <w:r>
        <w:rPr>
          <w:highlight w:val="none"/>
        </w:rPr>
        <w:t>项规划。</w:t>
      </w:r>
    </w:p>
    <w:p w14:paraId="47E3367C">
      <w:pPr>
        <w:pStyle w:val="5"/>
        <w:rPr>
          <w:highlight w:val="none"/>
        </w:rPr>
      </w:pPr>
      <w:r>
        <w:rPr>
          <w:b/>
          <w:highlight w:val="none"/>
        </w:rPr>
        <w:t>4.2.3</w:t>
      </w:r>
      <w:r>
        <w:rPr>
          <w:highlight w:val="none"/>
        </w:rPr>
        <w:t xml:space="preserve">  综合管廊与地下交通、地下商业、地下人防设施等地下开发利用项目在空间上有交叉或者重叠时，应在规划、选线、设计、施工等阶段与上述项目在空间上统筹考虑，在设计施工阶段宜同步开展，并预先协调可能遇到的矛盾。</w:t>
      </w:r>
    </w:p>
    <w:p w14:paraId="1C7B97C2">
      <w:pPr>
        <w:pStyle w:val="5"/>
        <w:rPr>
          <w:highlight w:val="none"/>
        </w:rPr>
      </w:pPr>
      <w:r>
        <w:rPr>
          <w:b/>
          <w:highlight w:val="none"/>
        </w:rPr>
        <w:t>4.2.4</w:t>
      </w:r>
      <w:r>
        <w:rPr>
          <w:highlight w:val="none"/>
        </w:rPr>
        <w:t xml:space="preserve">  城市综合管理管廊工程建设可以做到“统一规划、统一建设、统一管理”，减少道路重复开挖的频率，集约利用地下空间。但是由于综合管廊主体工程和配套工程建设的初期一次性投资较大，不可能在所有道路下均采用综合管廊方式进行管线敷设。结合现行国家标准《城市工程管线综合规划规范》GB 50289相关规定，在传统直埋管线因为反复开挖路面对道路交通影响较大、地下空间存在管线敷设标准要求较高的地段，以及对地下基础设施的高负荷利用的区域，适宜建设综合管廊。</w:t>
      </w:r>
    </w:p>
    <w:p w14:paraId="71937D23">
      <w:pPr>
        <w:pStyle w:val="5"/>
        <w:rPr>
          <w:highlight w:val="none"/>
        </w:rPr>
      </w:pPr>
      <w:r>
        <w:rPr>
          <w:b/>
          <w:highlight w:val="none"/>
        </w:rPr>
        <w:t>4.2.5</w:t>
      </w:r>
      <w:r>
        <w:rPr>
          <w:highlight w:val="none"/>
        </w:rPr>
        <w:t xml:space="preserve">  在条件允许情况下，综合管廊选址宜避开土质松软地区、地震断裂带、滑坡危险地带、洪峰口、沉陷区以及几下水位较高等不利地带。如无法避开，需采取有效的技术处理措施。</w:t>
      </w:r>
    </w:p>
    <w:p w14:paraId="7754888C">
      <w:pPr>
        <w:pStyle w:val="5"/>
        <w:rPr>
          <w:highlight w:val="none"/>
        </w:rPr>
      </w:pPr>
      <w:r>
        <w:rPr>
          <w:b/>
          <w:highlight w:val="none"/>
        </w:rPr>
        <w:t xml:space="preserve">4.2.6 </w:t>
      </w:r>
      <w:r>
        <w:rPr>
          <w:highlight w:val="none"/>
        </w:rPr>
        <w:t xml:space="preserve"> </w:t>
      </w:r>
      <w:r>
        <w:rPr>
          <w:rFonts w:hint="eastAsia"/>
          <w:highlight w:val="none"/>
        </w:rPr>
        <w:t>根据《城市综合管廊工程技术标准》</w:t>
      </w:r>
      <w:r>
        <w:rPr>
          <w:highlight w:val="none"/>
        </w:rPr>
        <w:t>GB/T 50838-2015（2024版）同步修订综合管廊的基本分类。</w:t>
      </w:r>
    </w:p>
    <w:p w14:paraId="1442050C">
      <w:pPr>
        <w:pStyle w:val="5"/>
        <w:rPr>
          <w:highlight w:val="none"/>
        </w:rPr>
      </w:pPr>
      <w:bookmarkStart w:id="151" w:name="_Toc37689819"/>
      <w:r>
        <w:rPr>
          <w:b/>
          <w:highlight w:val="none"/>
        </w:rPr>
        <w:t>4.2.8</w:t>
      </w:r>
      <w:r>
        <w:rPr>
          <w:highlight w:val="none"/>
        </w:rPr>
        <w:t xml:space="preserve">  综合管廊由于配套建有完善的监控预警系统等附属设施，需要通过监控中心对综合管廊及内部设施运行情况实时监控，保证设施运行安全和智能化管理。监控中心宜设置监控设备中心、大屏幕显示装置、会商决策室等。监控中心的选址应以满足其功能为首要原则，鼓励与城市气象、给水、排水、交通等监控管理中心或周边公共建筑合建，便于智慧型城市建设和城市基础设施统一管理。</w:t>
      </w:r>
    </w:p>
    <w:p w14:paraId="521DB1B8">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t xml:space="preserve">  入 廊 管 线</w:t>
      </w:r>
      <w:bookmarkEnd w:id="151"/>
    </w:p>
    <w:p w14:paraId="77A99537">
      <w:pPr>
        <w:pStyle w:val="5"/>
        <w:rPr>
          <w:highlight w:val="none"/>
        </w:rPr>
      </w:pPr>
      <w:r>
        <w:rPr>
          <w:b/>
          <w:highlight w:val="none"/>
        </w:rPr>
        <w:t xml:space="preserve">4.3.1 </w:t>
      </w:r>
      <w:r>
        <w:rPr>
          <w:highlight w:val="none"/>
        </w:rPr>
        <w:t xml:space="preserve"> 给水管道为压力管，布置灵活且日常维修概率较高，适合纳入管廊。当给水管道管径较大时，一方面将对管廊断面尺寸和造价产生较大影响，大幅增加管廊造价；另一方面会对管廊的安全运行产生隐患，如水锤、爆管等事故。</w:t>
      </w:r>
    </w:p>
    <w:p w14:paraId="67356D23">
      <w:pPr>
        <w:pStyle w:val="5"/>
        <w:rPr>
          <w:highlight w:val="none"/>
        </w:rPr>
      </w:pPr>
      <w:r>
        <w:rPr>
          <w:b/>
          <w:highlight w:val="none"/>
        </w:rPr>
        <w:t>4.3.2</w:t>
      </w:r>
      <w:r>
        <w:rPr>
          <w:highlight w:val="none"/>
        </w:rPr>
        <w:t xml:space="preserve">  污水管线入廊可以防止污水或地下水渗漏，同时可提高污水管线运营水平，但国内污水排水一般采用重力流，这将大大增加管廊埋深，增加工程投资，且污水管道间隔一定距离和支管接入处需要设置检查井，较为复杂，所以一般不宜将污水管道纳入综合管廊，特别是地势平坦地区。当地势有较大坡度，污水管线纳入综合管廊不会导致管廊埋深有较大增加，且污水管道口径较小时，可以考虑污水管线入廊。另外，污水管道一旦发生冒溢，将会对管廊的运行造成不良影响，同时由于污水管线产生的硫化氢（H</w:t>
      </w:r>
      <w:r>
        <w:rPr>
          <w:highlight w:val="none"/>
          <w:vertAlign w:val="subscript"/>
        </w:rPr>
        <w:t>2</w:t>
      </w:r>
      <w:r>
        <w:rPr>
          <w:highlight w:val="none"/>
        </w:rPr>
        <w:t>S）和甲烷（CH</w:t>
      </w:r>
      <w:r>
        <w:rPr>
          <w:highlight w:val="none"/>
          <w:vertAlign w:val="subscript"/>
        </w:rPr>
        <w:t>4</w:t>
      </w:r>
      <w:r>
        <w:rPr>
          <w:highlight w:val="none"/>
        </w:rPr>
        <w:t>）有害易天然气体会增加管廊的安全隐患，所以污水管线入廊需要有效的通风和有害气体监测防护等措施，保证管廊安全运行。由于污水中可能产生的有害气体有一定的腐蚀性，同时考虑管廊的结构设计使用年限，因此污水进入管廊不应利用综合管廊本体结构。</w:t>
      </w:r>
    </w:p>
    <w:p w14:paraId="254E5BC2">
      <w:pPr>
        <w:pStyle w:val="5"/>
        <w:rPr>
          <w:highlight w:val="none"/>
        </w:rPr>
      </w:pPr>
      <w:r>
        <w:rPr>
          <w:b/>
          <w:highlight w:val="none"/>
        </w:rPr>
        <w:t>4.3.3</w:t>
      </w:r>
      <w:r>
        <w:rPr>
          <w:highlight w:val="none"/>
        </w:rPr>
        <w:t xml:space="preserve">  雨水管道中的雨水不会产生硫化氢、甲烷等有毒、易燃易爆的气体，但作为重力流管线，纳入综合管廊时会遇到和污水管线同样的技术问题，如增加管廊埋深，每隔一定距离设置检查井，甚至设置泵站等，且雨水管道需要和沿街雨水口衔接，接口较多；另外雨水管一般管径较大，纳入管廊会增大管廊断面尺寸，增加造价。因此，应根据具体的场地条件，在不大幅增加管廊埋深和不需要增设中间提升泵站的前提下，同时满足综合管廊的纵坡和高程要求，通过技术经济比较，确定是否将雨水管线纳入综合管廊。另外，综合管廊应结合当地海绵城市建设要求，在管廊建设中充分考虑雨水收集、调蓄和利用功能，尽可能使雨水管渠、箱涵和综合管廊相结合共同建设，节省地下空间。</w:t>
      </w:r>
    </w:p>
    <w:p w14:paraId="62B0847A">
      <w:pPr>
        <w:pStyle w:val="5"/>
        <w:rPr>
          <w:color w:val="auto"/>
          <w:highlight w:val="none"/>
          <w:u w:val="none"/>
        </w:rPr>
      </w:pPr>
      <w:r>
        <w:rPr>
          <w:b/>
          <w:highlight w:val="none"/>
        </w:rPr>
        <w:t>4.3.4</w:t>
      </w:r>
      <w:r>
        <w:rPr>
          <w:highlight w:val="none"/>
        </w:rPr>
        <w:t xml:space="preserve">  </w:t>
      </w:r>
      <w:r>
        <w:rPr>
          <w:rFonts w:hint="eastAsia"/>
          <w:color w:val="auto"/>
          <w:highlight w:val="none"/>
          <w:u w:val="none"/>
        </w:rPr>
        <w:t>根据《城市综合管廊工程技术标准》</w:t>
      </w:r>
      <w:r>
        <w:rPr>
          <w:color w:val="auto"/>
          <w:highlight w:val="none"/>
          <w:u w:val="none"/>
        </w:rPr>
        <w:t>GB/T 50838-2015（2024版）</w:t>
      </w:r>
      <w:r>
        <w:rPr>
          <w:rFonts w:hint="eastAsia"/>
          <w:color w:val="auto"/>
          <w:highlight w:val="none"/>
          <w:u w:val="none"/>
        </w:rPr>
        <w:t>，根据天然气管道直径分别规定独立成舱敷设要求；同时基于小型综合管廊附属设施设置情况，不推荐纳入天然气管道。</w:t>
      </w:r>
    </w:p>
    <w:p w14:paraId="64EDAA81">
      <w:pPr>
        <w:pStyle w:val="5"/>
        <w:rPr>
          <w:highlight w:val="none"/>
        </w:rPr>
      </w:pPr>
      <w:r>
        <w:rPr>
          <w:b/>
          <w:highlight w:val="none"/>
        </w:rPr>
        <w:t xml:space="preserve">4.3.5 </w:t>
      </w:r>
      <w:r>
        <w:rPr>
          <w:highlight w:val="none"/>
        </w:rPr>
        <w:t xml:space="preserve"> 供热管道维修比较频繁，国外大多数情况下将供热管道集中放置在综合管廊内，有利于管道的安全运行和维护。供热管道进入管廊没有技术问题，但因保温层外包导致管径较大，对管廊造价影响明显。根据《城镇供热管网设计规范》CJJ 34规定“热水或蒸汽管道采用管沟敷设时，宜采用不通行管沟敷设，……”和《电力工程电缆设计标准》GB 50217规定“在隧道、沟、浅槽、竖井、夹层等封闭式电缆通道中，不得布置热力管道，严禁有易燃气体或易燃液体的管道穿越”等做出上述规定。</w:t>
      </w:r>
    </w:p>
    <w:p w14:paraId="4880F2C9">
      <w:pPr>
        <w:pStyle w:val="5"/>
        <w:rPr>
          <w:highlight w:val="none"/>
        </w:rPr>
      </w:pPr>
      <w:bookmarkStart w:id="152" w:name="_Toc37689820"/>
      <w:r>
        <w:rPr>
          <w:b/>
          <w:highlight w:val="none"/>
        </w:rPr>
        <w:t>4.3.6</w:t>
      </w:r>
      <w:r>
        <w:rPr>
          <w:highlight w:val="none"/>
        </w:rPr>
        <w:t xml:space="preserve">  电力、通信管线具有可变形、布置灵活的优点，且传统的埋设方式受维修及扩容的影响，造成挖掘道路的频率较高。目前在国内许多大中城市都建有不同规模的电力隧道和电缆沟，在技术和维护方面电力管线纳入管廊已经没有障碍，需要解决的主要问题是通风降温及防火防灾，对于通信管线还要解决信号的干扰问题。</w:t>
      </w:r>
    </w:p>
    <w:p w14:paraId="154AB1BC">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t xml:space="preserve">  平 面 位 置</w:t>
      </w:r>
      <w:bookmarkEnd w:id="152"/>
    </w:p>
    <w:p w14:paraId="09289C19">
      <w:pPr>
        <w:pStyle w:val="5"/>
        <w:rPr>
          <w:highlight w:val="none"/>
        </w:rPr>
      </w:pPr>
      <w:r>
        <w:rPr>
          <w:b/>
          <w:highlight w:val="none"/>
        </w:rPr>
        <w:t>4.4.1</w:t>
      </w:r>
      <w:r>
        <w:rPr>
          <w:highlight w:val="none"/>
        </w:rPr>
        <w:t xml:space="preserve">  综合管廊工程一般都是随着道路新建或改扩建工程同步实施的，并敷设于道路红线内，因此管廊的平面走向和道路定线是基本一致的，但是对于特殊的地段，如现状建筑物离道路边线距离太近，道路起桥或道路下穿段，综合管廊应绕出道路线位，并保持一定的安全距离。</w:t>
      </w:r>
    </w:p>
    <w:p w14:paraId="6FB1B5A8">
      <w:pPr>
        <w:pStyle w:val="5"/>
        <w:rPr>
          <w:highlight w:val="none"/>
        </w:rPr>
      </w:pPr>
      <w:r>
        <w:rPr>
          <w:b/>
          <w:highlight w:val="none"/>
        </w:rPr>
        <w:t>4.4.2</w:t>
      </w:r>
      <w:r>
        <w:rPr>
          <w:highlight w:val="none"/>
        </w:rPr>
        <w:t xml:space="preserve">  综合管廊的位置要考虑道路横断面的形式，如机动车道、非机动车道、人行道以及绿化隔离带的设置情况。根据国内外的工程经验，干线管廊内部容纳的均为市政主干线，主要起输送作用，基本不向两侧地块预留支线，管廊断面尺寸大，因此一般敷设于宽度相对较大的机动车道下，有条件的敷设于绿化带下。支线管廊断面尺寸较小，一般敷设于人行道或非机动车道下，有条件的敷设于绿化带下。</w:t>
      </w:r>
      <w:r>
        <w:rPr>
          <w:rFonts w:hint="eastAsia"/>
          <w:highlight w:val="none"/>
          <w:u w:val="none"/>
        </w:rPr>
        <w:t>小型综合</w:t>
      </w:r>
      <w:r>
        <w:rPr>
          <w:highlight w:val="none"/>
        </w:rPr>
        <w:t>管廊一般为不通行的浅埋沟道，为便于维护和使用，宜敷设于人行道下。同时，管廊的位置还应与其他现状或规划直埋管线相互避让，并且与地铁等城市地下空间相协调。另外，对于现状城区，管廊位置还应该考虑施工时，施工作业面对周边建筑的影响，留足必要的空间或采用有效的防护措施。道路红线外设置有防护绿地的区域，为便于施工和检修，综合管廊宜优先布置于防护绿地内。</w:t>
      </w:r>
    </w:p>
    <w:p w14:paraId="0ED67312">
      <w:pPr>
        <w:pStyle w:val="5"/>
        <w:rPr>
          <w:highlight w:val="none"/>
        </w:rPr>
      </w:pPr>
      <w:r>
        <w:rPr>
          <w:b/>
          <w:highlight w:val="none"/>
        </w:rPr>
        <w:t>4.4.3</w:t>
      </w:r>
      <w:r>
        <w:rPr>
          <w:highlight w:val="none"/>
        </w:rPr>
        <w:t xml:space="preserve">  附属构筑物的口部宜布置于机动车道和非机动车道的绿化分隔带，可便于人员检修进入和管线的吊装。不宜布置于中央分隔带内，因为检修人员需要横穿马路方可进入，管线吊装时，运输车辆只能停在机动车道内，影响交通。不设置机非分隔带的道路断面，管廊口部宜设置于人行道内，综合考虑道路景观效果。</w:t>
      </w:r>
    </w:p>
    <w:p w14:paraId="7EF6E549">
      <w:pPr>
        <w:pStyle w:val="5"/>
        <w:rPr>
          <w:highlight w:val="none"/>
        </w:rPr>
      </w:pPr>
      <w:bookmarkStart w:id="153" w:name="_Toc37689821"/>
      <w:r>
        <w:rPr>
          <w:b/>
          <w:highlight w:val="none"/>
        </w:rPr>
        <w:t>4.4.4</w:t>
      </w:r>
      <w:r>
        <w:rPr>
          <w:highlight w:val="none"/>
        </w:rPr>
        <w:t xml:space="preserve">  综合管廊相交节点一般为两层或多层的结构形式，为便于相交管廊内的管线连接，上层或下层的管廊在连接处往往采用局部外扩的方式，因此相交节点的平面尺寸比标准段要大，在进行管廊节点平面控制边界制定的时候，应该考虑这一因素并加以确定。</w:t>
      </w:r>
    </w:p>
    <w:p w14:paraId="39C3FA38">
      <w:pPr>
        <w:pStyle w:val="4"/>
        <w:spacing w:before="156" w:after="156"/>
        <w:rPr>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t xml:space="preserve">  竖 向 条 件</w:t>
      </w:r>
      <w:bookmarkEnd w:id="153"/>
    </w:p>
    <w:p w14:paraId="52236ADA">
      <w:pPr>
        <w:pStyle w:val="5"/>
        <w:rPr>
          <w:highlight w:val="none"/>
        </w:rPr>
      </w:pPr>
      <w:r>
        <w:rPr>
          <w:b/>
          <w:highlight w:val="none"/>
        </w:rPr>
        <w:t>4.5.1</w:t>
      </w:r>
      <w:r>
        <w:rPr>
          <w:highlight w:val="none"/>
        </w:rPr>
        <w:t xml:space="preserve">  综合管廊覆土应符合地下设施竖向规划的要求。敷设于道路下的管廊，应满足行车荷载的要求，具体覆土厚度应通过结构计算进行确定。敷设于绿化带下的，覆土应满足不同绿植类型的要求。管廊一般应敷设于设计冻深线以下，避免内部管道因冬季冻胀而破损，影响市政供给的安全。管廊的覆土深度应满足其他交叉管线的避让要求。另外，对于重力流管道入廊的，管廊覆土应满足重力流管道上游接入和下游接出的条件。</w:t>
      </w:r>
    </w:p>
    <w:p w14:paraId="7809378C">
      <w:pPr>
        <w:pStyle w:val="5"/>
        <w:rPr>
          <w:highlight w:val="none"/>
        </w:rPr>
      </w:pPr>
      <w:r>
        <w:rPr>
          <w:b/>
          <w:highlight w:val="none"/>
        </w:rPr>
        <w:t xml:space="preserve">4.5.2 </w:t>
      </w:r>
      <w:r>
        <w:rPr>
          <w:highlight w:val="none"/>
        </w:rPr>
        <w:t xml:space="preserve"> 综合管廊与非重力流管道交叉时，非重力流管道主动避让。当管廊内不含重力流管道时，应从技术和经济角度统筹考虑相互避让措施。对于包含有重力流管道的综合管廊，如污水管道入廊的情况，当管廊与直埋雨水管道交叉时，一般情况应根据两者的高程关系，在确保上下游高程衔接的基础上，将两者高程错开。</w:t>
      </w:r>
    </w:p>
    <w:p w14:paraId="1608066E">
      <w:pPr>
        <w:pStyle w:val="5"/>
        <w:rPr>
          <w:highlight w:val="none"/>
        </w:rPr>
      </w:pPr>
      <w:r>
        <w:rPr>
          <w:b/>
          <w:highlight w:val="none"/>
        </w:rPr>
        <w:t xml:space="preserve">4.5.3 </w:t>
      </w:r>
      <w:r>
        <w:rPr>
          <w:highlight w:val="none"/>
        </w:rPr>
        <w:t xml:space="preserve"> 相交综合管廊的连接方式一般为上下两层，通过预留孔洞将两条管廊中的管线进行连接，部分地下空间开发程度高的地区，会出现上、中、下三层或多层的复杂相交结构，因此，对于节点的控制埋深应考虑连接的方式，即节点的廊体高度。另外，地基处理的厚度也应该作为综合考虑的因素。如山西省大量分布的湿陷性黄土</w:t>
      </w:r>
      <w:r>
        <w:rPr>
          <w:spacing w:val="6"/>
          <w:highlight w:val="none"/>
        </w:rPr>
        <w:t>区域，若采用3</w:t>
      </w:r>
      <w:r>
        <w:rPr>
          <w:rFonts w:ascii="Cambria Math" w:hAnsi="Cambria Math" w:cs="Cambria Math"/>
          <w:spacing w:val="6"/>
          <w:highlight w:val="none"/>
        </w:rPr>
        <w:t>∶</w:t>
      </w:r>
      <w:r>
        <w:rPr>
          <w:spacing w:val="6"/>
          <w:highlight w:val="none"/>
        </w:rPr>
        <w:t>7灰土换填的方式，此时就应该考虑换填灰土的厚</w:t>
      </w:r>
      <w:r>
        <w:rPr>
          <w:highlight w:val="none"/>
        </w:rPr>
        <w:t>度。</w:t>
      </w:r>
    </w:p>
    <w:p w14:paraId="09D70A33">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076A0E49">
      <w:pPr>
        <w:pStyle w:val="2"/>
        <w:rPr>
          <w:color w:val="000000" w:themeColor="text1"/>
          <w:highlight w:val="none"/>
          <w14:textFill>
            <w14:solidFill>
              <w14:schemeClr w14:val="tx1"/>
            </w14:solidFill>
          </w14:textFill>
        </w:rPr>
      </w:pPr>
      <w:bookmarkStart w:id="154" w:name="_Toc37689822"/>
      <w:r>
        <w:rPr>
          <w:color w:val="000000" w:themeColor="text1"/>
          <w:highlight w:val="none"/>
          <w14:textFill>
            <w14:solidFill>
              <w14:schemeClr w14:val="tx1"/>
            </w14:solidFill>
          </w14:textFill>
        </w:rPr>
        <w:t xml:space="preserve">5  </w:t>
      </w:r>
      <w:r>
        <w:rPr>
          <w:b w:val="0"/>
          <w:bCs w:val="0"/>
          <w:color w:val="000000" w:themeColor="text1"/>
          <w:highlight w:val="none"/>
          <w14:textFill>
            <w14:solidFill>
              <w14:schemeClr w14:val="tx1"/>
            </w14:solidFill>
          </w14:textFill>
        </w:rPr>
        <w:t>勘</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察</w:t>
      </w:r>
      <w:bookmarkEnd w:id="154"/>
    </w:p>
    <w:p w14:paraId="4CEA151C">
      <w:pPr>
        <w:pStyle w:val="4"/>
        <w:spacing w:before="156" w:after="156"/>
        <w:rPr>
          <w:b/>
          <w:color w:val="000000" w:themeColor="text1"/>
          <w:highlight w:val="none"/>
          <w14:textFill>
            <w14:solidFill>
              <w14:schemeClr w14:val="tx1"/>
            </w14:solidFill>
          </w14:textFill>
        </w:rPr>
      </w:pPr>
      <w:bookmarkStart w:id="155" w:name="_Toc37689823"/>
      <w:r>
        <w:rPr>
          <w:b/>
          <w:bCs w:val="0"/>
          <w:color w:val="000000" w:themeColor="text1"/>
          <w:highlight w:val="none"/>
          <w14:textFill>
            <w14:solidFill>
              <w14:schemeClr w14:val="tx1"/>
            </w14:solidFill>
          </w14:textFill>
        </w:rPr>
        <w:t>5.1</w:t>
      </w:r>
      <w:r>
        <w:rPr>
          <w:color w:val="000000" w:themeColor="text1"/>
          <w:highlight w:val="none"/>
          <w14:textFill>
            <w14:solidFill>
              <w14:schemeClr w14:val="tx1"/>
            </w14:solidFill>
          </w14:textFill>
        </w:rPr>
        <w:t xml:space="preserve">  一 般 规 定</w:t>
      </w:r>
      <w:bookmarkEnd w:id="155"/>
    </w:p>
    <w:p w14:paraId="3B22201E">
      <w:pPr>
        <w:pStyle w:val="5"/>
        <w:rPr>
          <w:highlight w:val="none"/>
        </w:rPr>
      </w:pPr>
      <w:r>
        <w:rPr>
          <w:b/>
          <w:highlight w:val="none"/>
        </w:rPr>
        <w:t>5.1.1</w:t>
      </w:r>
      <w:r>
        <w:rPr>
          <w:highlight w:val="none"/>
        </w:rPr>
        <w:t xml:space="preserve">  城市地下综合管廊属于城市生命线工程，工程重要性等级为重要。我省地处黄土高原，地形复杂，地貌单元众多，不良地质作用明显，特殊性岩土多，故勘察等级的划分</w:t>
      </w:r>
      <w:r>
        <w:rPr>
          <w:rFonts w:hint="eastAsia"/>
          <w:highlight w:val="none"/>
        </w:rPr>
        <w:t>应</w:t>
      </w:r>
      <w:r>
        <w:rPr>
          <w:rFonts w:hint="eastAsia"/>
          <w:highlight w:val="none"/>
          <w:u w:val="none"/>
        </w:rPr>
        <w:t>综合考虑综合管廊的规模、特点和重要性，场地和岩土地质条件的复杂程度。</w:t>
      </w:r>
    </w:p>
    <w:p w14:paraId="5772A628">
      <w:pPr>
        <w:pStyle w:val="5"/>
        <w:rPr>
          <w:highlight w:val="none"/>
        </w:rPr>
      </w:pPr>
      <w:r>
        <w:rPr>
          <w:b/>
          <w:highlight w:val="none"/>
        </w:rPr>
        <w:t>5.1.3</w:t>
      </w:r>
      <w:r>
        <w:rPr>
          <w:highlight w:val="none"/>
        </w:rPr>
        <w:t xml:space="preserve">  勘察工作直接是为设计和施工工作服务的，因此必须了解设计意图和施工方法。</w:t>
      </w:r>
    </w:p>
    <w:p w14:paraId="5D0E164E">
      <w:pPr>
        <w:pStyle w:val="42"/>
        <w:overflowPunct w:val="0"/>
        <w:spacing w:line="356"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不同的结构类型，其岩土工程问题不同；不同的施工方法，设计所需的岩土参数不同；地下工程的埋深不同，工程风险不同。因此需要针对管廊工程的特点、结构形式、结构埋置深度、施工方法等提出勘察要求。</w:t>
      </w:r>
    </w:p>
    <w:p w14:paraId="09C44C94">
      <w:pPr>
        <w:pStyle w:val="42"/>
        <w:overflowPunct w:val="0"/>
        <w:spacing w:line="356"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综合管廊工程属于线性工程，还需要了解和探查既有城市工程管线的分布情况和既有建（构）筑物的基础类型、埋置深度，既有利于后续综合管廊项目安全顺利施工，又有利于对前期建筑成品的有效保护。</w:t>
      </w:r>
    </w:p>
    <w:p w14:paraId="05EDAC28">
      <w:pPr>
        <w:pStyle w:val="4"/>
        <w:spacing w:before="156" w:after="156"/>
        <w:rPr>
          <w:b/>
          <w:color w:val="000000" w:themeColor="text1"/>
          <w:highlight w:val="none"/>
          <w14:textFill>
            <w14:solidFill>
              <w14:schemeClr w14:val="tx1"/>
            </w14:solidFill>
          </w14:textFill>
        </w:rPr>
      </w:pPr>
      <w:bookmarkStart w:id="156" w:name="_Toc37689824"/>
      <w:r>
        <w:rPr>
          <w:b/>
          <w:bCs w:val="0"/>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t xml:space="preserve">  可行性研究勘察</w:t>
      </w:r>
      <w:bookmarkEnd w:id="156"/>
    </w:p>
    <w:p w14:paraId="56E61935">
      <w:pPr>
        <w:pStyle w:val="5"/>
        <w:rPr>
          <w:highlight w:val="none"/>
        </w:rPr>
      </w:pPr>
      <w:bookmarkStart w:id="157" w:name="_Toc37689825"/>
      <w:r>
        <w:rPr>
          <w:b/>
          <w:highlight w:val="none"/>
        </w:rPr>
        <w:t>5.2.1</w:t>
      </w:r>
      <w:r>
        <w:rPr>
          <w:highlight w:val="none"/>
        </w:rPr>
        <w:t xml:space="preserve">  本条明确了可行性研究勘察的主要目的，即对拟建场地的稳定性和适宜性做出评价，其主要内容是搜集和分析已有的资料，对线路主要的控制点进行踏勘调查，一般不进行勘探工作。但当管廊遇复杂地形或地形障碍时，必须跨越或通过，此时穿、跨越点选取的是否合理，是关系设计、施工和管理的关键问题。因此，在确定该类控制点时应进行必要的勘探工作。</w:t>
      </w:r>
    </w:p>
    <w:p w14:paraId="7670983B">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5.3</w:t>
      </w:r>
      <w:r>
        <w:rPr>
          <w:color w:val="000000" w:themeColor="text1"/>
          <w:highlight w:val="none"/>
          <w14:textFill>
            <w14:solidFill>
              <w14:schemeClr w14:val="tx1"/>
            </w14:solidFill>
          </w14:textFill>
        </w:rPr>
        <w:t xml:space="preserve">  初 步 勘 察</w:t>
      </w:r>
      <w:bookmarkEnd w:id="157"/>
    </w:p>
    <w:p w14:paraId="730F0632">
      <w:pPr>
        <w:pStyle w:val="5"/>
        <w:rPr>
          <w:highlight w:val="none"/>
        </w:rPr>
      </w:pPr>
      <w:r>
        <w:rPr>
          <w:b/>
          <w:highlight w:val="none"/>
        </w:rPr>
        <w:t>5.3.1</w:t>
      </w:r>
      <w:r>
        <w:rPr>
          <w:highlight w:val="none"/>
        </w:rPr>
        <w:t xml:space="preserve">  山西地质条件复杂，地形地貌单元多，为客观、准确地评价岩土的工程特性，除使用常规的钻探、井探、坑探及物探等勘探方法外，对于山地、丘陵地段结合使用工程地质测绘、物探手段，对于软弱土、残积土及花岗岩全风化、强风化土层结合使用钻探、原位测试手段是合适的。</w:t>
      </w:r>
    </w:p>
    <w:p w14:paraId="036C67F7">
      <w:pPr>
        <w:pStyle w:val="5"/>
        <w:rPr>
          <w:highlight w:val="none"/>
          <w:u w:val="none"/>
        </w:rPr>
      </w:pPr>
      <w:r>
        <w:rPr>
          <w:b/>
          <w:highlight w:val="none"/>
        </w:rPr>
        <w:t>5.3.2</w:t>
      </w:r>
      <w:r>
        <w:rPr>
          <w:highlight w:val="none"/>
        </w:rPr>
        <w:t xml:space="preserve">  初步勘察的勘探点间距，主要决定于地基复杂程度，可依据本表并参照《</w:t>
      </w:r>
      <w:r>
        <w:rPr>
          <w:highlight w:val="none"/>
          <w:u w:val="none"/>
        </w:rPr>
        <w:t>岩土工程勘察规范》GB 50021</w:t>
      </w:r>
      <w:bookmarkStart w:id="158" w:name="OLE_LINK15"/>
      <w:r>
        <w:rPr>
          <w:rFonts w:hint="eastAsia"/>
          <w:highlight w:val="none"/>
          <w:u w:val="none"/>
        </w:rPr>
        <w:t>、</w:t>
      </w:r>
      <w:bookmarkEnd w:id="158"/>
      <w:r>
        <w:rPr>
          <w:highlight w:val="none"/>
          <w:u w:val="none"/>
        </w:rPr>
        <w:t>《市政工程勘察规范》CJJ 56</w:t>
      </w:r>
      <w:bookmarkStart w:id="159" w:name="OLE_LINK14"/>
      <w:r>
        <w:rPr>
          <w:rFonts w:hint="eastAsia"/>
          <w:highlight w:val="none"/>
          <w:u w:val="none"/>
        </w:rPr>
        <w:t>和《城市综合管廊岩土工程勘察标准》T/CECS1324</w:t>
      </w:r>
      <w:bookmarkEnd w:id="159"/>
      <w:r>
        <w:rPr>
          <w:highlight w:val="none"/>
          <w:u w:val="none"/>
        </w:rPr>
        <w:t>相关条款执行。</w:t>
      </w:r>
    </w:p>
    <w:p w14:paraId="195FAF1D">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山西省地处黄土高原东部，地貌从总体来看是一个被黄土广泛覆盖的山地高原，湿陷性黄土在全省范围内分布广泛。在湿陷性黄土地区进行勘察，针对湿陷性黄土的特点，目前仍以探井取样、土工试验、浸水试验为主要研究方法，故在山西省湿陷性黄土地区进行综合管廊的初步勘察，应布置一定数量的探井，以初步查明场地的湿陷类型及等级。探井数量不宜少于该地貌单元取土孔总数的1/3，且探井所取黄土土试样的质量等级应为I级。</w:t>
      </w:r>
    </w:p>
    <w:p w14:paraId="796783B5">
      <w:pPr>
        <w:pStyle w:val="5"/>
        <w:rPr>
          <w:highlight w:val="none"/>
          <w:u w:val="none"/>
        </w:rPr>
      </w:pPr>
      <w:bookmarkStart w:id="160" w:name="_Toc37689826"/>
      <w:r>
        <w:rPr>
          <w:b/>
          <w:highlight w:val="none"/>
          <w:u w:val="none"/>
        </w:rPr>
        <w:t>5.3.</w:t>
      </w:r>
      <w:r>
        <w:rPr>
          <w:rFonts w:hint="eastAsia"/>
          <w:b/>
          <w:highlight w:val="none"/>
          <w:u w:val="none"/>
        </w:rPr>
        <w:t>4</w:t>
      </w:r>
      <w:r>
        <w:rPr>
          <w:highlight w:val="none"/>
          <w:u w:val="none"/>
        </w:rPr>
        <w:t xml:space="preserve">  初步勘察的勘探点深度，取决于综合管廊的基础埋深、基底压力、基础宽度、地下水位情况、施工和支护方法等，但初勘往往缺乏这些数据，故初步勘察勘探点深度可依据本条规定并参照《岩土工程勘察规范》GB 50021</w:t>
      </w:r>
      <w:r>
        <w:rPr>
          <w:rFonts w:hint="eastAsia"/>
          <w:highlight w:val="none"/>
          <w:u w:val="none"/>
        </w:rPr>
        <w:t>、</w:t>
      </w:r>
      <w:r>
        <w:rPr>
          <w:highlight w:val="none"/>
          <w:u w:val="none"/>
        </w:rPr>
        <w:t>《市政工程勘察规范》CJJ 56</w:t>
      </w:r>
      <w:bookmarkStart w:id="161" w:name="OLE_LINK16"/>
      <w:r>
        <w:rPr>
          <w:rFonts w:hint="eastAsia"/>
          <w:highlight w:val="none"/>
          <w:u w:val="none"/>
        </w:rPr>
        <w:t>和《城市综合管廊岩土工程勘察标准》T/CECS1324</w:t>
      </w:r>
      <w:bookmarkEnd w:id="161"/>
      <w:r>
        <w:rPr>
          <w:highlight w:val="none"/>
          <w:u w:val="none"/>
        </w:rPr>
        <w:t>相关条款执行。</w:t>
      </w:r>
    </w:p>
    <w:p w14:paraId="138949A1">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5.4</w:t>
      </w:r>
      <w:r>
        <w:rPr>
          <w:color w:val="000000" w:themeColor="text1"/>
          <w:highlight w:val="none"/>
          <w:u w:val="none"/>
          <w14:textFill>
            <w14:solidFill>
              <w14:schemeClr w14:val="tx1"/>
            </w14:solidFill>
          </w14:textFill>
        </w:rPr>
        <w:t xml:space="preserve">  详 细 勘 察</w:t>
      </w:r>
      <w:bookmarkEnd w:id="160"/>
    </w:p>
    <w:p w14:paraId="73A32372">
      <w:pPr>
        <w:pStyle w:val="5"/>
        <w:rPr>
          <w:highlight w:val="none"/>
        </w:rPr>
      </w:pPr>
      <w:r>
        <w:rPr>
          <w:b/>
          <w:highlight w:val="none"/>
        </w:rPr>
        <w:t xml:space="preserve">5.4.1 </w:t>
      </w:r>
      <w:r>
        <w:rPr>
          <w:highlight w:val="none"/>
        </w:rPr>
        <w:t xml:space="preserve"> 在我省局部地区存在高灵敏度软土，常用的一些地基处理办法其处理效果很不理想，同时高灵敏度软土也给地基基础的施工带来很大的不便，容易引发工程事故。故对于高灵敏度软土，宜在现场进行十字板剪切试验等原位测试，相对准确的确定其结构性及灵敏度，为设计和施工提供依据。</w:t>
      </w:r>
    </w:p>
    <w:p w14:paraId="1BD1869A">
      <w:pPr>
        <w:pStyle w:val="5"/>
        <w:rPr>
          <w:highlight w:val="none"/>
          <w:u w:val="none"/>
        </w:rPr>
      </w:pPr>
      <w:r>
        <w:rPr>
          <w:b/>
          <w:highlight w:val="none"/>
        </w:rPr>
        <w:t>5.4.2</w:t>
      </w:r>
      <w:r>
        <w:rPr>
          <w:highlight w:val="none"/>
        </w:rPr>
        <w:t xml:space="preserve">  详细勘察</w:t>
      </w:r>
      <w:r>
        <w:rPr>
          <w:highlight w:val="none"/>
          <w:u w:val="none"/>
        </w:rPr>
        <w:t>的勘探点间距可依据本表并参照《岩土工程勘察规范》GB 50021</w:t>
      </w:r>
      <w:bookmarkStart w:id="162" w:name="OLE_LINK17"/>
      <w:r>
        <w:rPr>
          <w:rFonts w:hint="eastAsia"/>
          <w:highlight w:val="none"/>
          <w:u w:val="none"/>
        </w:rPr>
        <w:t>、</w:t>
      </w:r>
      <w:bookmarkEnd w:id="162"/>
      <w:r>
        <w:rPr>
          <w:highlight w:val="none"/>
          <w:u w:val="none"/>
        </w:rPr>
        <w:t>《市政工程勘察规范》CJJ 56</w:t>
      </w:r>
      <w:r>
        <w:rPr>
          <w:rFonts w:hint="eastAsia"/>
          <w:highlight w:val="none"/>
          <w:u w:val="none"/>
        </w:rPr>
        <w:t>和《城市综合管廊岩土工程勘察标准》T/CECS1324</w:t>
      </w:r>
      <w:r>
        <w:rPr>
          <w:highlight w:val="none"/>
          <w:u w:val="none"/>
        </w:rPr>
        <w:t>相关条款执行。</w:t>
      </w:r>
    </w:p>
    <w:p w14:paraId="5A1A7990">
      <w:pPr>
        <w:pStyle w:val="5"/>
        <w:rPr>
          <w:highlight w:val="none"/>
        </w:rPr>
      </w:pPr>
      <w:r>
        <w:rPr>
          <w:b/>
          <w:highlight w:val="none"/>
          <w:u w:val="none"/>
        </w:rPr>
        <w:t>5.4.3</w:t>
      </w:r>
      <w:r>
        <w:rPr>
          <w:highlight w:val="none"/>
          <w:u w:val="none"/>
        </w:rPr>
        <w:t xml:space="preserve">  详细勘察勘探孔深度可依据本表并参照《岩土工程勘察规范》GB 50021</w:t>
      </w:r>
      <w:r>
        <w:rPr>
          <w:rFonts w:hint="eastAsia"/>
          <w:highlight w:val="none"/>
          <w:u w:val="none"/>
        </w:rPr>
        <w:t>、</w:t>
      </w:r>
      <w:r>
        <w:rPr>
          <w:highlight w:val="none"/>
          <w:u w:val="none"/>
        </w:rPr>
        <w:t>《市政工程勘察规范》CJJ 56</w:t>
      </w:r>
      <w:r>
        <w:rPr>
          <w:rFonts w:hint="eastAsia"/>
          <w:highlight w:val="none"/>
          <w:u w:val="none"/>
        </w:rPr>
        <w:t>和《城市综合管廊岩土工程勘察标准》T/CECS1324</w:t>
      </w:r>
      <w:r>
        <w:rPr>
          <w:highlight w:val="none"/>
          <w:u w:val="none"/>
        </w:rPr>
        <w:t>相</w:t>
      </w:r>
      <w:r>
        <w:rPr>
          <w:highlight w:val="none"/>
        </w:rPr>
        <w:t>关条款执行。综合管廊由于规模不同，其基础宽度可能差异很大，故详细勘察的勘探孔深度应考虑其基础宽度、基础埋深、地层情况等因素综合确定。</w:t>
      </w:r>
    </w:p>
    <w:p w14:paraId="2AE0066B">
      <w:pPr>
        <w:pStyle w:val="5"/>
        <w:rPr>
          <w:highlight w:val="none"/>
        </w:rPr>
      </w:pPr>
      <w:r>
        <w:rPr>
          <w:b/>
          <w:highlight w:val="none"/>
        </w:rPr>
        <w:t>5.4.4</w:t>
      </w:r>
      <w:r>
        <w:rPr>
          <w:highlight w:val="none"/>
        </w:rPr>
        <w:t xml:space="preserve">  对于湿陷性黄土场地的详细勘察，应查明工程场地及其周边的地形地貌；当场地存在大面积挖填方时，应查清挖填方的范围、厚度、原始地面标高和初始的地形地貌；查明黄土地层的时代、成因，湿陷性黄土层的厚度；查明湿陷系数、自重湿陷系数和湿陷起始压力随深度的变化；查明场地湿陷类型和湿陷等级的分布等。详细勘察成果除包含本条所列内容外，可根据工程特点及具体地质条件进行有针对性的分析评价。</w:t>
      </w:r>
    </w:p>
    <w:p w14:paraId="1D1B1286">
      <w:pPr>
        <w:pStyle w:val="4"/>
        <w:spacing w:before="156" w:after="156"/>
        <w:rPr>
          <w:rFonts w:hint="eastAsia"/>
          <w:color w:val="000000" w:themeColor="text1"/>
          <w:highlight w:val="none"/>
          <w:u w:val="none"/>
          <w:lang w:val="en-US" w:eastAsia="zh-CN"/>
          <w14:textFill>
            <w14:solidFill>
              <w14:schemeClr w14:val="tx1"/>
            </w14:solidFill>
          </w14:textFill>
        </w:rPr>
      </w:pPr>
      <w:r>
        <w:rPr>
          <w:rFonts w:hint="eastAsia"/>
          <w:b/>
          <w:bCs w:val="0"/>
          <w:color w:val="000000" w:themeColor="text1"/>
          <w:highlight w:val="none"/>
          <w:u w:val="none"/>
          <w:lang w:val="en-US" w:eastAsia="zh-CN"/>
          <w14:textFill>
            <w14:solidFill>
              <w14:schemeClr w14:val="tx1"/>
            </w14:solidFill>
          </w14:textFill>
        </w:rPr>
        <w:t xml:space="preserve">5.5 </w:t>
      </w:r>
      <w:r>
        <w:rPr>
          <w:rFonts w:hint="eastAsia"/>
          <w:b w:val="0"/>
          <w:bCs/>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施 工 勘 察</w:t>
      </w:r>
    </w:p>
    <w:p w14:paraId="5C44DAE8">
      <w:pPr>
        <w:pStyle w:val="4"/>
        <w:spacing w:before="156" w:after="156"/>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5.</w:t>
      </w:r>
      <w:r>
        <w:rPr>
          <w:rFonts w:hint="eastAsia"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5</w:t>
      </w:r>
      <w:r>
        <w:rPr>
          <w:rFonts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1~</w:t>
      </w:r>
      <w:bookmarkStart w:id="163" w:name="OLE_LINK24"/>
      <w:r>
        <w:rPr>
          <w:rFonts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5.</w:t>
      </w:r>
      <w:r>
        <w:rPr>
          <w:rFonts w:hint="eastAsia"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5</w:t>
      </w:r>
      <w:r>
        <w:rPr>
          <w:rFonts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方正书宋简体" w:cs="Times New Roman"/>
          <w:b/>
          <w:bCs/>
          <w:color w:val="000000" w:themeColor="text1"/>
          <w:kern w:val="2"/>
          <w:sz w:val="21"/>
          <w:szCs w:val="21"/>
          <w:highlight w:val="none"/>
          <w:lang w:val="en-US" w:eastAsia="zh-CN" w:bidi="ar-SA"/>
          <w14:textFill>
            <w14:solidFill>
              <w14:schemeClr w14:val="tx1"/>
            </w14:solidFill>
          </w14:textFill>
        </w:rPr>
        <w:t>3</w:t>
      </w:r>
      <w:bookmarkEnd w:id="163"/>
      <w:r>
        <w:rPr>
          <w:rFonts w:hint="eastAsia" w:eastAsia="方正书宋简体" w:cs="Times New Roman"/>
          <w:bCs w:val="0"/>
          <w:color w:val="000000" w:themeColor="text1"/>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方正书宋简体" w:cs="Times New Roman"/>
          <w:bCs w:val="0"/>
          <w:color w:val="000000" w:themeColor="text1"/>
          <w:kern w:val="2"/>
          <w:sz w:val="21"/>
          <w:szCs w:val="21"/>
          <w:highlight w:val="none"/>
          <w:lang w:val="en-US" w:eastAsia="zh-CN" w:bidi="ar-SA"/>
          <w14:textFill>
            <w14:solidFill>
              <w14:schemeClr w14:val="tx1"/>
            </w14:solidFill>
          </w14:textFill>
        </w:rPr>
        <w:t>这三条规定了需进行施工勘察的一般条件情况，施工勘察需根据施工阶段设计和施工要求，针对所需解决的具体问题采用相应的手段进行，提供勘察资料，并做出分析、评价和建议。</w:t>
      </w:r>
      <w:r>
        <w:rPr>
          <w:rFonts w:ascii="Times New Roman" w:hAnsi="Times New Roman" w:eastAsia="方正书宋简体" w:cs="Times New Roman"/>
          <w:color w:val="000000" w:themeColor="text1"/>
          <w:highlight w:val="none"/>
          <w14:textFill>
            <w14:solidFill>
              <w14:schemeClr w14:val="tx1"/>
            </w14:solidFill>
          </w14:textFill>
        </w:rPr>
        <w:br w:type="page"/>
      </w:r>
    </w:p>
    <w:p w14:paraId="7A1AE3B2">
      <w:pPr>
        <w:pStyle w:val="2"/>
        <w:rPr>
          <w:b w:val="0"/>
          <w:bCs w:val="0"/>
          <w:color w:val="000000" w:themeColor="text1"/>
          <w:highlight w:val="none"/>
          <w14:textFill>
            <w14:solidFill>
              <w14:schemeClr w14:val="tx1"/>
            </w14:solidFill>
          </w14:textFill>
        </w:rPr>
      </w:pPr>
      <w:bookmarkStart w:id="164" w:name="_Toc37689827"/>
      <w:r>
        <w:rPr>
          <w:color w:val="000000" w:themeColor="text1"/>
          <w:highlight w:val="none"/>
          <w14:textFill>
            <w14:solidFill>
              <w14:schemeClr w14:val="tx1"/>
            </w14:solidFill>
          </w14:textFill>
        </w:rPr>
        <w:t xml:space="preserve">6  </w:t>
      </w:r>
      <w:r>
        <w:rPr>
          <w:b w:val="0"/>
          <w:bCs w:val="0"/>
          <w:color w:val="000000" w:themeColor="text1"/>
          <w:highlight w:val="none"/>
          <w14:textFill>
            <w14:solidFill>
              <w14:schemeClr w14:val="tx1"/>
            </w14:solidFill>
          </w14:textFill>
        </w:rPr>
        <w:t>总</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体</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设</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计</w:t>
      </w:r>
      <w:bookmarkEnd w:id="164"/>
    </w:p>
    <w:p w14:paraId="749E2F7A">
      <w:pPr>
        <w:pStyle w:val="4"/>
        <w:spacing w:before="156" w:after="156"/>
        <w:rPr>
          <w:b/>
          <w:color w:val="000000" w:themeColor="text1"/>
          <w:highlight w:val="none"/>
          <w14:textFill>
            <w14:solidFill>
              <w14:schemeClr w14:val="tx1"/>
            </w14:solidFill>
          </w14:textFill>
        </w:rPr>
      </w:pPr>
      <w:bookmarkStart w:id="165" w:name="_Toc37689828"/>
      <w:r>
        <w:rPr>
          <w:b/>
          <w:bCs w:val="0"/>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t xml:space="preserve">  一 般 规 定</w:t>
      </w:r>
      <w:bookmarkEnd w:id="165"/>
    </w:p>
    <w:p w14:paraId="3C03D32D">
      <w:pPr>
        <w:pStyle w:val="5"/>
        <w:rPr>
          <w:highlight w:val="none"/>
        </w:rPr>
      </w:pPr>
      <w:r>
        <w:rPr>
          <w:b/>
          <w:highlight w:val="none"/>
        </w:rPr>
        <w:t>6.1.1</w:t>
      </w:r>
      <w:r>
        <w:rPr>
          <w:highlight w:val="none"/>
        </w:rPr>
        <w:t xml:space="preserve">  综合管廊一般在道路的规划红线或绿线范围内建设，综合管廊的平面线形应符合道路的平面线形。当综合管廊从道路的一侧折转到另一侧时，往往会对其他的地下管线和构筑物建设造成影响，因而尽可能避免从道路的一侧转到另一侧。</w:t>
      </w:r>
    </w:p>
    <w:p w14:paraId="386A4788">
      <w:pPr>
        <w:pStyle w:val="5"/>
        <w:rPr>
          <w:highlight w:val="none"/>
        </w:rPr>
      </w:pPr>
      <w:r>
        <w:rPr>
          <w:b/>
          <w:highlight w:val="none"/>
        </w:rPr>
        <w:t>6.1.2</w:t>
      </w:r>
      <w:r>
        <w:rPr>
          <w:highlight w:val="none"/>
        </w:rPr>
        <w:t xml:space="preserve">  国家标准《城市工程管线综合规范》GB 50289规定，综合管廊一般宜与城市快速路、主干路、铁路、轨道交通、公路平行布置，如需要穿越时，宜尽量垂直穿越，条件受限时，为减少交叉距离，规定交叉角不宜小于60°。如（图 1） 所示。</w:t>
      </w:r>
    </w:p>
    <w:p w14:paraId="7D07A217">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361690" cy="1534795"/>
            <wp:effectExtent l="0" t="0" r="10160" b="8255"/>
            <wp:docPr id="2" name="图片 2" descr="H:/2025.5.7     安装公司雍琦的/6图1.tif6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2025.5.7     安装公司雍琦的/6图1.tif6图1"/>
                    <pic:cNvPicPr>
                      <a:picLocks noChangeAspect="1" noChangeArrowheads="1"/>
                    </pic:cNvPicPr>
                  </pic:nvPicPr>
                  <pic:blipFill>
                    <a:blip r:embed="rId26"/>
                    <a:srcRect/>
                    <a:stretch>
                      <a:fillRect/>
                    </a:stretch>
                  </pic:blipFill>
                  <pic:spPr>
                    <a:xfrm>
                      <a:off x="0" y="0"/>
                      <a:ext cx="3361690" cy="1534795"/>
                    </a:xfrm>
                    <a:prstGeom prst="rect">
                      <a:avLst/>
                    </a:prstGeom>
                    <a:noFill/>
                    <a:ln>
                      <a:noFill/>
                    </a:ln>
                  </pic:spPr>
                </pic:pic>
              </a:graphicData>
            </a:graphic>
          </wp:inline>
        </w:drawing>
      </w:r>
    </w:p>
    <w:p w14:paraId="28E2394E">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1</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综合管廊最小交叉角示意图</w:t>
      </w:r>
    </w:p>
    <w:p w14:paraId="20C4652E">
      <w:pPr>
        <w:pStyle w:val="5"/>
        <w:rPr>
          <w:highlight w:val="none"/>
        </w:rPr>
      </w:pPr>
      <w:r>
        <w:rPr>
          <w:b/>
          <w:highlight w:val="none"/>
        </w:rPr>
        <w:t>6.1.3</w:t>
      </w:r>
      <w:r>
        <w:rPr>
          <w:highlight w:val="none"/>
        </w:rPr>
        <w:t xml:space="preserve">  矩形断面的空间利用率高于其他断面，因而一般具备明挖施工条件时往往优先采用矩形断面。但是当施工条件受到制约必须采用非开挖技术如顶管法、盾构法施工综合管廊时，一般需要采用圆形断面。当采用明挖预制拼装法施工时，综合考虑断面利用、构件加工、现场拼装等因素，可采用矩形、圆形、马蹄形断面。</w:t>
      </w:r>
    </w:p>
    <w:p w14:paraId="709A24AC">
      <w:pPr>
        <w:pStyle w:val="5"/>
        <w:rPr>
          <w:highlight w:val="none"/>
        </w:rPr>
      </w:pPr>
      <w:r>
        <w:rPr>
          <w:b/>
          <w:highlight w:val="none"/>
        </w:rPr>
        <w:t>6.1.4</w:t>
      </w:r>
      <w:r>
        <w:rPr>
          <w:highlight w:val="none"/>
        </w:rPr>
        <w:t xml:space="preserve">  综合管廊内的管线为沿线地块服务，应根据规划要求预留管线进出节点。综合管廊建设的目的之一就是避免道路的开挖，在有些工程建设当中，虽然建设了综合管廊，但由于未能考虑到其他配套的设施同步建设，在道路路面施工完工后再建设，往往又会发生多次开挖路面或人行道的不良影响，因而要求在综合管廊分支口预埋管线，实施管线工井的土建工程。</w:t>
      </w:r>
    </w:p>
    <w:p w14:paraId="48AC012C">
      <w:pPr>
        <w:pStyle w:val="5"/>
        <w:rPr>
          <w:highlight w:val="none"/>
        </w:rPr>
      </w:pPr>
      <w:r>
        <w:rPr>
          <w:b/>
          <w:highlight w:val="none"/>
        </w:rPr>
        <w:t>6.1.5</w:t>
      </w:r>
      <w:r>
        <w:rPr>
          <w:highlight w:val="none"/>
        </w:rPr>
        <w:t xml:space="preserve">  其他建（构）筑物主要指地下商业、地下停车场、地下道路、地铁站以及地面建筑物的地下部分等。不同地下建（构）筑物施工后沉降控制指标不一致，为了避免因地下建（构）筑物沉降差异导致天然气管线破损而泄漏，参照日本《共同沟设计指针》第2章基本规划中提到：“6）在地铁车站房舍建筑部或者一般部位的建筑物上建设综合管沟时，采用相互分离的构造为佳。如果采用一体化构造时，应该与有关人员协商后制定综合管沟的位置和结构规划。”，故不建议与其他建（构）筑物合建。如确需与其他地下建（构）筑物合建，必须充分考虑相互影响因素。</w:t>
      </w:r>
    </w:p>
    <w:p w14:paraId="41AB13C9">
      <w:pPr>
        <w:pStyle w:val="5"/>
        <w:rPr>
          <w:highlight w:val="none"/>
        </w:rPr>
      </w:pPr>
      <w:r>
        <w:rPr>
          <w:b/>
          <w:highlight w:val="none"/>
        </w:rPr>
        <w:t xml:space="preserve">6.1.8 </w:t>
      </w:r>
      <w:r>
        <w:rPr>
          <w:highlight w:val="none"/>
        </w:rPr>
        <w:t xml:space="preserve"> 管道运行出现意外情况时，应能够快速可靠地通过阀门进行控制，为便于管线维护人员操作，一般应在综合管廊外部设置阀门井，将控制阀门布置在综合管廊外部的阀门井内。</w:t>
      </w:r>
    </w:p>
    <w:p w14:paraId="1CDAFCB3">
      <w:pPr>
        <w:pStyle w:val="5"/>
        <w:ind w:firstLine="422" w:firstLineChars="200"/>
        <w:rPr>
          <w:highlight w:val="none"/>
          <w:u w:val="none"/>
        </w:rPr>
      </w:pPr>
      <w:r>
        <w:rPr>
          <w:rFonts w:hint="eastAsia"/>
          <w:color w:val="auto"/>
          <w:highlight w:val="none"/>
          <w:u w:val="none"/>
        </w:rPr>
        <w:t>本条根据《城市综合管廊工程技术标准》</w:t>
      </w:r>
      <w:r>
        <w:rPr>
          <w:color w:val="auto"/>
          <w:highlight w:val="none"/>
          <w:u w:val="none"/>
        </w:rPr>
        <w:t>GB/T 50838-2015（2024版）</w:t>
      </w:r>
      <w:r>
        <w:rPr>
          <w:rFonts w:hint="eastAsia"/>
          <w:color w:val="auto"/>
          <w:highlight w:val="none"/>
          <w:u w:val="none"/>
        </w:rPr>
        <w:t>同步修</w:t>
      </w:r>
      <w:r>
        <w:rPr>
          <w:rFonts w:hint="eastAsia"/>
          <w:highlight w:val="none"/>
          <w:u w:val="none"/>
        </w:rPr>
        <w:t>订，对非压力管道做出同样要求。</w:t>
      </w:r>
    </w:p>
    <w:p w14:paraId="31A5EAA5">
      <w:pPr>
        <w:pStyle w:val="5"/>
        <w:rPr>
          <w:highlight w:val="none"/>
        </w:rPr>
      </w:pPr>
      <w:r>
        <w:rPr>
          <w:b/>
          <w:highlight w:val="none"/>
        </w:rPr>
        <w:t>6.1.9</w:t>
      </w:r>
      <w:r>
        <w:rPr>
          <w:highlight w:val="none"/>
        </w:rPr>
        <w:t xml:space="preserve">  管道内输送的介质一般为液体或气体，为便于管理，往往需要在管道的交叉处设置阀门进行控制。阀门的控制可分为电动阀门和手动阀门两种。由于阀门占用空间较大，应予以考虑。</w:t>
      </w:r>
    </w:p>
    <w:p w14:paraId="17DE2B88">
      <w:pPr>
        <w:pStyle w:val="5"/>
        <w:rPr>
          <w:highlight w:val="none"/>
        </w:rPr>
      </w:pPr>
      <w:r>
        <w:rPr>
          <w:b/>
          <w:highlight w:val="none"/>
        </w:rPr>
        <w:t>6.1.10</w:t>
      </w:r>
      <w:r>
        <w:rPr>
          <w:highlight w:val="none"/>
        </w:rPr>
        <w:t xml:space="preserve">  综合管廊内管线设计时应对支撑或预埋件进行设计并与综合管廊设计协调。</w:t>
      </w:r>
    </w:p>
    <w:p w14:paraId="3B956605">
      <w:pPr>
        <w:pStyle w:val="5"/>
        <w:rPr>
          <w:highlight w:val="none"/>
        </w:rPr>
      </w:pPr>
      <w:r>
        <w:rPr>
          <w:b/>
          <w:highlight w:val="none"/>
        </w:rPr>
        <w:t>6.1.12</w:t>
      </w:r>
      <w:r>
        <w:rPr>
          <w:highlight w:val="none"/>
        </w:rPr>
        <w:t xml:space="preserve">  备品备件的种类越少，库存压力越小，能大大降低运营管理公司积压资金。</w:t>
      </w:r>
    </w:p>
    <w:p w14:paraId="587B607E">
      <w:pPr>
        <w:pStyle w:val="4"/>
        <w:spacing w:before="156" w:after="156"/>
        <w:rPr>
          <w:b/>
          <w:color w:val="000000" w:themeColor="text1"/>
          <w:highlight w:val="none"/>
          <w14:textFill>
            <w14:solidFill>
              <w14:schemeClr w14:val="tx1"/>
            </w14:solidFill>
          </w14:textFill>
        </w:rPr>
      </w:pPr>
      <w:bookmarkStart w:id="166" w:name="_Toc37689829"/>
      <w:r>
        <w:rPr>
          <w:b/>
          <w:bCs w:val="0"/>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t xml:space="preserve">  空 间 设 计</w:t>
      </w:r>
      <w:bookmarkEnd w:id="166"/>
    </w:p>
    <w:p w14:paraId="272BDCD5">
      <w:pPr>
        <w:pStyle w:val="5"/>
        <w:rPr>
          <w:highlight w:val="none"/>
        </w:rPr>
      </w:pPr>
      <w:r>
        <w:rPr>
          <w:b/>
          <w:highlight w:val="none"/>
        </w:rPr>
        <w:t>6.2.5</w:t>
      </w:r>
      <w:r>
        <w:rPr>
          <w:highlight w:val="none"/>
        </w:rPr>
        <w:t xml:space="preserve">  当管线进入综合管廊或从综合管廊引出时，由于敷设方式不同以及综合管廊与道路结构不同，容易产生不均匀沉降，进而对管线运行安全产生影响。设计时应采取措施避免差异沉降对管线的影响。在管线进出综合管廊部位，尚应做好防水措施，避免地下水渗入综合管廊。</w:t>
      </w:r>
    </w:p>
    <w:p w14:paraId="637BA528">
      <w:pPr>
        <w:pStyle w:val="5"/>
        <w:rPr>
          <w:highlight w:val="none"/>
        </w:rPr>
      </w:pPr>
      <w:bookmarkStart w:id="167" w:name="_Toc37689830"/>
      <w:r>
        <w:rPr>
          <w:b/>
          <w:highlight w:val="none"/>
        </w:rPr>
        <w:t>6.2.6</w:t>
      </w:r>
      <w:r>
        <w:rPr>
          <w:highlight w:val="none"/>
        </w:rPr>
        <w:t xml:space="preserve">  监控中心宜靠近综合管廊主线，为便于维护管理人员自监控中心进出综合管廊，之间宜设置专用维护通道，并根据通行要求确定通道尺寸。</w:t>
      </w:r>
    </w:p>
    <w:p w14:paraId="59956B1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t xml:space="preserve">  横断面设计</w:t>
      </w:r>
      <w:bookmarkEnd w:id="167"/>
    </w:p>
    <w:p w14:paraId="3EE8BC2A">
      <w:pPr>
        <w:pStyle w:val="5"/>
        <w:rPr>
          <w:highlight w:val="none"/>
          <w:u w:val="none"/>
        </w:rPr>
      </w:pPr>
      <w:r>
        <w:rPr>
          <w:b/>
          <w:highlight w:val="none"/>
        </w:rPr>
        <w:t>6.3.1</w:t>
      </w:r>
      <w:r>
        <w:rPr>
          <w:highlight w:val="none"/>
        </w:rPr>
        <w:t xml:space="preserve">  日本</w:t>
      </w:r>
      <w:r>
        <w:rPr>
          <w:highlight w:val="none"/>
          <w:u w:val="none"/>
        </w:rPr>
        <w:t>《共同沟设计指针》规定管廊标准断面净高不宜小于2.1m，主要是考虑到穿戴安全装备的检修人员平均身高1.8m、顶部照明灯具0.2m、底部找平层0.1m。</w:t>
      </w:r>
    </w:p>
    <w:p w14:paraId="66057D24">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一般情况下，管廊标准断面净高建议按现行国家规范取值。若需要考虑进一步缩小净高，建议只是在人员出入较多的管廊参观段按现行国家规范取值，其余段落均可按照不小于2.1m考虑。</w:t>
      </w:r>
    </w:p>
    <w:p w14:paraId="7B9EB6E6">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在国标的基础上净高增加了“运输、运行、维护”，内部净宽增加了“规格”，两者统一合并为一条。</w:t>
      </w:r>
    </w:p>
    <w:p w14:paraId="50885278">
      <w:pPr>
        <w:pStyle w:val="59"/>
        <w:rPr>
          <w:highlight w:val="none"/>
          <w:u w:val="none"/>
        </w:rPr>
      </w:pPr>
      <w:r>
        <w:rPr>
          <w:rFonts w:hint="eastAsia"/>
          <w:highlight w:val="none"/>
          <w:u w:val="none"/>
        </w:rPr>
        <w:t>本条所指的净宽、净高均指单一舱室的内部净尺寸。</w:t>
      </w:r>
    </w:p>
    <w:p w14:paraId="4347268C">
      <w:pPr>
        <w:pStyle w:val="5"/>
        <w:rPr>
          <w:highlight w:val="none"/>
        </w:rPr>
      </w:pPr>
      <w:r>
        <w:rPr>
          <w:b/>
          <w:highlight w:val="none"/>
        </w:rPr>
        <w:t>6.3.2</w:t>
      </w:r>
      <w:r>
        <w:rPr>
          <w:highlight w:val="none"/>
        </w:rPr>
        <w:t xml:space="preserve">  综合管廊通道净宽首先应满足管道安装和维护的要求，同时综合行业标准《城市电力电缆线路设计技术规定》DL/T 5221、国家标准《电力工程电缆设计标准》GB 50217的规定，确定检修通道的最小净宽。</w:t>
      </w:r>
    </w:p>
    <w:p w14:paraId="0DB69DAC">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于容纳输送性管道的综合管廊，宜在输送性管道舱设置主检修通道，用于管道的运输安装和检修维护，为便于管道运输和检修，并尽量避免综合管廊内空气污染，主检修通道宜配置电力牵引车，参考国内小型牵引车规格型号，综合管廊内适用的电动牵引车尺寸按照车宽1.4m定制、两侧各预留0.4m安全距离，确定主检修通道最小宽度为2.2m。</w:t>
      </w:r>
    </w:p>
    <w:p w14:paraId="31CB837C">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检修通道取值应考虑管道保温、管件和支墩的影响。若受经济、用地等条件制约，检修通道取值可相应减小0.1m。</w:t>
      </w:r>
    </w:p>
    <w:p w14:paraId="67800822">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根据国内综合管廊的实践经验，</w:t>
      </w:r>
      <w:bookmarkStart w:id="168" w:name="_Hlk16360456"/>
      <w:r>
        <w:rPr>
          <w:color w:val="000000" w:themeColor="text1"/>
          <w:highlight w:val="none"/>
          <w14:textFill>
            <w14:solidFill>
              <w14:schemeClr w14:val="tx1"/>
            </w14:solidFill>
          </w14:textFill>
        </w:rPr>
        <w:t>图2～图</w:t>
      </w:r>
      <w:bookmarkEnd w:id="168"/>
      <w:r>
        <w:rPr>
          <w:color w:val="000000" w:themeColor="text1"/>
          <w:highlight w:val="none"/>
          <w14:textFill>
            <w14:solidFill>
              <w14:schemeClr w14:val="tx1"/>
            </w14:solidFill>
          </w14:textFill>
        </w:rPr>
        <w:t>4为综合管廊标准断面示意。</w:t>
      </w:r>
    </w:p>
    <w:p w14:paraId="35C4E342">
      <w:pPr>
        <w:overflowPunct w:val="0"/>
        <w:spacing w:line="240" w:lineRule="auto"/>
        <w:jc w:val="center"/>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502025" cy="1077595"/>
            <wp:effectExtent l="0" t="0" r="3175" b="8255"/>
            <wp:docPr id="9" name="图片 9" descr="H:/2025.5.7     安装公司雍琦的/6图2.tif6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2025.5.7     安装公司雍琦的/6图2.tif6图2"/>
                    <pic:cNvPicPr>
                      <a:picLocks noChangeAspect="1" noChangeArrowheads="1"/>
                    </pic:cNvPicPr>
                  </pic:nvPicPr>
                  <pic:blipFill>
                    <a:blip r:embed="rId27"/>
                    <a:srcRect t="351" b="351"/>
                    <a:stretch>
                      <a:fillRect/>
                    </a:stretch>
                  </pic:blipFill>
                  <pic:spPr>
                    <a:xfrm>
                      <a:off x="0" y="0"/>
                      <a:ext cx="3502025" cy="1077595"/>
                    </a:xfrm>
                    <a:prstGeom prst="rect">
                      <a:avLst/>
                    </a:prstGeom>
                    <a:noFill/>
                    <a:ln>
                      <a:noFill/>
                    </a:ln>
                  </pic:spPr>
                </pic:pic>
              </a:graphicData>
            </a:graphic>
          </wp:inline>
        </w:drawing>
      </w:r>
    </w:p>
    <w:p w14:paraId="5D4F2BD3">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2</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断面示意图一</w:t>
      </w:r>
    </w:p>
    <w:p w14:paraId="4151171E">
      <w:pPr>
        <w:overflowPunct w:val="0"/>
        <w:spacing w:line="240" w:lineRule="auto"/>
        <w:ind w:firstLine="464" w:firstLineChars="22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3241040" cy="1216025"/>
            <wp:effectExtent l="0" t="0" r="5080" b="3175"/>
            <wp:docPr id="6" name="图片 6" descr="H:/2025.5.7     安装公司雍琦的/6图3.tif6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2025.5.7     安装公司雍琦的/6图3.tif6图3"/>
                    <pic:cNvPicPr>
                      <a:picLocks noChangeAspect="1" noChangeArrowheads="1"/>
                    </pic:cNvPicPr>
                  </pic:nvPicPr>
                  <pic:blipFill>
                    <a:blip r:embed="rId28"/>
                    <a:srcRect l="51" r="51"/>
                    <a:stretch>
                      <a:fillRect/>
                    </a:stretch>
                  </pic:blipFill>
                  <pic:spPr>
                    <a:xfrm>
                      <a:off x="0" y="0"/>
                      <a:ext cx="3241040" cy="1216025"/>
                    </a:xfrm>
                    <a:prstGeom prst="rect">
                      <a:avLst/>
                    </a:prstGeom>
                    <a:noFill/>
                    <a:ln>
                      <a:noFill/>
                    </a:ln>
                  </pic:spPr>
                </pic:pic>
              </a:graphicData>
            </a:graphic>
          </wp:inline>
        </w:drawing>
      </w:r>
    </w:p>
    <w:p w14:paraId="5EF0AF17">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3</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断面示意图二</w:t>
      </w:r>
    </w:p>
    <w:p w14:paraId="5279F359">
      <w:pPr>
        <w:overflowPunct w:val="0"/>
        <w:spacing w:line="240" w:lineRule="auto"/>
        <w:ind w:firstLine="464" w:firstLineChars="22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2127250" cy="1161415"/>
            <wp:effectExtent l="0" t="0" r="6350" b="635"/>
            <wp:docPr id="4" name="图片 4" descr="H:/2025.5.7     安装公司雍琦的/6图4.tif6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2025.5.7     安装公司雍琦的/6图4.tif6图4"/>
                    <pic:cNvPicPr>
                      <a:picLocks noChangeAspect="1" noChangeArrowheads="1"/>
                    </pic:cNvPicPr>
                  </pic:nvPicPr>
                  <pic:blipFill>
                    <a:blip r:embed="rId29"/>
                    <a:srcRect/>
                    <a:stretch>
                      <a:fillRect/>
                    </a:stretch>
                  </pic:blipFill>
                  <pic:spPr>
                    <a:xfrm>
                      <a:off x="0" y="0"/>
                      <a:ext cx="2127250" cy="1161415"/>
                    </a:xfrm>
                    <a:prstGeom prst="rect">
                      <a:avLst/>
                    </a:prstGeom>
                    <a:noFill/>
                    <a:ln>
                      <a:noFill/>
                    </a:ln>
                  </pic:spPr>
                </pic:pic>
              </a:graphicData>
            </a:graphic>
          </wp:inline>
        </w:drawing>
      </w:r>
      <w:r>
        <w:rPr>
          <w:rFonts w:ascii="Times New Roman" w:hAnsi="Times New Roman" w:eastAsia="方正书宋简体" w:cs="Times New Roman"/>
          <w:color w:val="000000" w:themeColor="text1"/>
          <w:highlight w:val="none"/>
          <w14:textFill>
            <w14:solidFill>
              <w14:schemeClr w14:val="tx1"/>
            </w14:solidFill>
          </w14:textFill>
        </w:rPr>
        <w:drawing>
          <wp:inline distT="0" distB="0" distL="0" distR="0">
            <wp:extent cx="1226820" cy="1163320"/>
            <wp:effectExtent l="0" t="0" r="11430" b="17780"/>
            <wp:docPr id="3" name="图片 3" descr="H:/2025.5.7     安装公司雍琦的/6图4-2.tif6图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2025.5.7     安装公司雍琦的/6图4-2.tif6图4-2"/>
                    <pic:cNvPicPr>
                      <a:picLocks noChangeAspect="1" noChangeArrowheads="1"/>
                    </pic:cNvPicPr>
                  </pic:nvPicPr>
                  <pic:blipFill>
                    <a:blip r:embed="rId30"/>
                    <a:srcRect l="55" r="55"/>
                    <a:stretch>
                      <a:fillRect/>
                    </a:stretch>
                  </pic:blipFill>
                  <pic:spPr>
                    <a:xfrm>
                      <a:off x="0" y="0"/>
                      <a:ext cx="1226820" cy="1163320"/>
                    </a:xfrm>
                    <a:prstGeom prst="rect">
                      <a:avLst/>
                    </a:prstGeom>
                    <a:noFill/>
                    <a:ln>
                      <a:noFill/>
                    </a:ln>
                  </pic:spPr>
                </pic:pic>
              </a:graphicData>
            </a:graphic>
          </wp:inline>
        </w:drawing>
      </w:r>
    </w:p>
    <w:p w14:paraId="2B79900C">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4</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断面示意图三 </w:t>
      </w:r>
    </w:p>
    <w:p w14:paraId="7197F9B8">
      <w:pPr>
        <w:pStyle w:val="4"/>
        <w:spacing w:before="156" w:after="156"/>
        <w:rPr>
          <w:b/>
          <w:color w:val="000000" w:themeColor="text1"/>
          <w:highlight w:val="none"/>
          <w14:textFill>
            <w14:solidFill>
              <w14:schemeClr w14:val="tx1"/>
            </w14:solidFill>
          </w14:textFill>
        </w:rPr>
      </w:pPr>
      <w:bookmarkStart w:id="169" w:name="_Toc37689831"/>
      <w:r>
        <w:rPr>
          <w:b/>
          <w:bCs w:val="0"/>
          <w:color w:val="000000" w:themeColor="text1"/>
          <w:highlight w:val="none"/>
          <w14:textFill>
            <w14:solidFill>
              <w14:schemeClr w14:val="tx1"/>
            </w14:solidFill>
          </w14:textFill>
        </w:rPr>
        <w:t>6.4</w:t>
      </w:r>
      <w:r>
        <w:rPr>
          <w:color w:val="000000" w:themeColor="text1"/>
          <w:highlight w:val="none"/>
          <w14:textFill>
            <w14:solidFill>
              <w14:schemeClr w14:val="tx1"/>
            </w14:solidFill>
          </w14:textFill>
        </w:rPr>
        <w:t xml:space="preserve">  纵断面设计</w:t>
      </w:r>
      <w:bookmarkEnd w:id="169"/>
    </w:p>
    <w:p w14:paraId="3183B6C4">
      <w:pPr>
        <w:pStyle w:val="5"/>
        <w:rPr>
          <w:highlight w:val="none"/>
        </w:rPr>
      </w:pPr>
      <w:r>
        <w:rPr>
          <w:b/>
          <w:highlight w:val="none"/>
        </w:rPr>
        <w:t>6.4.1</w:t>
      </w:r>
      <w:r>
        <w:rPr>
          <w:highlight w:val="none"/>
        </w:rPr>
        <w:t xml:space="preserve">  为了将水流尽快汇集之集水坑，综合管廊内采用有组织的排水系统。一般在综合管廊的单侧或双侧设置排水明沟，综合考虑道路的纵坡设计和综合管廊埋深，排水明沟的纵向坡度不小于0.2%。考虑到管廊内空间限制及管道与管廊底部间距，管廊纵坡宜与排水明沟纵坡一致，不小于0.2%。</w:t>
      </w:r>
    </w:p>
    <w:p w14:paraId="23B788C9">
      <w:pPr>
        <w:pStyle w:val="5"/>
        <w:rPr>
          <w:highlight w:val="none"/>
        </w:rPr>
      </w:pPr>
      <w:bookmarkStart w:id="170" w:name="_Toc37689832"/>
      <w:r>
        <w:rPr>
          <w:b/>
          <w:highlight w:val="none"/>
        </w:rPr>
        <w:t>6.4.2</w:t>
      </w:r>
      <w:r>
        <w:rPr>
          <w:highlight w:val="none"/>
        </w:rPr>
        <w:t xml:space="preserve">  管廊下穿时，下穿部分角度越小，其下穿部分投资越大，角度越大，其下穿部分投资越小。但是考虑到管廊内管道及其附属设施的运输、安装以及管廊内人员的通过，其角度不宜大于30°。</w:t>
      </w:r>
    </w:p>
    <w:p w14:paraId="318B7C13">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6.5</w:t>
      </w:r>
      <w:r>
        <w:rPr>
          <w:color w:val="000000" w:themeColor="text1"/>
          <w:highlight w:val="none"/>
          <w14:textFill>
            <w14:solidFill>
              <w14:schemeClr w14:val="tx1"/>
            </w14:solidFill>
          </w14:textFill>
        </w:rPr>
        <w:t xml:space="preserve">  分 支 预 留</w:t>
      </w:r>
      <w:bookmarkEnd w:id="170"/>
    </w:p>
    <w:p w14:paraId="5969F424">
      <w:pPr>
        <w:pStyle w:val="5"/>
        <w:rPr>
          <w:highlight w:val="none"/>
        </w:rPr>
      </w:pPr>
      <w:r>
        <w:rPr>
          <w:b/>
          <w:highlight w:val="none"/>
        </w:rPr>
        <w:t>6.5.1</w:t>
      </w:r>
      <w:r>
        <w:rPr>
          <w:highlight w:val="none"/>
        </w:rPr>
        <w:t xml:space="preserve">  综合管廊分支口应根据各管线专项规划、</w:t>
      </w:r>
      <w:r>
        <w:rPr>
          <w:highlight w:val="none"/>
          <w:u w:val="none"/>
        </w:rPr>
        <w:t>管廊</w:t>
      </w:r>
      <w:r>
        <w:rPr>
          <w:rFonts w:hint="eastAsia"/>
          <w:color w:val="auto"/>
          <w:highlight w:val="none"/>
          <w:u w:val="none"/>
        </w:rPr>
        <w:t>专项</w:t>
      </w:r>
      <w:r>
        <w:rPr>
          <w:highlight w:val="none"/>
          <w:u w:val="none"/>
        </w:rPr>
        <w:t>规划、</w:t>
      </w:r>
      <w:r>
        <w:rPr>
          <w:highlight w:val="none"/>
        </w:rPr>
        <w:t>地块修规等相关规划进行预留，同时应兼顾周边地块现状需求情况，既满足远期、又兼顾近期。</w:t>
      </w:r>
    </w:p>
    <w:p w14:paraId="213EED30">
      <w:pPr>
        <w:pStyle w:val="5"/>
        <w:rPr>
          <w:highlight w:val="none"/>
        </w:rPr>
      </w:pPr>
      <w:r>
        <w:rPr>
          <w:b/>
          <w:highlight w:val="none"/>
        </w:rPr>
        <w:t xml:space="preserve">6.5.2 </w:t>
      </w:r>
      <w:r>
        <w:rPr>
          <w:highlight w:val="none"/>
        </w:rPr>
        <w:t xml:space="preserve"> 为了减少分支预留口的数量，综合管廊各专业管线分支预留口宜集中出线；各专业管线分支预留数量应满足周边地块的需求，不应再从其他分支口接入；管廊分支预留出线口的高度和宽度应满足管线布置和人员安装作业的需要；管廊分支预留口外部直埋管线应同步设计用于检查和控制的井室等配套设施。</w:t>
      </w:r>
    </w:p>
    <w:p w14:paraId="4C6E3475">
      <w:pPr>
        <w:pStyle w:val="5"/>
        <w:rPr>
          <w:highlight w:val="none"/>
        </w:rPr>
      </w:pPr>
      <w:r>
        <w:rPr>
          <w:b/>
          <w:highlight w:val="none"/>
        </w:rPr>
        <w:t>6.5.3</w:t>
      </w:r>
      <w:r>
        <w:rPr>
          <w:highlight w:val="none"/>
        </w:rPr>
        <w:t xml:space="preserve">  分支预留过路采用过街支沟或套管敷设可以降低管道维修时破路的风险，降低对道路和交通的影响程度。</w:t>
      </w:r>
    </w:p>
    <w:p w14:paraId="2349C7C1">
      <w:pPr>
        <w:pStyle w:val="5"/>
        <w:rPr>
          <w:highlight w:val="none"/>
        </w:rPr>
      </w:pPr>
      <w:r>
        <w:rPr>
          <w:b/>
          <w:highlight w:val="none"/>
        </w:rPr>
        <w:t>6.5.4</w:t>
      </w:r>
      <w:r>
        <w:rPr>
          <w:highlight w:val="none"/>
        </w:rPr>
        <w:t xml:space="preserve">  地下综合管廊埋深较深，在地下水位较浅的地区受地下水渗入影响较大，减小出线口的敷设深度可以降低地下水渗入的风险；在管线进出综合管廊部位时，应采用柔性防水套管做好防水措施，避免地下水渗入综合管廊；当管线进入综合管廊或从综合管廊引出时，由于敷设方式不同以及综合管廊与道路结构不同，容易产生不均匀沉降，进而对管线运行安全产生影响，设计时应采取措施避免差异沉降对管线的影响。</w:t>
      </w:r>
    </w:p>
    <w:p w14:paraId="4F3577B0">
      <w:pPr>
        <w:pStyle w:val="5"/>
        <w:rPr>
          <w:highlight w:val="none"/>
        </w:rPr>
      </w:pPr>
      <w:r>
        <w:rPr>
          <w:b/>
          <w:highlight w:val="none"/>
        </w:rPr>
        <w:t>6.5.5</w:t>
      </w:r>
      <w:r>
        <w:rPr>
          <w:highlight w:val="none"/>
        </w:rPr>
        <w:t xml:space="preserve">  重力流分支管线进入综合管廊时，应设置检查井等附属设施，该类附属设置占用空间大，且需人员日常维护，若将其设置在管廊外部，可以方便人员出入，降低雨污水泄漏风险，同时不占用管廊内部空间。若将检查井等附属设施设置在管廊内部，应保证其他管线</w:t>
      </w:r>
      <w:r>
        <w:rPr>
          <w:rFonts w:hint="eastAsia"/>
          <w:highlight w:val="none"/>
          <w:lang w:val="en-US" w:eastAsia="zh-CN"/>
        </w:rPr>
        <w:t>检</w:t>
      </w:r>
      <w:r>
        <w:rPr>
          <w:highlight w:val="none"/>
        </w:rPr>
        <w:t>安装和维护空间，必要时应将管廊外扩或加高。</w:t>
      </w:r>
    </w:p>
    <w:p w14:paraId="3DE6A5C4">
      <w:pPr>
        <w:pStyle w:val="5"/>
        <w:rPr>
          <w:highlight w:val="none"/>
        </w:rPr>
      </w:pPr>
      <w:r>
        <w:rPr>
          <w:b/>
          <w:highlight w:val="none"/>
        </w:rPr>
        <w:t xml:space="preserve">6.5.6 </w:t>
      </w:r>
      <w:r>
        <w:rPr>
          <w:highlight w:val="none"/>
        </w:rPr>
        <w:t xml:space="preserve"> 分支预留管线出管廊后需要设置各自的井室，各专业管线的井室应综合布置、互相协调，同时各管线间的净距应满足《城市工程管线综合规划规范》的要求。</w:t>
      </w:r>
    </w:p>
    <w:p w14:paraId="3BB24EEF">
      <w:pPr>
        <w:pStyle w:val="5"/>
        <w:rPr>
          <w:highlight w:val="none"/>
        </w:rPr>
      </w:pPr>
      <w:bookmarkStart w:id="171" w:name="_Toc37689833"/>
      <w:r>
        <w:rPr>
          <w:b/>
          <w:highlight w:val="none"/>
        </w:rPr>
        <w:t>6.5.7</w:t>
      </w:r>
      <w:r>
        <w:rPr>
          <w:highlight w:val="none"/>
        </w:rPr>
        <w:t xml:space="preserve">  分支预留管线的控制阀门采用远程控制方式可以提高阀门操作效率，尤其对于解决突发事件可以起到重要作用。</w:t>
      </w:r>
    </w:p>
    <w:p w14:paraId="6E431BFF">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t xml:space="preserve">  节 点 设 计</w:t>
      </w:r>
      <w:bookmarkEnd w:id="171"/>
    </w:p>
    <w:p w14:paraId="2B163E75">
      <w:pPr>
        <w:pStyle w:val="5"/>
        <w:rPr>
          <w:color w:val="auto"/>
          <w:highlight w:val="none"/>
          <w:bdr w:val="single" w:color="auto" w:sz="4" w:space="0"/>
        </w:rPr>
      </w:pPr>
      <w:r>
        <w:rPr>
          <w:b/>
          <w:highlight w:val="none"/>
        </w:rPr>
        <w:t>6.6.1</w:t>
      </w:r>
      <w:r>
        <w:rPr>
          <w:highlight w:val="none"/>
        </w:rPr>
        <w:t xml:space="preserve">  综合管廊每个舱室都应有配套节点，方便管线、人员、设备等与地面空间进行交换。</w:t>
      </w:r>
    </w:p>
    <w:p w14:paraId="1D674907">
      <w:pPr>
        <w:pStyle w:val="5"/>
        <w:ind w:firstLine="420"/>
        <w:rPr>
          <w:color w:val="auto"/>
          <w:highlight w:val="none"/>
          <w:u w:val="none"/>
          <w:bdr w:val="single" w:color="auto" w:sz="4" w:space="0"/>
        </w:rPr>
      </w:pPr>
      <w:r>
        <w:rPr>
          <w:rFonts w:hint="eastAsia"/>
          <w:color w:val="auto"/>
          <w:highlight w:val="none"/>
          <w:u w:val="none"/>
        </w:rPr>
        <w:t>本条根据《城市综合管廊工程技术标准》</w:t>
      </w:r>
      <w:r>
        <w:rPr>
          <w:color w:val="auto"/>
          <w:highlight w:val="none"/>
          <w:u w:val="none"/>
        </w:rPr>
        <w:t>GB/T 50838-2015（2024版）</w:t>
      </w:r>
      <w:r>
        <w:rPr>
          <w:rFonts w:hint="eastAsia"/>
          <w:color w:val="auto"/>
          <w:highlight w:val="none"/>
          <w:u w:val="none"/>
        </w:rPr>
        <w:t>同步修</w:t>
      </w:r>
      <w:r>
        <w:rPr>
          <w:rFonts w:hint="eastAsia"/>
          <w:highlight w:val="none"/>
          <w:u w:val="none"/>
        </w:rPr>
        <w:t>订了各类节点设置的要求。</w:t>
      </w:r>
    </w:p>
    <w:p w14:paraId="398EA66C">
      <w:pPr>
        <w:pStyle w:val="5"/>
        <w:rPr>
          <w:highlight w:val="none"/>
          <w:u w:val="none"/>
        </w:rPr>
      </w:pPr>
      <w:r>
        <w:rPr>
          <w:b/>
          <w:highlight w:val="none"/>
          <w:u w:val="none"/>
        </w:rPr>
        <w:t xml:space="preserve">6.6.2 </w:t>
      </w:r>
      <w:r>
        <w:rPr>
          <w:highlight w:val="none"/>
          <w:u w:val="none"/>
        </w:rPr>
        <w:t xml:space="preserve"> 综合管廊节点口部需露出地面，会因地面积水发生倒灌，应采取措施防止倒灌现象发生。主要技术措施有：</w:t>
      </w:r>
    </w:p>
    <w:p w14:paraId="774A82A8">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1</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综合管廊防洪标准宜与城市防洪标准相同，同时管廊各类节点孔口标高不应低于当地防洪标准加0.5m。</w:t>
      </w:r>
    </w:p>
    <w:p w14:paraId="00835601">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城市经常频发内涝，如进排风口的百叶窗下沿标高、人员进出口楼梯地坪标高、吊装口口部标高、逃生口人孔标高等孔口标高应当高出城市内涝防治设计重现期对应的地面积水深度。若该城市利用数学模型模拟过城市内涝，积水深度应根据模拟结果确定；若未做过数学模型，积水深度可以根据《室外排水设计规范》GB 50014要求确定。</w:t>
      </w:r>
    </w:p>
    <w:p w14:paraId="4987184A">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城市内负责管廊运营和维护公司平日应当备有防洪沙袋、防洪挡水板等，当发生超过城市防洪标准洪水或超标内涝防治标准降雨时，在各类节点孔口周围形成围挡，阻止积水倒灌进入管廊。</w:t>
      </w:r>
    </w:p>
    <w:p w14:paraId="5EBBA400">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由于吊装口并不是经常使用，有些地区将吊装口设置在人行道下，此时宜将吊装口设置在人行道基础之下并紧密密封，防止地面积水进入管廊。</w:t>
      </w:r>
    </w:p>
    <w:p w14:paraId="577902E5">
      <w:pPr>
        <w:pStyle w:val="42"/>
        <w:overflowPunct w:val="0"/>
        <w:spacing w:line="348" w:lineRule="exact"/>
        <w:ind w:firstLine="316" w:firstLineChars="150"/>
        <w:rPr>
          <w:rFonts w:ascii="Times New Roman" w:hAnsi="Times New Roman" w:eastAsia="方正书宋简体" w:cs="Times New Roman"/>
          <w:highlight w:val="none"/>
          <w:u w:val="none"/>
        </w:rPr>
      </w:pPr>
      <w:r>
        <w:rPr>
          <w:rFonts w:hint="eastAsia" w:ascii="Times New Roman" w:hAnsi="Times New Roman" w:eastAsia="方正书宋简体" w:cs="Times New Roman"/>
          <w:highlight w:val="none"/>
          <w:u w:val="none"/>
        </w:rPr>
        <w:t>5 依据《城市综合管廊工程技术标准》</w:t>
      </w:r>
      <w:r>
        <w:rPr>
          <w:rFonts w:ascii="Times New Roman" w:hAnsi="Times New Roman" w:eastAsia="方正书宋简体" w:cs="Times New Roman"/>
          <w:highlight w:val="none"/>
          <w:u w:val="none"/>
        </w:rPr>
        <w:t>GB/T 50838</w:t>
      </w:r>
      <w:r>
        <w:rPr>
          <w:rFonts w:hint="eastAsia" w:ascii="Times New Roman" w:hAnsi="Times New Roman" w:eastAsia="方正书宋简体" w:cs="Times New Roman"/>
          <w:highlight w:val="none"/>
          <w:u w:val="none"/>
        </w:rPr>
        <w:t>增加防止人员非常入侵要求。</w:t>
      </w:r>
    </w:p>
    <w:p w14:paraId="20DEF5CC">
      <w:pPr>
        <w:pStyle w:val="5"/>
        <w:rPr>
          <w:highlight w:val="none"/>
        </w:rPr>
      </w:pPr>
      <w:r>
        <w:rPr>
          <w:b/>
          <w:highlight w:val="none"/>
        </w:rPr>
        <w:t>6.6.3</w:t>
      </w:r>
      <w:r>
        <w:rPr>
          <w:highlight w:val="none"/>
        </w:rPr>
        <w:t xml:space="preserve">  人员出入口凸出地面结构尺寸较大，会挤占道路空间，因此不宜过多设置，宜与吊装口功能整合。有条件可以将人员出入口设置在道路红线以外；人员出入口宜设置在监控中心内，便于维护人员进出；不宜设置在节点交叉处，减少管廊复杂性。</w:t>
      </w:r>
    </w:p>
    <w:p w14:paraId="20709BB6">
      <w:pPr>
        <w:pStyle w:val="5"/>
        <w:rPr>
          <w:highlight w:val="none"/>
        </w:rPr>
      </w:pPr>
      <w:r>
        <w:rPr>
          <w:b/>
          <w:highlight w:val="none"/>
        </w:rPr>
        <w:t>6.6.4</w:t>
      </w:r>
      <w:r>
        <w:rPr>
          <w:highlight w:val="none"/>
        </w:rPr>
        <w:t xml:space="preserve">  逃生口主要作用是保障进入人员的安全，其间距大小根据各舱室输送介质危险大小而定。蒸汽管道发生事故时对人的危险较大，因此综合管廊敷设有蒸汽管道舱室逃生口间距较小。逃生口尺寸应考虑消防人员救援进出的需要。考虑热力管道一般不会独立成舱及配套设备设置需要，逃生口间距宜与防火分隔长度保持一致，建议每个舱室均设置有独立逃生口，且不同舱室逃生口设置在一处。</w:t>
      </w:r>
    </w:p>
    <w:p w14:paraId="1B126B83">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逃生口宜设置在绿化带内，如设置在道路其他部位，应当在逃生口附近设置“禁止停车”等标示，防止逃生口被压占。同时有工作人员在管廊内检修时，相应地面段应安排工作人员巡视，保障逃生口不被压占。</w:t>
      </w:r>
    </w:p>
    <w:p w14:paraId="2CB344A0">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管廊每个防火分隔段需要设置设备层，在管廊具有多个舱室时设备层可合建，宜将管廊的设备层与逃生口合并设置。</w:t>
      </w:r>
    </w:p>
    <w:p w14:paraId="0C5B682F">
      <w:pPr>
        <w:pStyle w:val="5"/>
        <w:rPr>
          <w:highlight w:val="none"/>
        </w:rPr>
      </w:pPr>
      <w:r>
        <w:rPr>
          <w:b/>
          <w:highlight w:val="none"/>
        </w:rPr>
        <w:t>6.6.5</w:t>
      </w:r>
      <w:r>
        <w:rPr>
          <w:highlight w:val="none"/>
        </w:rPr>
        <w:t xml:space="preserve">  （1）  综合管廊内空间较小，管道运输距离不宜过大，吊装口间距不宜大于400m。考虑到吊装口结构尺寸较大，施工难度较大，道路地面空间有限或者设置各类节点较多等因素，吊装口间距不宜过小，建议每两个防火分隔设置一处吊装口，且除天然气舱外，其他舱室吊装口可合建。</w:t>
      </w:r>
    </w:p>
    <w:p w14:paraId="1C716510">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若吊装口需要兼顾人员出入、自然通风功能，其最大间距不宜超过200m。</w:t>
      </w:r>
    </w:p>
    <w:p w14:paraId="453EC4E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孔口尺寸宜按管道能投放到管廊最小尺寸计算，吊装口宽度不应小于0.6m，且应大于管廊内最大管道外径加0.1m；其长度应满足长度6m的管道能进入管廊考虑。</w:t>
      </w:r>
    </w:p>
    <w:p w14:paraId="141453DE">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当电缆入廊，吊装口开孔尺寸应满足其转弯半径的需要。如管廊内配备有检修车，吊装口开孔尺寸或人员出入口尺寸宜考虑检修车出入需要。</w:t>
      </w:r>
    </w:p>
    <w:p w14:paraId="3DEC6AB6">
      <w:pPr>
        <w:pStyle w:val="5"/>
        <w:rPr>
          <w:bCs/>
          <w:highlight w:val="none"/>
          <w:u w:val="none"/>
        </w:rPr>
      </w:pPr>
      <w:bookmarkStart w:id="172" w:name="_Hlk16361225"/>
      <w:r>
        <w:rPr>
          <w:b/>
          <w:highlight w:val="none"/>
        </w:rPr>
        <w:t>6.6.7</w:t>
      </w:r>
      <w:r>
        <w:rPr>
          <w:rFonts w:hint="eastAsia"/>
          <w:b/>
          <w:highlight w:val="none"/>
          <w:u w:val="none"/>
        </w:rPr>
        <w:t xml:space="preserve"> </w:t>
      </w:r>
      <w:r>
        <w:rPr>
          <w:rFonts w:hint="eastAsia"/>
          <w:color w:val="auto"/>
          <w:highlight w:val="none"/>
          <w:u w:val="none"/>
        </w:rPr>
        <w:t>本条在《城市综合管廊工程技术标准》</w:t>
      </w:r>
      <w:r>
        <w:rPr>
          <w:color w:val="auto"/>
          <w:highlight w:val="none"/>
          <w:u w:val="none"/>
        </w:rPr>
        <w:t>GB/T 50838</w:t>
      </w:r>
      <w:r>
        <w:rPr>
          <w:rFonts w:hint="eastAsia"/>
          <w:color w:val="auto"/>
          <w:highlight w:val="none"/>
          <w:u w:val="none"/>
        </w:rPr>
        <w:t>的基础上，明确为天然气管道舱室的排风口与其他舱室、周边建构筑物各类口部间距的要求。</w:t>
      </w:r>
    </w:p>
    <w:p w14:paraId="27DD9796">
      <w:pPr>
        <w:pStyle w:val="42"/>
        <w:overflowPunct w:val="0"/>
        <w:spacing w:line="348" w:lineRule="exact"/>
        <w:ind w:firstLine="316" w:firstLineChars="150"/>
        <w:rPr>
          <w:rFonts w:ascii="Times New Roman" w:hAnsi="Times New Roman" w:eastAsia="方正书宋简体" w:cs="Times New Roman"/>
          <w:b/>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1 </w:t>
      </w:r>
      <w:r>
        <w:rPr>
          <w:rFonts w:ascii="Times New Roman" w:hAnsi="Times New Roman" w:eastAsia="方正书宋简体" w:cs="Times New Roman"/>
          <w:color w:val="000000" w:themeColor="text1"/>
          <w:highlight w:val="none"/>
          <w:u w:val="none"/>
          <w14:textFill>
            <w14:solidFill>
              <w14:schemeClr w14:val="tx1"/>
            </w14:solidFill>
          </w14:textFill>
        </w:rPr>
        <w:t>为避免天然气泄漏后进入其他舱室，</w:t>
      </w:r>
      <w:r>
        <w:rPr>
          <w:rFonts w:hint="eastAsia" w:ascii="Times New Roman" w:hAnsi="Times New Roman" w:eastAsia="方正书宋简体" w:cs="Times New Roman"/>
          <w:highlight w:val="none"/>
          <w:u w:val="none"/>
        </w:rPr>
        <w:t>含天然气  管道舱室</w:t>
      </w:r>
      <w:r>
        <w:rPr>
          <w:rFonts w:ascii="Times New Roman" w:hAnsi="Times New Roman" w:eastAsia="方正书宋简体" w:cs="Times New Roman"/>
          <w:color w:val="000000" w:themeColor="text1"/>
          <w:highlight w:val="none"/>
          <w:u w:val="none"/>
          <w14:textFill>
            <w14:solidFill>
              <w14:schemeClr w14:val="tx1"/>
            </w14:solidFill>
          </w14:textFill>
        </w:rPr>
        <w:t>各口部及集水坑应与其他舱室的口部及集水坑分别设置，不可共用节点。</w:t>
      </w:r>
    </w:p>
    <w:p w14:paraId="03F87073">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2 </w:t>
      </w:r>
      <w:r>
        <w:rPr>
          <w:rFonts w:ascii="Times New Roman" w:hAnsi="Times New Roman" w:eastAsia="方正书宋简体" w:cs="Times New Roman"/>
          <w:color w:val="000000" w:themeColor="text1"/>
          <w:highlight w:val="none"/>
          <w:u w:val="none"/>
          <w14:textFill>
            <w14:solidFill>
              <w14:schemeClr w14:val="tx1"/>
            </w14:solidFill>
          </w14:textFill>
        </w:rPr>
        <w:t xml:space="preserve"> 当多个舱室共用一个设备层时，各类线路进入</w:t>
      </w:r>
      <w:r>
        <w:rPr>
          <w:rFonts w:hint="eastAsia" w:ascii="Times New Roman" w:hAnsi="Times New Roman" w:eastAsia="方正书宋简体" w:cs="Times New Roman"/>
          <w:highlight w:val="none"/>
          <w:u w:val="none"/>
        </w:rPr>
        <w:t>含天然气  管道舱室</w:t>
      </w:r>
      <w:r>
        <w:rPr>
          <w:rFonts w:ascii="Times New Roman" w:hAnsi="Times New Roman" w:eastAsia="方正书宋简体" w:cs="Times New Roman"/>
          <w:color w:val="000000" w:themeColor="text1"/>
          <w:highlight w:val="none"/>
          <w:u w:val="none"/>
          <w14:textFill>
            <w14:solidFill>
              <w14:schemeClr w14:val="tx1"/>
            </w14:solidFill>
          </w14:textFill>
        </w:rPr>
        <w:t>需要开孔，管线安装完毕后应对开孔进行防火封堵。</w:t>
      </w:r>
    </w:p>
    <w:p w14:paraId="6CFEA88B">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3</w:t>
      </w:r>
      <w:r>
        <w:rPr>
          <w:rFonts w:ascii="Times New Roman" w:hAnsi="Times New Roman" w:eastAsia="方正书宋简体" w:cs="Times New Roman"/>
          <w:color w:val="000000" w:themeColor="text1"/>
          <w:highlight w:val="none"/>
          <w:u w:val="none"/>
          <w14:textFill>
            <w14:solidFill>
              <w14:schemeClr w14:val="tx1"/>
            </w14:solidFill>
          </w14:textFill>
        </w:rPr>
        <w:t xml:space="preserve">  为避免天然气泄漏通过管道蔓延至其他构筑物，</w:t>
      </w:r>
      <w:r>
        <w:rPr>
          <w:rFonts w:hint="eastAsia" w:ascii="Times New Roman" w:hAnsi="Times New Roman" w:eastAsia="方正书宋简体" w:cs="Times New Roman"/>
          <w:highlight w:val="none"/>
          <w:u w:val="none"/>
        </w:rPr>
        <w:t>含天然气管道舱室</w:t>
      </w:r>
      <w:r>
        <w:rPr>
          <w:rFonts w:ascii="Times New Roman" w:hAnsi="Times New Roman" w:eastAsia="方正书宋简体" w:cs="Times New Roman"/>
          <w:color w:val="000000" w:themeColor="text1"/>
          <w:highlight w:val="none"/>
          <w:u w:val="none"/>
          <w14:textFill>
            <w14:solidFill>
              <w14:schemeClr w14:val="tx1"/>
            </w14:solidFill>
          </w14:textFill>
        </w:rPr>
        <w:t>集水坑应设置水封。考虑到</w:t>
      </w:r>
      <w:r>
        <w:rPr>
          <w:rFonts w:hint="eastAsia" w:ascii="Times New Roman" w:hAnsi="Times New Roman" w:eastAsia="方正书宋简体" w:cs="Times New Roman"/>
          <w:highlight w:val="none"/>
          <w:u w:val="none"/>
        </w:rPr>
        <w:t>含天然气管道舱室</w:t>
      </w:r>
      <w:r>
        <w:rPr>
          <w:rFonts w:ascii="Times New Roman" w:hAnsi="Times New Roman" w:eastAsia="方正书宋简体" w:cs="Times New Roman"/>
          <w:color w:val="000000" w:themeColor="text1"/>
          <w:highlight w:val="none"/>
          <w:u w:val="none"/>
          <w14:textFill>
            <w14:solidFill>
              <w14:schemeClr w14:val="tx1"/>
            </w14:solidFill>
          </w14:textFill>
        </w:rPr>
        <w:t>集水坑使用频率较低（尤其是地下水位很低的地方），集水坑宜设置自动补水装置。</w:t>
      </w:r>
    </w:p>
    <w:bookmarkEnd w:id="172"/>
    <w:p w14:paraId="3F9392F4">
      <w:pPr>
        <w:pStyle w:val="5"/>
        <w:rPr>
          <w:highlight w:val="none"/>
        </w:rPr>
      </w:pPr>
      <w:r>
        <w:rPr>
          <w:b/>
          <w:highlight w:val="none"/>
        </w:rPr>
        <w:t>6.6.8</w:t>
      </w:r>
      <w:r>
        <w:rPr>
          <w:highlight w:val="none"/>
        </w:rPr>
        <w:t xml:space="preserve">  综合管廊的逃生口、通风口、投料口等露出地面的建筑物应有防恐、防盗设施的措施，如防盗报警装置，应与闭路监控系统结合。同时满足紧急情况下人员可由内部开启方便逃生的需要。</w:t>
      </w:r>
    </w:p>
    <w:p w14:paraId="65ECDE80">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49B753CF">
      <w:pPr>
        <w:pStyle w:val="2"/>
        <w:rPr>
          <w:color w:val="000000" w:themeColor="text1"/>
          <w:highlight w:val="none"/>
          <w14:textFill>
            <w14:solidFill>
              <w14:schemeClr w14:val="tx1"/>
            </w14:solidFill>
          </w14:textFill>
        </w:rPr>
        <w:sectPr>
          <w:pgSz w:w="7937" w:h="11509"/>
          <w:pgMar w:top="1020" w:right="907" w:bottom="1020" w:left="907" w:header="737" w:footer="737" w:gutter="0"/>
          <w:pgNumType w:fmt="decimal" w:start="117"/>
          <w:cols w:space="0" w:num="1"/>
          <w:docGrid w:type="linesAndChars" w:linePitch="312" w:charSpace="233"/>
        </w:sectPr>
      </w:pPr>
      <w:bookmarkStart w:id="173" w:name="_Toc37689834"/>
    </w:p>
    <w:p w14:paraId="408936F7">
      <w:pPr>
        <w:pStyle w:val="2"/>
        <w:rPr>
          <w:b w:val="0"/>
          <w:bCs w:val="0"/>
          <w:color w:val="000000" w:themeColor="text1"/>
          <w:highlight w:val="none"/>
          <w14:textFill>
            <w14:solidFill>
              <w14:schemeClr w14:val="tx1"/>
            </w14:solidFill>
          </w14:textFill>
        </w:rPr>
      </w:pPr>
      <w:bookmarkStart w:id="174" w:name="_Toc37689852"/>
      <w:r>
        <w:rPr>
          <w:color w:val="000000" w:themeColor="text1"/>
          <w:highlight w:val="none"/>
          <w:lang w:val="en-US"/>
          <w14:textFill>
            <w14:solidFill>
              <w14:schemeClr w14:val="tx1"/>
            </w14:solidFill>
          </w14:textFill>
        </w:rPr>
        <w:t>7</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结</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构</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设</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计</w:t>
      </w:r>
      <w:bookmarkEnd w:id="174"/>
    </w:p>
    <w:p w14:paraId="507BC95F">
      <w:pPr>
        <w:pStyle w:val="4"/>
        <w:spacing w:before="156" w:after="156"/>
        <w:rPr>
          <w:b/>
          <w:color w:val="000000" w:themeColor="text1"/>
          <w:highlight w:val="none"/>
          <w14:textFill>
            <w14:solidFill>
              <w14:schemeClr w14:val="tx1"/>
            </w14:solidFill>
          </w14:textFill>
        </w:rPr>
      </w:pPr>
      <w:bookmarkStart w:id="175" w:name="_Toc37689853"/>
      <w:r>
        <w:rPr>
          <w:b/>
          <w:bCs w:val="0"/>
          <w:color w:val="000000" w:themeColor="text1"/>
          <w:highlight w:val="none"/>
          <w14:textFill>
            <w14:solidFill>
              <w14:schemeClr w14:val="tx1"/>
            </w14:solidFill>
          </w14:textFill>
        </w:rPr>
        <w:t>7.1</w:t>
      </w:r>
      <w:r>
        <w:rPr>
          <w:color w:val="000000" w:themeColor="text1"/>
          <w:highlight w:val="none"/>
          <w14:textFill>
            <w14:solidFill>
              <w14:schemeClr w14:val="tx1"/>
            </w14:solidFill>
          </w14:textFill>
        </w:rPr>
        <w:t xml:space="preserve">  一 般 规 定</w:t>
      </w:r>
      <w:bookmarkEnd w:id="175"/>
    </w:p>
    <w:p w14:paraId="3FBACB2D">
      <w:pPr>
        <w:pStyle w:val="5"/>
        <w:rPr>
          <w:highlight w:val="none"/>
        </w:rPr>
      </w:pPr>
      <w:r>
        <w:rPr>
          <w:b/>
          <w:highlight w:val="none"/>
        </w:rPr>
        <w:t xml:space="preserve">7.1.1 </w:t>
      </w:r>
      <w:r>
        <w:rPr>
          <w:highlight w:val="none"/>
        </w:rPr>
        <w:t xml:space="preserve"> 综合管廊结构设计应对承载力极限状态计算和正常使用极限状态验算。</w:t>
      </w:r>
    </w:p>
    <w:p w14:paraId="5991436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承载能力极限状态：对应于综合管廊结构达到最大承载能力，综合管廊主体结构或连接构件因材料强度被超过而破坏；综合管廊结构因过量变形而不能继续承载或丧失稳定；综合管廊结构作为刚体失去平衡（横向滑移、上浮）；</w:t>
      </w:r>
    </w:p>
    <w:p w14:paraId="34F1BD32">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正常使用极限状态：对应于综合管廊结构达到正常使用或耐久性能的某项规定限值；影响正常使用的变形量限值；影响耐久性能的控制开裂或局部裂缝宽度限值等。</w:t>
      </w:r>
    </w:p>
    <w:p w14:paraId="20EB09E4">
      <w:pPr>
        <w:pStyle w:val="5"/>
        <w:rPr>
          <w:highlight w:val="none"/>
          <w:u w:val="none"/>
        </w:rPr>
      </w:pPr>
      <w:r>
        <w:rPr>
          <w:b/>
          <w:highlight w:val="none"/>
        </w:rPr>
        <w:t xml:space="preserve">7.1.2 </w:t>
      </w:r>
      <w:r>
        <w:rPr>
          <w:highlight w:val="none"/>
        </w:rPr>
        <w:t xml:space="preserve"> 国家标</w:t>
      </w:r>
      <w:r>
        <w:rPr>
          <w:highlight w:val="none"/>
          <w:u w:val="none"/>
        </w:rPr>
        <w:t>准《建筑结构可靠度设计统一标准》GB 50068规定，普通房屋和构筑物的结构设计</w:t>
      </w:r>
      <w:r>
        <w:rPr>
          <w:rFonts w:hint="eastAsia"/>
          <w:color w:val="auto"/>
          <w:highlight w:val="none"/>
          <w:u w:val="none"/>
        </w:rPr>
        <w:t>工作</w:t>
      </w:r>
      <w:r>
        <w:rPr>
          <w:highlight w:val="none"/>
          <w:u w:val="none"/>
        </w:rPr>
        <w:t>年限为 50 年，标志性建筑和特别重要的建筑结构，设计</w:t>
      </w:r>
      <w:r>
        <w:rPr>
          <w:rFonts w:hint="eastAsia"/>
          <w:color w:val="auto"/>
          <w:highlight w:val="none"/>
          <w:u w:val="none"/>
        </w:rPr>
        <w:t>工作</w:t>
      </w:r>
      <w:r>
        <w:rPr>
          <w:highlight w:val="none"/>
          <w:u w:val="none"/>
        </w:rPr>
        <w:t>年限为100 年。近年来以城市道路、桥梁为代表的城市生命线工程，结构设计</w:t>
      </w:r>
      <w:r>
        <w:rPr>
          <w:rFonts w:hint="eastAsia"/>
          <w:color w:val="auto"/>
          <w:highlight w:val="none"/>
          <w:u w:val="none"/>
        </w:rPr>
        <w:t>工作</w:t>
      </w:r>
      <w:r>
        <w:rPr>
          <w:highlight w:val="none"/>
          <w:u w:val="none"/>
        </w:rPr>
        <w:t>年限均提高到100年或更高年限的标准。综合管廊作为城市生命线工程，同样需要把结构设计</w:t>
      </w:r>
      <w:r>
        <w:rPr>
          <w:rFonts w:hint="eastAsia"/>
          <w:color w:val="auto"/>
          <w:highlight w:val="none"/>
          <w:u w:val="none"/>
        </w:rPr>
        <w:t>工作</w:t>
      </w:r>
      <w:r>
        <w:rPr>
          <w:highlight w:val="none"/>
          <w:u w:val="none"/>
        </w:rPr>
        <w:t>年限提高到100年。</w:t>
      </w:r>
      <w:r>
        <w:rPr>
          <w:rFonts w:hint="eastAsia"/>
          <w:color w:val="auto"/>
          <w:highlight w:val="none"/>
          <w:u w:val="none"/>
        </w:rPr>
        <w:t>而小型综合管廊一般为浅埋式沟道，入廊管线维护频率高，入廊管线规模发展变化快，因此规定其工作年限为50年。</w:t>
      </w:r>
    </w:p>
    <w:p w14:paraId="6FBA3879">
      <w:pPr>
        <w:pStyle w:val="5"/>
        <w:rPr>
          <w:highlight w:val="none"/>
        </w:rPr>
      </w:pPr>
      <w:r>
        <w:rPr>
          <w:b/>
          <w:highlight w:val="none"/>
          <w:u w:val="none"/>
        </w:rPr>
        <w:t xml:space="preserve">7.1.3 </w:t>
      </w:r>
      <w:r>
        <w:rPr>
          <w:highlight w:val="none"/>
          <w:u w:val="none"/>
        </w:rPr>
        <w:t xml:space="preserve"> 国家标准《建筑结构可靠度设计统一标准》GB 50068规定，建筑结构设计时，应根据结构破坏</w:t>
      </w:r>
      <w:r>
        <w:rPr>
          <w:highlight w:val="none"/>
        </w:rPr>
        <w:t>可能产生的后果，即危及人的性命、造成经济损失、对社会和环境产生影响等的严重性，采用不同的安全等级。综合管廊内容纳的电力、给水等管线为城市生命线工程，破坏后产生的经济损失和社会影响都比较严重，故确定综合管廊的安全等级为一级。</w:t>
      </w:r>
    </w:p>
    <w:p w14:paraId="0B97065D">
      <w:pPr>
        <w:pStyle w:val="5"/>
        <w:rPr>
          <w:highlight w:val="none"/>
        </w:rPr>
      </w:pPr>
      <w:r>
        <w:rPr>
          <w:b/>
          <w:highlight w:val="none"/>
        </w:rPr>
        <w:t xml:space="preserve">7.1.6 </w:t>
      </w:r>
      <w:r>
        <w:rPr>
          <w:highlight w:val="none"/>
        </w:rPr>
        <w:t xml:space="preserve"> 预制综合管廊纵向节段的尺寸及重量不应过大。在构件设计阶段应考虑到节段在吊装、运输过程中受到的车辆、设备、安全、交通等因素的制约，并根据限制条件综合确定其长度。</w:t>
      </w:r>
    </w:p>
    <w:p w14:paraId="6129A818">
      <w:pPr>
        <w:pStyle w:val="5"/>
        <w:rPr>
          <w:highlight w:val="none"/>
        </w:rPr>
      </w:pPr>
      <w:bookmarkStart w:id="176" w:name="_Hlk16516767"/>
      <w:r>
        <w:rPr>
          <w:b/>
          <w:highlight w:val="none"/>
        </w:rPr>
        <w:t xml:space="preserve">7.1.7 </w:t>
      </w:r>
      <w:r>
        <w:rPr>
          <w:highlight w:val="none"/>
        </w:rPr>
        <w:t xml:space="preserve"> 管廊长期埋于地下，一旦出现渗漏很</w:t>
      </w:r>
      <w:r>
        <w:rPr>
          <w:rFonts w:hint="eastAsia"/>
          <w:highlight w:val="none"/>
          <w:lang w:val="en-US" w:eastAsia="zh-CN"/>
        </w:rPr>
        <w:t>难</w:t>
      </w:r>
      <w:r>
        <w:rPr>
          <w:highlight w:val="none"/>
        </w:rPr>
        <w:t>对防水层进行修复，地下工程一旦建成，其维修成本和难度都远远高于建设时期。且综合管廊通常涵盖高压电缆、弱电线缆，在综合管廊结构有湿渍或渗水情况下，意味着综合管廊内是潮湿的，容易引起高压电缆和弱电线缆连接件的锈蚀和高压电缆打火现象，严重影响负载端的设备正常运转及工程安全运营，但如果只把包含高压电缆和弱电线缆舱室的防水设防等级设为一级，同一断面两种防水等级，实际操作难度很大。按照目前卷材防水材料的成本计算，一级防水价格比二级防水高出一倍左右，看似翻倍，实际施工中防水材料占到整个地下综合管廊工程成本的2%，使用以及防水增加金额并不高。</w:t>
      </w:r>
    </w:p>
    <w:p w14:paraId="11539761">
      <w:pPr>
        <w:pStyle w:val="59"/>
        <w:rPr>
          <w:color w:val="000000" w:themeColor="text1"/>
          <w:highlight w:val="none"/>
          <w:u w:val="none"/>
          <w14:textFill>
            <w14:solidFill>
              <w14:schemeClr w14:val="tx1"/>
            </w14:solidFill>
          </w14:textFill>
        </w:rPr>
      </w:pPr>
      <w:r>
        <w:rPr>
          <w:color w:val="000000" w:themeColor="text1"/>
          <w:highlight w:val="none"/>
          <w14:textFill>
            <w14:solidFill>
              <w14:schemeClr w14:val="tx1"/>
            </w14:solidFill>
          </w14:textFill>
        </w:rPr>
        <w:t>钢筋混凝土从理论上来说是渗透系数较小的透水体，但考虑到结构极限荷载设计以及现场施工因素，在工程实践上更是个透水体，地下水对地下工程的混凝土结构、钢筋侵蚀破坏已是一个不容忽视的问题，可靠的地下工程防水层可有效隔绝地下水对结构的影响，确保结构的耐久性，</w:t>
      </w:r>
      <w:r>
        <w:rPr>
          <w:rFonts w:hint="eastAsia"/>
          <w:highlight w:val="none"/>
          <w:u w:val="none"/>
        </w:rPr>
        <w:t>因此，综合管廊的防水应满足《特殊设施工程项目规范》的要求</w:t>
      </w:r>
      <w:r>
        <w:rPr>
          <w:color w:val="000000" w:themeColor="text1"/>
          <w:highlight w:val="none"/>
          <w:u w:val="none"/>
          <w14:textFill>
            <w14:solidFill>
              <w14:schemeClr w14:val="tx1"/>
            </w14:solidFill>
          </w14:textFill>
        </w:rPr>
        <w:t>。</w:t>
      </w:r>
    </w:p>
    <w:bookmarkEnd w:id="176"/>
    <w:p w14:paraId="22505BD4">
      <w:pPr>
        <w:pStyle w:val="4"/>
        <w:spacing w:before="156" w:after="156"/>
        <w:rPr>
          <w:b/>
          <w:color w:val="000000" w:themeColor="text1"/>
          <w:highlight w:val="none"/>
          <w14:textFill>
            <w14:solidFill>
              <w14:schemeClr w14:val="tx1"/>
            </w14:solidFill>
          </w14:textFill>
        </w:rPr>
      </w:pPr>
      <w:bookmarkStart w:id="177" w:name="_Toc12980683"/>
      <w:bookmarkStart w:id="178" w:name="_Toc37689854"/>
      <w:r>
        <w:rPr>
          <w:b/>
          <w:bCs w:val="0"/>
          <w:color w:val="000000" w:themeColor="text1"/>
          <w:highlight w:val="none"/>
          <w14:textFill>
            <w14:solidFill>
              <w14:schemeClr w14:val="tx1"/>
            </w14:solidFill>
          </w14:textFill>
        </w:rPr>
        <w:t>7.2</w:t>
      </w:r>
      <w:r>
        <w:rPr>
          <w:color w:val="000000" w:themeColor="text1"/>
          <w:highlight w:val="none"/>
          <w14:textFill>
            <w14:solidFill>
              <w14:schemeClr w14:val="tx1"/>
            </w14:solidFill>
          </w14:textFill>
        </w:rPr>
        <w:t xml:space="preserve">  材  料</w:t>
      </w:r>
      <w:bookmarkEnd w:id="177"/>
      <w:bookmarkEnd w:id="178"/>
    </w:p>
    <w:p w14:paraId="1398D190">
      <w:pPr>
        <w:pStyle w:val="5"/>
        <w:rPr>
          <w:highlight w:val="none"/>
        </w:rPr>
      </w:pPr>
      <w:bookmarkStart w:id="179" w:name="_Toc12980684"/>
      <w:bookmarkStart w:id="180" w:name="_Toc37689855"/>
      <w:r>
        <w:rPr>
          <w:b/>
          <w:highlight w:val="none"/>
        </w:rPr>
        <w:t>7.2.6</w:t>
      </w:r>
      <w:r>
        <w:rPr>
          <w:highlight w:val="none"/>
        </w:rPr>
        <w:t xml:space="preserve">  综合管廊结构长期受地下水、地表水的作用，为改善结构的耐久性，减小碱骨料反应，应严格控制混凝土及外加剂中氯离子含量和含碱量，控制标准见国家标准《地下工程防水技术规范》GB 50108和《混凝土结构耐久性设计规范》GB/T 50476的有关规定。</w:t>
      </w:r>
    </w:p>
    <w:p w14:paraId="04F49773">
      <w:pPr>
        <w:pStyle w:val="4"/>
        <w:spacing w:before="156" w:after="156"/>
        <w:rPr>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t xml:space="preserve">  结构上的作用</w:t>
      </w:r>
      <w:bookmarkEnd w:id="179"/>
      <w:bookmarkEnd w:id="180"/>
    </w:p>
    <w:p w14:paraId="0443FC23">
      <w:pPr>
        <w:pStyle w:val="5"/>
        <w:rPr>
          <w:highlight w:val="none"/>
        </w:rPr>
      </w:pPr>
      <w:r>
        <w:rPr>
          <w:b/>
          <w:highlight w:val="none"/>
        </w:rPr>
        <w:t>7.3.2</w:t>
      </w:r>
      <w:r>
        <w:rPr>
          <w:highlight w:val="none"/>
        </w:rPr>
        <w:t xml:space="preserve">  作用在综合管廊结构上的荷载须考虑施工阶段以及使用过程中荷载的变化，选择使整体结构或预制构件应力最大、工作状态最为不利的荷载组合进行设计。地面的车辆荷载一般简化为与结构埋深有关的均布荷载，但覆土较浅时应按实际情况计算；作用在综合管廊上的水压力，应根据施工阶段和长期使用过程中地下水位的变化，区分不同的围岩条件，按静水压力计算或把水作为土的一部分计入土压力中。</w:t>
      </w:r>
    </w:p>
    <w:p w14:paraId="1BE48D9B">
      <w:pPr>
        <w:pStyle w:val="5"/>
        <w:rPr>
          <w:highlight w:val="none"/>
        </w:rPr>
      </w:pPr>
      <w:bookmarkStart w:id="181" w:name="_Toc37689856"/>
      <w:r>
        <w:rPr>
          <w:b/>
          <w:highlight w:val="none"/>
        </w:rPr>
        <w:t>7.3.3</w:t>
      </w:r>
      <w:r>
        <w:rPr>
          <w:highlight w:val="none"/>
        </w:rPr>
        <w:t xml:space="preserve">  综合管廊属于狭长形结构，当地质条件复杂时，往往会产生不均匀沉降，对综合管廊结构产生内力。当能够设置变形缝时，应尽量采取设置变形缝的方式来消除由于不均匀沉降产生的内力。当由于外界条件约束不能够设置变形缝时，应考虑地基不均匀沉降的影响。</w:t>
      </w:r>
    </w:p>
    <w:p w14:paraId="7443A0B3">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7.4</w:t>
      </w:r>
      <w:r>
        <w:rPr>
          <w:color w:val="000000" w:themeColor="text1"/>
          <w:highlight w:val="none"/>
          <w14:textFill>
            <w14:solidFill>
              <w14:schemeClr w14:val="tx1"/>
            </w14:solidFill>
          </w14:textFill>
        </w:rPr>
        <w:t xml:space="preserve">  现浇混凝土综合管廊结构</w:t>
      </w:r>
      <w:bookmarkEnd w:id="181"/>
    </w:p>
    <w:p w14:paraId="5DB015F3">
      <w:pPr>
        <w:pStyle w:val="5"/>
        <w:rPr>
          <w:highlight w:val="none"/>
        </w:rPr>
      </w:pPr>
      <w:r>
        <w:rPr>
          <w:b/>
          <w:highlight w:val="none"/>
        </w:rPr>
        <w:t xml:space="preserve">7.4.1 </w:t>
      </w:r>
      <w:r>
        <w:rPr>
          <w:highlight w:val="none"/>
        </w:rPr>
        <w:t xml:space="preserve"> 现浇混凝土综合管廊结构一般为矩形箱涵结构。结构的受力模型宜采用闭合框架模型。现浇综合管廊闭合框架计算模型见图 1。本计算模型仅考虑了综合管廊外部荷载，实际工程中尚应同时考虑综合管廊内部荷载。</w:t>
      </w:r>
    </w:p>
    <w:p w14:paraId="67115C27">
      <w:pPr>
        <w:pStyle w:val="61"/>
        <w:overflowPunct w:val="0"/>
        <w:spacing w:line="240" w:lineRule="auto"/>
        <w:rPr>
          <w:rFonts w:ascii="Times New Roman" w:hAnsi="Times New Roman" w:eastAsia="方正书宋简体" w:cs="Times New Roman"/>
          <w:color w:val="000000" w:themeColor="text1"/>
          <w:sz w:val="21"/>
          <w:highlight w:val="none"/>
          <w14:textFill>
            <w14:solidFill>
              <w14:schemeClr w14:val="tx1"/>
            </w14:solidFill>
          </w14:textFill>
        </w:rPr>
      </w:pPr>
      <w:r>
        <w:rPr>
          <w:rFonts w:ascii="Times New Roman" w:hAnsi="Times New Roman" w:eastAsia="方正书宋简体" w:cs="Times New Roman"/>
          <w:color w:val="000000" w:themeColor="text1"/>
          <w:sz w:val="21"/>
          <w:highlight w:val="none"/>
          <w14:textFill>
            <w14:solidFill>
              <w14:schemeClr w14:val="tx1"/>
            </w14:solidFill>
          </w14:textFill>
        </w:rPr>
        <w:drawing>
          <wp:inline distT="0" distB="0" distL="0" distR="0">
            <wp:extent cx="3702050" cy="1250950"/>
            <wp:effectExtent l="0" t="0" r="1270" b="13970"/>
            <wp:docPr id="10" name="图片 10" descr="H:/2025.5.7     安装公司雍琦的/9图1.tif9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2025.5.7     安装公司雍琦的/9图1.tif9图1"/>
                    <pic:cNvPicPr>
                      <a:picLocks noChangeAspect="1"/>
                    </pic:cNvPicPr>
                  </pic:nvPicPr>
                  <pic:blipFill>
                    <a:blip r:embed="rId31"/>
                    <a:srcRect l="51" r="51"/>
                    <a:stretch>
                      <a:fillRect/>
                    </a:stretch>
                  </pic:blipFill>
                  <pic:spPr>
                    <a:xfrm>
                      <a:off x="0" y="0"/>
                      <a:ext cx="3702050" cy="1250950"/>
                    </a:xfrm>
                    <a:prstGeom prst="rect">
                      <a:avLst/>
                    </a:prstGeom>
                  </pic:spPr>
                </pic:pic>
              </a:graphicData>
            </a:graphic>
          </wp:inline>
        </w:drawing>
      </w:r>
    </w:p>
    <w:p w14:paraId="6C132831">
      <w:pPr>
        <w:pStyle w:val="61"/>
        <w:overflowPunct w:val="0"/>
        <w:spacing w:line="240" w:lineRule="auto"/>
        <w:rPr>
          <w:rFonts w:ascii="Times New Roman" w:hAnsi="Times New Roman" w:eastAsia="方正黑体简体" w:cs="Times New Roman"/>
          <w:bCs/>
          <w:color w:val="000000" w:themeColor="text1"/>
          <w:szCs w:val="18"/>
          <w:highlight w:val="none"/>
          <w14:textFill>
            <w14:solidFill>
              <w14:schemeClr w14:val="tx1"/>
            </w14:solidFill>
          </w14:textFill>
        </w:rPr>
      </w:pPr>
      <w:r>
        <w:rPr>
          <w:rFonts w:ascii="Times New Roman" w:hAnsi="Times New Roman" w:eastAsia="方正黑体简体" w:cs="Times New Roman"/>
          <w:bCs/>
          <w:color w:val="000000" w:themeColor="text1"/>
          <w:szCs w:val="18"/>
          <w:highlight w:val="none"/>
          <w14:textFill>
            <w14:solidFill>
              <w14:schemeClr w14:val="tx1"/>
            </w14:solidFill>
          </w14:textFill>
        </w:rPr>
        <w:t>图</w:t>
      </w:r>
      <w:r>
        <w:rPr>
          <w:rFonts w:ascii="Times New Roman" w:hAnsi="Times New Roman" w:eastAsia="方正黑体简体" w:cs="Times New Roman"/>
          <w:b/>
          <w:color w:val="000000" w:themeColor="text1"/>
          <w:szCs w:val="18"/>
          <w:highlight w:val="none"/>
          <w14:textFill>
            <w14:solidFill>
              <w14:schemeClr w14:val="tx1"/>
            </w14:solidFill>
          </w14:textFill>
        </w:rPr>
        <w:t>1</w:t>
      </w:r>
      <w:r>
        <w:rPr>
          <w:rFonts w:ascii="Times New Roman" w:hAnsi="Times New Roman" w:eastAsia="方正黑体简体" w:cs="Times New Roman"/>
          <w:bCs/>
          <w:color w:val="000000" w:themeColor="text1"/>
          <w:szCs w:val="18"/>
          <w:highlight w:val="none"/>
          <w14:textFill>
            <w14:solidFill>
              <w14:schemeClr w14:val="tx1"/>
            </w14:solidFill>
          </w14:textFill>
        </w:rPr>
        <w:t xml:space="preserve">  现浇综合管廊闭合框架计算模型</w:t>
      </w:r>
    </w:p>
    <w:p w14:paraId="6596FB3B">
      <w:pPr>
        <w:pStyle w:val="62"/>
        <w:overflowPunct w:val="0"/>
        <w:spacing w:line="348" w:lineRule="exact"/>
        <w:ind w:firstLine="0" w:firstLineChars="0"/>
        <w:jc w:val="center"/>
        <w:rPr>
          <w:rFonts w:ascii="Times New Roman" w:hAnsi="Times New Roman" w:eastAsia="方正书宋简体" w:cs="Times New Roman"/>
          <w:color w:val="000000" w:themeColor="text1"/>
          <w:sz w:val="21"/>
          <w:highlight w:val="none"/>
          <w14:textFill>
            <w14:solidFill>
              <w14:schemeClr w14:val="tx1"/>
            </w14:solidFill>
          </w14:textFill>
        </w:rPr>
      </w:pPr>
      <w:r>
        <w:rPr>
          <w:rFonts w:ascii="Times New Roman" w:hAnsi="Times New Roman" w:eastAsia="方正书宋简体" w:cs="Times New Roman"/>
          <w:color w:val="000000" w:themeColor="text1"/>
          <w:sz w:val="21"/>
          <w:highlight w:val="none"/>
          <w14:textFill>
            <w14:solidFill>
              <w14:schemeClr w14:val="tx1"/>
            </w14:solidFill>
          </w14:textFill>
        </w:rPr>
        <w:t>1—综合管廊顶板载荷；2—综合管廊地基反力；</w:t>
      </w:r>
    </w:p>
    <w:p w14:paraId="47AD3BA9">
      <w:pPr>
        <w:pStyle w:val="62"/>
        <w:overflowPunct w:val="0"/>
        <w:spacing w:line="348" w:lineRule="exact"/>
        <w:ind w:firstLine="0" w:firstLineChars="0"/>
        <w:jc w:val="center"/>
        <w:rPr>
          <w:rFonts w:ascii="Times New Roman" w:hAnsi="Times New Roman" w:eastAsia="方正书宋简体" w:cs="Times New Roman"/>
          <w:color w:val="000000" w:themeColor="text1"/>
          <w:sz w:val="21"/>
          <w:highlight w:val="none"/>
          <w14:textFill>
            <w14:solidFill>
              <w14:schemeClr w14:val="tx1"/>
            </w14:solidFill>
          </w14:textFill>
        </w:rPr>
      </w:pPr>
      <w:r>
        <w:rPr>
          <w:rFonts w:ascii="Times New Roman" w:hAnsi="Times New Roman" w:eastAsia="方正书宋简体" w:cs="Times New Roman"/>
          <w:color w:val="000000" w:themeColor="text1"/>
          <w:sz w:val="21"/>
          <w:highlight w:val="none"/>
          <w14:textFill>
            <w14:solidFill>
              <w14:schemeClr w14:val="tx1"/>
            </w14:solidFill>
          </w14:textFill>
        </w:rPr>
        <w:t>3—综合管廊侧向水土压力</w:t>
      </w:r>
    </w:p>
    <w:p w14:paraId="6FF95CF8">
      <w:pPr>
        <w:pStyle w:val="4"/>
        <w:spacing w:before="156" w:after="156"/>
        <w:rPr>
          <w:b/>
          <w:color w:val="000000" w:themeColor="text1"/>
          <w:highlight w:val="none"/>
          <w14:textFill>
            <w14:solidFill>
              <w14:schemeClr w14:val="tx1"/>
            </w14:solidFill>
          </w14:textFill>
        </w:rPr>
      </w:pPr>
      <w:bookmarkStart w:id="182" w:name="_Toc37689857"/>
      <w:r>
        <w:rPr>
          <w:b/>
          <w:bCs w:val="0"/>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 xml:space="preserve">  预制拼装综合管廊结构</w:t>
      </w:r>
      <w:bookmarkEnd w:id="182"/>
    </w:p>
    <w:p w14:paraId="16AA12B1">
      <w:pPr>
        <w:pStyle w:val="5"/>
        <w:rPr>
          <w:highlight w:val="none"/>
        </w:rPr>
      </w:pPr>
      <w:r>
        <w:rPr>
          <w:b/>
          <w:highlight w:val="none"/>
        </w:rPr>
        <w:t>7.5.4</w:t>
      </w:r>
      <w:r>
        <w:rPr>
          <w:highlight w:val="none"/>
        </w:rPr>
        <w:t xml:space="preserve">  综合管廊的各构件间的拼缝，宜通过承插式接头连接，并做好防水措施。综合管廊在线形、构造、地基条件的变化处应设置柔性接头。</w:t>
      </w:r>
    </w:p>
    <w:p w14:paraId="0473D61B">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连接部位吸收变形等的构造应充分考虑防水。在地形及地质一致且良好的地基上设置的综合管廊，可采用伸缩接头；设置在松软地基、地基骤变处的综合管廊构造变化处，宜采用柔性接头，在松软地基处，宜增设管套对接头进行加强。</w:t>
      </w:r>
    </w:p>
    <w:p w14:paraId="4E4B5154">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纵向预应力束的连接部，应设置在构件的中央部。</w:t>
      </w:r>
    </w:p>
    <w:p w14:paraId="57A638DC">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拼装式管廊构件之间的钢筋连接做法参照《混凝土结构设计规范》GB 50010和《装配式混凝土结构技术规程》 JGJ 1，可采用搭接、机械连接、套筒灌浆连接、浆锚搭接、焊接等连接方式。</w:t>
      </w:r>
    </w:p>
    <w:p w14:paraId="1CC1C208">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预制构件与后浇混凝土、灌浆料的结合面应设置粗糙面、键槽，并应符合《装配式混凝土结构技术规程》JGJ 1的相关内容要求。</w:t>
      </w:r>
    </w:p>
    <w:p w14:paraId="475ED745">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预制构件端部预应力筋外露长度不宜小于150mm，搁置长度不宜小于15mm。</w:t>
      </w:r>
    </w:p>
    <w:p w14:paraId="2EB7D8AC">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在同一断面配置多个锚具的情况下，锚固处混凝土断面形状及尺寸的确定应综合考虑锚具的数量、锚固力的大小及各锚具间所需的最小间隔等。</w:t>
      </w:r>
    </w:p>
    <w:p w14:paraId="3C283AF5">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预制管廊用于接地的钢筋（纵向钢筋接地干线和横向钢筋环接地均压带）应采用焊接连接，保证电流通路。</w:t>
      </w:r>
    </w:p>
    <w:p w14:paraId="27C1C163">
      <w:pPr>
        <w:pStyle w:val="5"/>
        <w:rPr>
          <w:highlight w:val="none"/>
        </w:rPr>
      </w:pPr>
      <w:r>
        <w:rPr>
          <w:b/>
          <w:highlight w:val="none"/>
        </w:rPr>
        <w:t>7.5.5</w:t>
      </w:r>
      <w:r>
        <w:rPr>
          <w:highlight w:val="none"/>
        </w:rPr>
        <w:t xml:space="preserve">  预制拼装综合管廊结构计算模型为封闭框架，但是由于拼缝刚度的影响，在计算时应考虑到拼缝刚度对内力折减的影响。预制拼装综合管廊闭合框架计算模型见图 2。</w:t>
      </w:r>
    </w:p>
    <w:p w14:paraId="1ED99CBC">
      <w:pPr>
        <w:pStyle w:val="61"/>
        <w:overflowPunct w:val="0"/>
        <w:spacing w:line="240" w:lineRule="auto"/>
        <w:rPr>
          <w:rFonts w:ascii="Times New Roman" w:hAnsi="Times New Roman" w:eastAsia="方正书宋简体" w:cs="Times New Roman"/>
          <w:color w:val="000000" w:themeColor="text1"/>
          <w:sz w:val="21"/>
          <w:highlight w:val="none"/>
          <w14:textFill>
            <w14:solidFill>
              <w14:schemeClr w14:val="tx1"/>
            </w14:solidFill>
          </w14:textFill>
        </w:rPr>
      </w:pPr>
      <w:r>
        <w:rPr>
          <w:rFonts w:ascii="Times New Roman" w:hAnsi="Times New Roman" w:eastAsia="方正书宋简体" w:cs="Times New Roman"/>
          <w:color w:val="000000" w:themeColor="text1"/>
          <w:sz w:val="21"/>
          <w:highlight w:val="none"/>
          <w14:textFill>
            <w14:solidFill>
              <w14:schemeClr w14:val="tx1"/>
            </w14:solidFill>
          </w14:textFill>
        </w:rPr>
        <w:drawing>
          <wp:inline distT="0" distB="0" distL="0" distR="0">
            <wp:extent cx="3613150" cy="1162050"/>
            <wp:effectExtent l="0" t="0" r="13970" b="11430"/>
            <wp:docPr id="11" name="图片 11" descr="H:/2025.5.7     安装公司雍琦的/9图2.tif9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2025.5.7     安装公司雍琦的/9图2.tif9图2"/>
                    <pic:cNvPicPr>
                      <a:picLocks noChangeAspect="1" noChangeArrowheads="1"/>
                    </pic:cNvPicPr>
                  </pic:nvPicPr>
                  <pic:blipFill>
                    <a:blip r:embed="rId32"/>
                    <a:srcRect l="26" r="26"/>
                    <a:stretch>
                      <a:fillRect/>
                    </a:stretch>
                  </pic:blipFill>
                  <pic:spPr>
                    <a:xfrm>
                      <a:off x="0" y="0"/>
                      <a:ext cx="3613150" cy="1162050"/>
                    </a:xfrm>
                    <a:prstGeom prst="rect">
                      <a:avLst/>
                    </a:prstGeom>
                    <a:noFill/>
                    <a:ln>
                      <a:noFill/>
                    </a:ln>
                  </pic:spPr>
                </pic:pic>
              </a:graphicData>
            </a:graphic>
          </wp:inline>
        </w:drawing>
      </w:r>
    </w:p>
    <w:p w14:paraId="783327DE">
      <w:pPr>
        <w:spacing w:line="312" w:lineRule="exact"/>
        <w:jc w:val="center"/>
        <w:rPr>
          <w:rFonts w:ascii="Times New Roman" w:hAnsi="Times New Roman" w:eastAsia="方正黑体简体" w:cs="Times New Roman"/>
          <w:bCs/>
          <w:color w:val="000000" w:themeColor="text1"/>
          <w:sz w:val="18"/>
          <w:szCs w:val="18"/>
          <w:highlight w:val="none"/>
          <w14:textFill>
            <w14:solidFill>
              <w14:schemeClr w14:val="tx1"/>
            </w14:solidFill>
          </w14:textFill>
        </w:rPr>
      </w:pPr>
      <w:r>
        <w:rPr>
          <w:rFonts w:ascii="Times New Roman" w:hAnsi="Times New Roman" w:eastAsia="方正黑体简体" w:cs="Times New Roman"/>
          <w:bCs/>
          <w:color w:val="000000" w:themeColor="text1"/>
          <w:sz w:val="18"/>
          <w:szCs w:val="18"/>
          <w:highlight w:val="none"/>
          <w14:textFill>
            <w14:solidFill>
              <w14:schemeClr w14:val="tx1"/>
            </w14:solidFill>
          </w14:textFill>
        </w:rPr>
        <w:t>图</w:t>
      </w:r>
      <w:r>
        <w:rPr>
          <w:rFonts w:ascii="Times New Roman" w:hAnsi="Times New Roman" w:eastAsia="方正黑体简体" w:cs="Times New Roman"/>
          <w:b/>
          <w:color w:val="000000" w:themeColor="text1"/>
          <w:sz w:val="18"/>
          <w:szCs w:val="18"/>
          <w:highlight w:val="none"/>
          <w14:textFill>
            <w14:solidFill>
              <w14:schemeClr w14:val="tx1"/>
            </w14:solidFill>
          </w14:textFill>
        </w:rPr>
        <w:t>2</w:t>
      </w:r>
      <w:r>
        <w:rPr>
          <w:rFonts w:ascii="Times New Roman" w:hAnsi="Times New Roman" w:eastAsia="方正黑体简体" w:cs="Times New Roman"/>
          <w:bCs/>
          <w:color w:val="000000" w:themeColor="text1"/>
          <w:sz w:val="18"/>
          <w:szCs w:val="18"/>
          <w:highlight w:val="none"/>
          <w14:textFill>
            <w14:solidFill>
              <w14:schemeClr w14:val="tx1"/>
            </w14:solidFill>
          </w14:textFill>
        </w:rPr>
        <w:t xml:space="preserve">  预制拼装综合管廊闭合框架计算模型</w:t>
      </w:r>
    </w:p>
    <w:p w14:paraId="510028DD">
      <w:pPr>
        <w:pStyle w:val="62"/>
        <w:overflowPunct w:val="0"/>
        <w:spacing w:line="348" w:lineRule="exact"/>
        <w:ind w:firstLine="0" w:firstLineChars="0"/>
        <w:jc w:val="center"/>
        <w:rPr>
          <w:rFonts w:ascii="Times New Roman" w:hAnsi="Times New Roman" w:eastAsia="方正书宋简体" w:cs="Times New Roman"/>
          <w:color w:val="000000" w:themeColor="text1"/>
          <w:sz w:val="21"/>
          <w:highlight w:val="none"/>
          <w14:textFill>
            <w14:solidFill>
              <w14:schemeClr w14:val="tx1"/>
            </w14:solidFill>
          </w14:textFill>
        </w:rPr>
      </w:pPr>
      <w:r>
        <w:rPr>
          <w:rFonts w:ascii="Times New Roman" w:hAnsi="Times New Roman" w:eastAsia="方正书宋简体" w:cs="Times New Roman"/>
          <w:color w:val="000000" w:themeColor="text1"/>
          <w:sz w:val="21"/>
          <w:highlight w:val="none"/>
          <w14:textFill>
            <w14:solidFill>
              <w14:schemeClr w14:val="tx1"/>
            </w14:solidFill>
          </w14:textFill>
        </w:rPr>
        <w:t>1—综合管廊顶板荷载；2—综合管廊地基反力；</w:t>
      </w:r>
      <w:r>
        <w:rPr>
          <w:rFonts w:ascii="Times New Roman" w:hAnsi="Times New Roman" w:eastAsia="方正书宋简体" w:cs="Times New Roman"/>
          <w:color w:val="000000" w:themeColor="text1"/>
          <w:sz w:val="21"/>
          <w:highlight w:val="none"/>
          <w14:textFill>
            <w14:solidFill>
              <w14:schemeClr w14:val="tx1"/>
            </w14:solidFill>
          </w14:textFill>
        </w:rPr>
        <w:br w:type="textWrapping"/>
      </w:r>
      <w:r>
        <w:rPr>
          <w:rFonts w:ascii="Times New Roman" w:hAnsi="Times New Roman" w:eastAsia="方正书宋简体" w:cs="Times New Roman"/>
          <w:color w:val="000000" w:themeColor="text1"/>
          <w:sz w:val="21"/>
          <w:highlight w:val="none"/>
          <w14:textFill>
            <w14:solidFill>
              <w14:schemeClr w14:val="tx1"/>
            </w14:solidFill>
          </w14:textFill>
        </w:rPr>
        <w:t>3—综合管廊侧向水土压力；4—拼缝接头旋转弹簧</w:t>
      </w:r>
    </w:p>
    <w:p w14:paraId="782E9704">
      <w:pPr>
        <w:pStyle w:val="4"/>
        <w:spacing w:before="156" w:after="156"/>
        <w:rPr>
          <w:b/>
          <w:color w:val="000000" w:themeColor="text1"/>
          <w:highlight w:val="none"/>
          <w14:textFill>
            <w14:solidFill>
              <w14:schemeClr w14:val="tx1"/>
            </w14:solidFill>
          </w14:textFill>
        </w:rPr>
      </w:pPr>
      <w:bookmarkStart w:id="183" w:name="_Toc37689858"/>
      <w:r>
        <w:rPr>
          <w:b/>
          <w:bCs w:val="0"/>
          <w:color w:val="000000" w:themeColor="text1"/>
          <w:highlight w:val="none"/>
          <w14:textFill>
            <w14:solidFill>
              <w14:schemeClr w14:val="tx1"/>
            </w14:solidFill>
          </w14:textFill>
        </w:rPr>
        <w:t>7.6</w:t>
      </w:r>
      <w:r>
        <w:rPr>
          <w:color w:val="000000" w:themeColor="text1"/>
          <w:highlight w:val="none"/>
          <w14:textFill>
            <w14:solidFill>
              <w14:schemeClr w14:val="tx1"/>
            </w14:solidFill>
          </w14:textFill>
        </w:rPr>
        <w:t xml:space="preserve">  构 造 要 求</w:t>
      </w:r>
      <w:bookmarkEnd w:id="183"/>
    </w:p>
    <w:p w14:paraId="7F1DC080">
      <w:pPr>
        <w:pStyle w:val="5"/>
        <w:rPr>
          <w:highlight w:val="none"/>
        </w:rPr>
      </w:pPr>
      <w:r>
        <w:rPr>
          <w:b/>
          <w:highlight w:val="none"/>
        </w:rPr>
        <w:t>7.6.1</w:t>
      </w:r>
      <w:r>
        <w:rPr>
          <w:highlight w:val="none"/>
        </w:rPr>
        <w:t xml:space="preserve">  （1）  由于地下结构的伸（膨胀）缝、缩（收缩）缝、沉降缝等结构缝是防水防渗的薄弱部位，应尽可能少设，因此本标准将这三种结构缝功能整合设置为变形缝。</w:t>
      </w:r>
    </w:p>
    <w:p w14:paraId="2D163576">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变形缝间距综合考虑了混凝土结构温度收缩、基坑施工等因素确定的，在采取以下措施的情况下，变形缝间距可适当加大，但不宜大于40m：</w:t>
      </w:r>
    </w:p>
    <w:p w14:paraId="128B615F">
      <w:pPr>
        <w:pStyle w:val="42"/>
        <w:overflowPunct w:val="0"/>
        <w:spacing w:line="348"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1）采取减小混凝土收缩或温度变化的措施。</w:t>
      </w:r>
    </w:p>
    <w:p w14:paraId="533560A6">
      <w:pPr>
        <w:pStyle w:val="42"/>
        <w:overflowPunct w:val="0"/>
        <w:spacing w:line="348"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2）采用专门的预加应力或增配构造钢筋的措施。</w:t>
      </w:r>
    </w:p>
    <w:p w14:paraId="68156209">
      <w:pPr>
        <w:pStyle w:val="42"/>
        <w:overflowPunct w:val="0"/>
        <w:spacing w:line="348"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3）采用低收缩混凝土材料，采取跳仓浇筑、后浇带、控制缝等施工方法，并加强施工养护。</w:t>
      </w:r>
    </w:p>
    <w:p w14:paraId="51A6E9D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w:t>
      </w:r>
      <w:r>
        <w:rPr>
          <w:rFonts w:ascii="Times New Roman" w:hAnsi="Times New Roman" w:eastAsia="方正书宋简体" w:cs="Times New Roman"/>
          <w:color w:val="000000" w:themeColor="text1"/>
          <w:highlight w:val="none"/>
          <w14:textFill>
            <w14:solidFill>
              <w14:schemeClr w14:val="tx1"/>
            </w14:solidFill>
          </w14:textFill>
        </w:rPr>
        <w:t xml:space="preserve">  根据厦门市综合管廊建设的实践经验，采用双橡胶圈的变形缝防水效果良好，可在施工期间对变形缝的防水效果进行检测并及时处理，且在运营期间若出现变形缝渗水可利用密水检验孔或专用注浆孔进行注浆堵漏。</w:t>
      </w:r>
    </w:p>
    <w:p w14:paraId="5502CA68">
      <w:pPr>
        <w:pStyle w:val="5"/>
        <w:rPr>
          <w:highlight w:val="none"/>
        </w:rPr>
      </w:pPr>
      <w:r>
        <w:rPr>
          <w:b/>
          <w:highlight w:val="none"/>
        </w:rPr>
        <w:t xml:space="preserve">7.6.3 </w:t>
      </w:r>
      <w:r>
        <w:rPr>
          <w:highlight w:val="none"/>
        </w:rPr>
        <w:t xml:space="preserve"> 综合管廊迎土（水）面混凝土保护层厚度参照国家标准《地下工程防水技术规范》GB 50108和行业标准《电力电缆隧道设计规范》DL/T 5484的规定确定。</w:t>
      </w:r>
    </w:p>
    <w:p w14:paraId="7B48AC3C">
      <w:pPr>
        <w:pStyle w:val="5"/>
        <w:rPr>
          <w:highlight w:val="none"/>
        </w:rPr>
      </w:pPr>
      <w:bookmarkStart w:id="184" w:name="_Toc37689859"/>
      <w:bookmarkStart w:id="185" w:name="_Toc12980688"/>
      <w:r>
        <w:rPr>
          <w:b/>
          <w:highlight w:val="none"/>
        </w:rPr>
        <w:t xml:space="preserve">7.6.7 </w:t>
      </w:r>
      <w:r>
        <w:rPr>
          <w:highlight w:val="none"/>
        </w:rPr>
        <w:t xml:space="preserve"> 综合管廊附属设施如管线支架、管线吊装滑轨等，根据国内综合管廊的实践经验，附属设施与主体结构通常采用焊接和螺栓连接两种型式，采用焊接对预埋件及附属设施的防腐层破坏较严重，防腐层修复工作量较大，且存在死角，影响附属设施的耐久性。采用装配整体式对附属设施的防腐层影响小，且便于后期维护更换。另外，装配式支架可根据需求灵活调整上下层间距，便于管线安装。</w:t>
      </w:r>
    </w:p>
    <w:p w14:paraId="66A89731">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7.7</w:t>
      </w:r>
      <w:r>
        <w:rPr>
          <w:color w:val="000000" w:themeColor="text1"/>
          <w:highlight w:val="none"/>
          <w14:textFill>
            <w14:solidFill>
              <w14:schemeClr w14:val="tx1"/>
            </w14:solidFill>
          </w14:textFill>
        </w:rPr>
        <w:t xml:space="preserve">  地 基 处 理</w:t>
      </w:r>
      <w:bookmarkEnd w:id="184"/>
      <w:bookmarkEnd w:id="185"/>
    </w:p>
    <w:p w14:paraId="7AF990EF">
      <w:pPr>
        <w:pStyle w:val="5"/>
        <w:rPr>
          <w:highlight w:val="none"/>
        </w:rPr>
      </w:pPr>
      <w:r>
        <w:rPr>
          <w:b/>
          <w:highlight w:val="none"/>
        </w:rPr>
        <w:t>7.7.1</w:t>
      </w:r>
      <w:r>
        <w:rPr>
          <w:highlight w:val="none"/>
        </w:rPr>
        <w:t xml:space="preserve">  综合管廊为全埋式地下工程，地基处理的方法选择有时要结合施工方法、基坑支护、城市道路通行条件等多方面考虑其经济性和合理性。例如吕梁市兴安大道地下综合管廊工程，处理地基的湿陷性黄土时进行了方案的综合比较：换填垫层法和挤密法两种方法处理地基均可行，结合基坑支护的方法进行经济分析后得知，挤密法（相对于换填垫层法而言）能够减小基坑开挖深度从而节省基坑支护费用，并最终节省工程总造价。</w:t>
      </w:r>
    </w:p>
    <w:p w14:paraId="2B5BE9E5">
      <w:pPr>
        <w:pStyle w:val="5"/>
        <w:bidi w:val="0"/>
        <w:ind w:firstLine="422" w:firstLineChars="200"/>
        <w:rPr>
          <w:rFonts w:hint="eastAsia"/>
          <w:highlight w:val="none"/>
        </w:rPr>
      </w:pPr>
      <w:r>
        <w:rPr>
          <w:rFonts w:hint="eastAsia"/>
          <w:highlight w:val="none"/>
        </w:rPr>
        <w:t>优先选用天然地基</w:t>
      </w:r>
      <w:r>
        <w:rPr>
          <w:rFonts w:hint="eastAsia"/>
          <w:highlight w:val="none"/>
          <w:lang w:val="en-US" w:eastAsia="zh-CN"/>
        </w:rPr>
        <w:t>作</w:t>
      </w:r>
      <w:r>
        <w:rPr>
          <w:rFonts w:hint="eastAsia"/>
          <w:highlight w:val="none"/>
        </w:rPr>
        <w:t>为管廊结构的持力层。当天然地基不满足承载力、沉降等要求或场地具有湿陷、液化、淤泥等不利条件时，可采用挤密、换填、振冲、预压、强夯、刚性桩体置换等地基处理方法，必要时也可采用桩基础。</w:t>
      </w:r>
    </w:p>
    <w:p w14:paraId="510C3B3A">
      <w:pPr>
        <w:pStyle w:val="5"/>
        <w:rPr>
          <w:highlight w:val="none"/>
        </w:rPr>
      </w:pPr>
      <w:r>
        <w:rPr>
          <w:b/>
          <w:highlight w:val="none"/>
        </w:rPr>
        <w:t>7.7.3</w:t>
      </w:r>
      <w:r>
        <w:rPr>
          <w:highlight w:val="none"/>
        </w:rPr>
        <w:t xml:space="preserve">  综合管廊工程为补偿性基础，地基的沉降差成为了主要控制因素，控制总的沉降量的绝对值，实际上在一定程度上控制了地基的倾斜和沉降差。</w:t>
      </w:r>
    </w:p>
    <w:p w14:paraId="5B0B57BA">
      <w:pPr>
        <w:pStyle w:val="5"/>
        <w:bidi w:val="0"/>
        <w:ind w:firstLine="422" w:firstLineChars="200"/>
        <w:rPr>
          <w:rFonts w:hint="eastAsia"/>
          <w:highlight w:val="none"/>
        </w:rPr>
      </w:pPr>
      <w:r>
        <w:rPr>
          <w:rFonts w:hint="eastAsia"/>
          <w:highlight w:val="none"/>
        </w:rPr>
        <w:t>管廊为补偿基础，不均匀地基条件下沉降差为主要控制项。b为沉降观测点或计算点的水平距离。需要注意的是，相对于排水坡度来说沉降差限值较大，在地质条件剧烈变化段，排水坡度和沉降控制需要统筹考虑。</w:t>
      </w:r>
    </w:p>
    <w:p w14:paraId="4129F757">
      <w:pPr>
        <w:pStyle w:val="5"/>
        <w:rPr>
          <w:highlight w:val="none"/>
        </w:rPr>
      </w:pPr>
      <w:r>
        <w:rPr>
          <w:b/>
          <w:highlight w:val="none"/>
        </w:rPr>
        <w:t xml:space="preserve">7.7.4 </w:t>
      </w:r>
      <w:r>
        <w:rPr>
          <w:highlight w:val="none"/>
        </w:rPr>
        <w:t xml:space="preserve"> 湿陷性黄土的地基处理，依据为《湿陷性黄土地区建筑规范》GB 50025。根据综合管廊的工程特点，以参照水池类构筑物的方法进行地基处理，同时考虑到综合管廊工程的安全等级和使用年限要求，偏于严格地执行《湿陷性黄土地区建筑规范》GB 50025的内容，并参照建筑物对湿陷起始压力和剩余湿陷量进行要求。</w:t>
      </w:r>
    </w:p>
    <w:p w14:paraId="491BEA8B">
      <w:pPr>
        <w:pStyle w:val="5"/>
        <w:rPr>
          <w:highlight w:val="none"/>
        </w:rPr>
      </w:pPr>
      <w:r>
        <w:rPr>
          <w:b/>
          <w:highlight w:val="none"/>
        </w:rPr>
        <w:t>7.7.5</w:t>
      </w:r>
      <w:r>
        <w:rPr>
          <w:highlight w:val="none"/>
        </w:rPr>
        <w:t xml:space="preserve">  综合管廊工程的建筑抗震设防分类标准为乙类，参照《构筑物抗震设计规范》GB 50191进行抗液化的处理。</w:t>
      </w:r>
    </w:p>
    <w:p w14:paraId="7EA6A5E5">
      <w:pPr>
        <w:pStyle w:val="5"/>
        <w:rPr>
          <w:highlight w:val="none"/>
        </w:rPr>
      </w:pPr>
      <w:bookmarkStart w:id="186" w:name="_Toc37689860"/>
      <w:bookmarkStart w:id="187" w:name="_Toc12980689"/>
      <w:r>
        <w:rPr>
          <w:b/>
          <w:highlight w:val="none"/>
        </w:rPr>
        <w:t>7.7.7</w:t>
      </w:r>
      <w:r>
        <w:rPr>
          <w:highlight w:val="none"/>
        </w:rPr>
        <w:t xml:space="preserve">  与建筑工程不同，综合管廊工程没有单位工程的概念，施工质量检验的数量不能根据单位工程确定。实际中应根据综合管廊的长度、宽度、高度以及地质条件等因素确定，本标准考虑了地质条件因素，以综合管廊的长度为单一指标给定了综合管廊工程单位工程的参考值。</w:t>
      </w:r>
    </w:p>
    <w:p w14:paraId="1C690DD8">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7.8</w:t>
      </w:r>
      <w:r>
        <w:rPr>
          <w:color w:val="000000" w:themeColor="text1"/>
          <w:highlight w:val="none"/>
          <w14:textFill>
            <w14:solidFill>
              <w14:schemeClr w14:val="tx1"/>
            </w14:solidFill>
          </w14:textFill>
        </w:rPr>
        <w:t xml:space="preserve">  基 坑 设 计</w:t>
      </w:r>
      <w:bookmarkEnd w:id="186"/>
      <w:bookmarkEnd w:id="187"/>
    </w:p>
    <w:p w14:paraId="1D730976">
      <w:pPr>
        <w:pStyle w:val="5"/>
        <w:rPr>
          <w:highlight w:val="none"/>
        </w:rPr>
      </w:pPr>
      <w:r>
        <w:rPr>
          <w:b/>
          <w:highlight w:val="none"/>
        </w:rPr>
        <w:t xml:space="preserve">7.8.1 </w:t>
      </w:r>
      <w:r>
        <w:rPr>
          <w:highlight w:val="none"/>
        </w:rPr>
        <w:t xml:space="preserve"> 支护结构的</w:t>
      </w:r>
      <w:r>
        <w:rPr>
          <w:rFonts w:hint="eastAsia"/>
          <w:highlight w:val="none"/>
          <w:u w:val="none"/>
        </w:rPr>
        <w:t>工作年限</w:t>
      </w:r>
      <w:r>
        <w:rPr>
          <w:highlight w:val="none"/>
        </w:rPr>
        <w:t>不小于一年，除考虑主体地下结构施工工期的因素外，也是考虑到施工季节对支护结构的影响。一年中的不同季节，地下水位、气候、温度等外界环境的变化会使土的性状及支护结构的性能随之改变，而且有时影响较大。受各种因素的影响，设计预期的施工季节并不一定与实际施工的季节相同，即使对支护结构使用期不足一年的工程，也应使支护结构一年四季都能适用。</w:t>
      </w:r>
    </w:p>
    <w:p w14:paraId="15AB839D">
      <w:pPr>
        <w:pStyle w:val="5"/>
        <w:rPr>
          <w:highlight w:val="none"/>
        </w:rPr>
      </w:pPr>
      <w:r>
        <w:rPr>
          <w:b/>
          <w:highlight w:val="none"/>
        </w:rPr>
        <w:t>7.8.2</w:t>
      </w:r>
      <w:r>
        <w:rPr>
          <w:highlight w:val="none"/>
        </w:rPr>
        <w:t xml:space="preserve">  基坑支护工程是为主体结构地下的施工而采取的临时性措施。基坑开挖涉及基坑周边环境安全，支护结构除满足主体结构施工要求外，还需满足基坑周边环境要求。支护结构的设计和施工应把保护基坑周边环境安全放在重要位置。</w:t>
      </w:r>
    </w:p>
    <w:p w14:paraId="7A7EF643">
      <w:pPr>
        <w:pStyle w:val="5"/>
        <w:rPr>
          <w:highlight w:val="none"/>
        </w:rPr>
      </w:pPr>
      <w:r>
        <w:rPr>
          <w:b/>
          <w:highlight w:val="none"/>
        </w:rPr>
        <w:t>7.8.3</w:t>
      </w:r>
      <w:r>
        <w:rPr>
          <w:highlight w:val="none"/>
        </w:rPr>
        <w:t xml:space="preserve">  支护结构破坏、基坑失稳或过大变形对人的生命、经济、社会或环境影响很大，安全等级应定为一级。当支护结构破坏、基坑过大变形不会危及人的生命、经济损失轻微、对社会或环境的影响不大时，安全等级可定为三级。对大多数基坑，安全等级应该定为二级。对内支撑结构，当基坑一侧支撑失稳破坏会殃及基坑另一侧支护结构因受力改变而使支护结构形成连续倒塌时，相互影响的基坑各边支护结构应取相同的安全等级。</w:t>
      </w:r>
    </w:p>
    <w:p w14:paraId="67E6270C">
      <w:pPr>
        <w:pStyle w:val="5"/>
        <w:rPr>
          <w:highlight w:val="none"/>
        </w:rPr>
      </w:pPr>
      <w:r>
        <w:rPr>
          <w:b/>
          <w:highlight w:val="none"/>
        </w:rPr>
        <w:t xml:space="preserve">7.8.6 </w:t>
      </w:r>
      <w:r>
        <w:rPr>
          <w:highlight w:val="none"/>
        </w:rPr>
        <w:t xml:space="preserve"> 本条有两个含义：第一，防止设计的盲目性。基坑支护的首要功能是保护周边环境（建筑物、地下管线、道路等）的安全和正常使用，同时基坑周边建筑物、地下管线、道路又对支护结构产生附加荷载、对支护结构施工造成障碍，管线中地下水的渗漏会降低土的强度。因此，支护结构设计必须要针对情况选择合理的方案。第二，设计中应提出明确的基坑周边荷载限值、地下水和地表水控制等基坑使用要求，以防止在支护结构施工和使用期间的实际状况超过这些设计条件，从而酿成事故。</w:t>
      </w:r>
    </w:p>
    <w:p w14:paraId="7E51127B">
      <w:pPr>
        <w:pStyle w:val="5"/>
        <w:rPr>
          <w:highlight w:val="none"/>
        </w:rPr>
      </w:pPr>
      <w:r>
        <w:rPr>
          <w:b/>
          <w:highlight w:val="none"/>
        </w:rPr>
        <w:t xml:space="preserve">7.8.7 </w:t>
      </w:r>
      <w:r>
        <w:rPr>
          <w:highlight w:val="none"/>
        </w:rPr>
        <w:t xml:space="preserve"> 基坑支护的另一个功能是提供安全的主体地下结构施工环境。支护结构的设计与施工除应保护基坑周边环境安全外，还应满足主体结构施工及使用对基坑的要求。</w:t>
      </w:r>
    </w:p>
    <w:p w14:paraId="3FABA324">
      <w:pPr>
        <w:pStyle w:val="5"/>
        <w:rPr>
          <w:highlight w:val="none"/>
        </w:rPr>
      </w:pPr>
      <w:r>
        <w:rPr>
          <w:b/>
          <w:highlight w:val="none"/>
        </w:rPr>
        <w:t xml:space="preserve">7.8.10 </w:t>
      </w:r>
      <w:r>
        <w:rPr>
          <w:highlight w:val="none"/>
        </w:rPr>
        <w:t xml:space="preserve"> 根据本地工程实施情况，钢板桩、SMW（Soil Mixing Wall）工法桩、灌注桩得到较多应用，实际在设计中可以根据基坑不同部位的周边环境情况、土层性状、基坑深度等分别采用不同的支护形式或组合的形式。</w:t>
      </w:r>
    </w:p>
    <w:p w14:paraId="50F6394E">
      <w:pPr>
        <w:pStyle w:val="2"/>
        <w:jc w:val="both"/>
        <w:rPr>
          <w:color w:val="000000" w:themeColor="text1"/>
          <w:highlight w:val="none"/>
          <w14:textFill>
            <w14:solidFill>
              <w14:schemeClr w14:val="tx1"/>
            </w14:solidFill>
          </w14:textFill>
        </w:rPr>
        <w:sectPr>
          <w:pgSz w:w="7937" w:h="11509"/>
          <w:pgMar w:top="1020" w:right="907" w:bottom="1020" w:left="907" w:header="737" w:footer="737" w:gutter="0"/>
          <w:pgNumType w:fmt="decimal"/>
          <w:cols w:space="0" w:num="1"/>
          <w:docGrid w:type="linesAndChars" w:linePitch="312" w:charSpace="233"/>
        </w:sectPr>
      </w:pPr>
    </w:p>
    <w:p w14:paraId="415CAAC4">
      <w:pPr>
        <w:pStyle w:val="2"/>
        <w:rPr>
          <w:color w:val="000000" w:themeColor="text1"/>
          <w:highlight w:val="none"/>
          <w14:textFill>
            <w14:solidFill>
              <w14:schemeClr w14:val="tx1"/>
            </w14:solidFill>
          </w14:textFill>
        </w:rPr>
      </w:pPr>
      <w:r>
        <w:rPr>
          <w:color w:val="000000" w:themeColor="text1"/>
          <w:highlight w:val="none"/>
          <w:lang w:val="en-US"/>
          <w14:textFill>
            <w14:solidFill>
              <w14:schemeClr w14:val="tx1"/>
            </w14:solidFill>
          </w14:textFill>
        </w:rPr>
        <w:t>8</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附属设施设计</w:t>
      </w:r>
      <w:bookmarkEnd w:id="173"/>
    </w:p>
    <w:p w14:paraId="1B0FF533">
      <w:pPr>
        <w:pStyle w:val="4"/>
        <w:spacing w:before="156" w:after="156"/>
        <w:rPr>
          <w:b/>
          <w:color w:val="000000" w:themeColor="text1"/>
          <w:highlight w:val="none"/>
          <w14:textFill>
            <w14:solidFill>
              <w14:schemeClr w14:val="tx1"/>
            </w14:solidFill>
          </w14:textFill>
        </w:rPr>
      </w:pPr>
      <w:bookmarkStart w:id="188" w:name="_Toc37689835"/>
      <w:r>
        <w:rPr>
          <w:b/>
          <w:bCs w:val="0"/>
          <w:color w:val="000000" w:themeColor="text1"/>
          <w:highlight w:val="none"/>
          <w14:textFill>
            <w14:solidFill>
              <w14:schemeClr w14:val="tx1"/>
            </w14:solidFill>
          </w14:textFill>
        </w:rPr>
        <w:t>8.1</w:t>
      </w:r>
      <w:r>
        <w:rPr>
          <w:color w:val="000000" w:themeColor="text1"/>
          <w:highlight w:val="none"/>
          <w14:textFill>
            <w14:solidFill>
              <w14:schemeClr w14:val="tx1"/>
            </w14:solidFill>
          </w14:textFill>
        </w:rPr>
        <w:t xml:space="preserve">  消 防 系 统</w:t>
      </w:r>
      <w:bookmarkEnd w:id="188"/>
    </w:p>
    <w:p w14:paraId="1236F355">
      <w:pPr>
        <w:pStyle w:val="5"/>
        <w:rPr>
          <w:highlight w:val="none"/>
        </w:rPr>
      </w:pPr>
      <w:r>
        <w:rPr>
          <w:b/>
          <w:bCs/>
          <w:highlight w:val="none"/>
        </w:rPr>
        <w:t>8.1.1</w:t>
      </w:r>
      <w:r>
        <w:rPr>
          <w:highlight w:val="none"/>
        </w:rPr>
        <w:t xml:space="preserve">  </w:t>
      </w:r>
      <w:r>
        <w:rPr>
          <w:rFonts w:hint="eastAsia"/>
          <w:highlight w:val="none"/>
        </w:rPr>
        <w:t>在现行工程建设强制性国家规范《特殊设施工程项目规范》GB55028-2022中未纳入，根据要求删除。规定了综合管廊的火灾危险性分类原则。综合管廊舱室火灾危险性根据综合管廊内敷设的管线类型、材质、附件等，依据现行国家标准《建筑设计防火规范》GB50016有关火灾危险性分类的规定确定。现行工程建设强制性国家规范《建筑防火通用规范》GB55037-2022中，针对综合管廊消防、防火等内容作了相关规定，本次修订增加相关表述，引述相关规定内容</w:t>
      </w:r>
      <w:r>
        <w:rPr>
          <w:highlight w:val="none"/>
        </w:rPr>
        <w:t>。</w:t>
      </w:r>
    </w:p>
    <w:p w14:paraId="49F67081">
      <w:pPr>
        <w:spacing w:line="348" w:lineRule="exact"/>
        <w:rPr>
          <w:rFonts w:hint="eastAsia" w:ascii="Times New Roman" w:hAnsi="Times New Roman" w:eastAsia="方正书宋简体" w:cs="Times New Roman"/>
          <w:b/>
          <w:bCs/>
          <w:highlight w:val="none"/>
          <w:u w:val="none"/>
        </w:rPr>
      </w:pPr>
      <w:r>
        <w:rPr>
          <w:rFonts w:ascii="Times New Roman" w:hAnsi="Times New Roman" w:eastAsia="方正书宋简体" w:cs="Times New Roman"/>
          <w:b/>
          <w:bCs/>
          <w:highlight w:val="none"/>
          <w:u w:val="none"/>
        </w:rPr>
        <w:t xml:space="preserve">8.1.2  </w:t>
      </w:r>
      <w:r>
        <w:rPr>
          <w:rFonts w:ascii="Times New Roman" w:hAnsi="Times New Roman" w:eastAsia="方正书宋简体" w:cs="Times New Roman"/>
          <w:highlight w:val="none"/>
          <w:u w:val="none"/>
        </w:rPr>
        <w:t>根据我国综合管廊工程建设和运营的经验，采取“预防为主、防消结合”的原则，根据不同条件，采用相应的消防措施</w:t>
      </w:r>
      <w:r>
        <w:rPr>
          <w:rFonts w:ascii="Times New Roman" w:hAnsi="Times New Roman" w:eastAsia="方正书宋简体" w:cs="Times New Roman"/>
          <w:b/>
          <w:bCs/>
          <w:highlight w:val="none"/>
          <w:u w:val="none"/>
        </w:rPr>
        <w:t>。</w:t>
      </w:r>
      <w:r>
        <w:rPr>
          <w:rFonts w:hint="eastAsia" w:ascii="Times New Roman" w:hAnsi="Times New Roman" w:eastAsia="方正书宋简体" w:cs="Times New Roman"/>
          <w:highlight w:val="none"/>
          <w:u w:val="none"/>
        </w:rPr>
        <w:t>各种措施的设置方式和要求按8.1.3~8.1.9执行。</w:t>
      </w:r>
    </w:p>
    <w:p w14:paraId="2F815C70">
      <w:pPr>
        <w:pStyle w:val="5"/>
        <w:rPr>
          <w:highlight w:val="none"/>
          <w:u w:val="none"/>
        </w:rPr>
      </w:pPr>
      <w:r>
        <w:rPr>
          <w:b/>
          <w:highlight w:val="none"/>
          <w:u w:val="none"/>
        </w:rPr>
        <w:t xml:space="preserve">8.1.3 </w:t>
      </w:r>
      <w:r>
        <w:rPr>
          <w:highlight w:val="none"/>
          <w:u w:val="none"/>
        </w:rPr>
        <w:t xml:space="preserve">  参照国家标准《建筑设计防火规范》GB 50016的规定：管廊主体结构、防火分隔墙耐火等级均为一级，耐火极限均不低于3.0h。由于综合管廊一般为钢筋混凝土结构或砌体结构，能够满足建筑构件的燃烧性能和耐火极限要求。</w:t>
      </w:r>
    </w:p>
    <w:p w14:paraId="3A679E98">
      <w:pPr>
        <w:pStyle w:val="5"/>
        <w:rPr>
          <w:b/>
          <w:bCs/>
          <w:highlight w:val="none"/>
          <w:u w:val="none"/>
        </w:rPr>
      </w:pPr>
      <w:bookmarkStart w:id="189" w:name="_Toc37689836"/>
      <w:r>
        <w:rPr>
          <w:b/>
          <w:bCs/>
          <w:highlight w:val="none"/>
          <w:u w:val="none"/>
        </w:rPr>
        <w:t xml:space="preserve">8.1.6  </w:t>
      </w:r>
      <w:r>
        <w:rPr>
          <w:highlight w:val="none"/>
          <w:u w:val="none"/>
        </w:rPr>
        <w:t>根据工程实践，按照重点设防的原则，在综合管廊监控中心、变电站与综合管廊采用人行通道直接连通时，提出应设置甲级防火门的要求。</w:t>
      </w:r>
    </w:p>
    <w:p w14:paraId="2AA4FA77">
      <w:pPr>
        <w:spacing w:line="348" w:lineRule="exact"/>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 xml:space="preserve">8.1.7  </w:t>
      </w:r>
      <w:r>
        <w:rPr>
          <w:rFonts w:ascii="Times New Roman" w:hAnsi="Times New Roman" w:eastAsia="方正书宋简体" w:cs="Times New Roman"/>
          <w:highlight w:val="none"/>
          <w:u w:val="none"/>
        </w:rPr>
        <w:t>综合管廊交叉口部位分布有各类管线，为了管线运行安全，有必要将交叉口部位与标准段采用防火隔断进行分隔。按照重点设防的原则，增加了电力电缆穿越孔口的防火要求。</w:t>
      </w:r>
    </w:p>
    <w:p w14:paraId="16297250">
      <w:pPr>
        <w:spacing w:line="348" w:lineRule="exact"/>
        <w:rPr>
          <w:rFonts w:ascii="Times New Roman" w:hAnsi="Times New Roman" w:eastAsia="方正书宋简体" w:cs="Times New Roman"/>
          <w:b/>
          <w:bCs/>
          <w:highlight w:val="none"/>
          <w:u w:val="none"/>
        </w:rPr>
      </w:pPr>
      <w:r>
        <w:rPr>
          <w:rFonts w:ascii="Times New Roman" w:hAnsi="Times New Roman" w:eastAsia="方正书宋简体" w:cs="Times New Roman"/>
          <w:b/>
          <w:bCs/>
          <w:highlight w:val="none"/>
          <w:u w:val="none"/>
        </w:rPr>
        <w:t xml:space="preserve">8.1.8  </w:t>
      </w:r>
      <w:r>
        <w:rPr>
          <w:rFonts w:ascii="Times New Roman" w:hAnsi="Times New Roman" w:eastAsia="方正书宋简体" w:cs="Times New Roman"/>
          <w:highlight w:val="none"/>
          <w:u w:val="none"/>
        </w:rPr>
        <w:t>明确了综合管廊内应在人员出</w:t>
      </w:r>
      <w:r>
        <w:rPr>
          <w:rFonts w:hint="eastAsia" w:ascii="Times New Roman" w:hAnsi="Times New Roman" w:eastAsia="方正书宋简体" w:cs="Times New Roman"/>
          <w:highlight w:val="none"/>
          <w:u w:val="none"/>
          <w:lang w:val="en-US" w:eastAsia="zh-CN"/>
        </w:rPr>
        <w:t>入</w:t>
      </w:r>
      <w:r>
        <w:rPr>
          <w:rFonts w:ascii="Times New Roman" w:hAnsi="Times New Roman" w:eastAsia="方正书宋简体" w:cs="Times New Roman"/>
          <w:highlight w:val="none"/>
          <w:u w:val="none"/>
        </w:rPr>
        <w:t>口、安全出口、电缆夹层等配置2具不小于3kg的手提式干粉灭火器具体要求。</w:t>
      </w:r>
    </w:p>
    <w:p w14:paraId="1DFBE9C3">
      <w:pPr>
        <w:spacing w:line="348" w:lineRule="exact"/>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 xml:space="preserve">8.1.9  </w:t>
      </w:r>
      <w:r>
        <w:rPr>
          <w:rFonts w:ascii="Times New Roman" w:hAnsi="Times New Roman" w:eastAsia="方正书宋简体" w:cs="Times New Roman"/>
          <w:highlight w:val="none"/>
          <w:u w:val="none"/>
        </w:rPr>
        <w:t>根据工程实践，综合管廊全线设置自动灭火系统成本较高，后期运行维护不便，按照重点设防的原则，随着智慧电网的技术进步，电力线缆火灾发生概率极低，本次修订不再规定设置自动灭火系统，在设置火灾自动报警系统的基础上，加强了防火措施，能够保障综合管廊的安全运营。</w:t>
      </w:r>
    </w:p>
    <w:p w14:paraId="104010E6">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8.2</w:t>
      </w:r>
      <w:r>
        <w:rPr>
          <w:color w:val="000000" w:themeColor="text1"/>
          <w:highlight w:val="none"/>
          <w:u w:val="none"/>
          <w14:textFill>
            <w14:solidFill>
              <w14:schemeClr w14:val="tx1"/>
            </w14:solidFill>
          </w14:textFill>
        </w:rPr>
        <w:t xml:space="preserve">  通 风 系 统</w:t>
      </w:r>
      <w:bookmarkEnd w:id="189"/>
    </w:p>
    <w:p w14:paraId="0B14CB94">
      <w:pPr>
        <w:pStyle w:val="5"/>
        <w:rPr>
          <w:highlight w:val="none"/>
          <w:u w:val="none"/>
        </w:rPr>
      </w:pPr>
      <w:r>
        <w:rPr>
          <w:b/>
          <w:highlight w:val="none"/>
          <w:u w:val="none"/>
        </w:rPr>
        <w:t>8.2.1</w:t>
      </w:r>
      <w:r>
        <w:rPr>
          <w:highlight w:val="none"/>
          <w:u w:val="none"/>
        </w:rPr>
        <w:t xml:space="preserve">  综合管廊的通风主要是保证综合管廊内部空气的质量，应以自然通风为主，机械通风为辅。但是天然气管道舱和含有污水管道、气动垃圾输送管道的舱室，由于存在可燃气体泄漏的可能，需及时快速将泄漏气体排出，因此采用强制通风方式。</w:t>
      </w:r>
    </w:p>
    <w:p w14:paraId="6A717A4E">
      <w:pPr>
        <w:pStyle w:val="5"/>
        <w:rPr>
          <w:color w:val="000000" w:themeColor="text1"/>
          <w:highlight w:val="none"/>
          <w:u w:val="none"/>
          <w14:textFill>
            <w14:solidFill>
              <w14:schemeClr w14:val="tx1"/>
            </w14:solidFill>
          </w14:textFill>
        </w:rPr>
      </w:pPr>
      <w:r>
        <w:rPr>
          <w:b/>
          <w:highlight w:val="none"/>
          <w:u w:val="none"/>
        </w:rPr>
        <w:t>8.2.2</w:t>
      </w:r>
      <w:r>
        <w:rPr>
          <w:highlight w:val="none"/>
          <w:u w:val="none"/>
        </w:rPr>
        <w:t xml:space="preserve">  </w:t>
      </w:r>
      <w:r>
        <w:rPr>
          <w:color w:val="000000" w:themeColor="text1"/>
          <w:highlight w:val="none"/>
          <w:u w:val="none"/>
          <w14:textFill>
            <w14:solidFill>
              <w14:schemeClr w14:val="tx1"/>
            </w14:solidFill>
          </w14:textFill>
        </w:rPr>
        <w:t>设置机械通风装置是防止爆炸性气体混合物形成或缩短爆炸性气体混合物滞留时间的有效措施之一。通风设备应在天然气浓度检测报警系统发出报警或</w:t>
      </w:r>
      <w:r>
        <w:rPr>
          <w:rFonts w:hint="eastAsia"/>
          <w:color w:val="000000" w:themeColor="text1"/>
          <w:highlight w:val="none"/>
          <w:u w:val="none"/>
          <w:lang w:val="en-US" w:eastAsia="zh-CN"/>
          <w14:textFill>
            <w14:solidFill>
              <w14:schemeClr w14:val="tx1"/>
            </w14:solidFill>
          </w14:textFill>
        </w:rPr>
        <w:t>启</w:t>
      </w:r>
      <w:r>
        <w:rPr>
          <w:color w:val="000000" w:themeColor="text1"/>
          <w:highlight w:val="none"/>
          <w:u w:val="none"/>
          <w14:textFill>
            <w14:solidFill>
              <w14:schemeClr w14:val="tx1"/>
            </w14:solidFill>
          </w14:textFill>
        </w:rPr>
        <w:t>动指令时及时可靠地联动，排除爆炸性气体混合物，降低其浓度至安全水平。同时注意进风口不要设置在有可燃及腐蚀介质排放处附近或下风口，排风口排出的空气附近应无可燃物质及腐蚀介质，避免引起次生事故。</w:t>
      </w:r>
    </w:p>
    <w:p w14:paraId="4294E3BD">
      <w:pPr>
        <w:pStyle w:val="59"/>
        <w:rPr>
          <w:highlight w:val="none"/>
          <w:u w:val="none"/>
        </w:rPr>
      </w:pPr>
      <w:r>
        <w:rPr>
          <w:rFonts w:hint="eastAsia"/>
          <w:highlight w:val="none"/>
          <w:u w:val="none"/>
        </w:rPr>
        <w:t>根据对综合管廊工程的调研发现，目前综合管廊通风风机装机数量过大，不符合绿色发展理念。天然气管道敷设于综合管廊内，提高了天然气管道、阀门的质量要求，极大地</w:t>
      </w:r>
      <w:r>
        <w:rPr>
          <w:rFonts w:hint="eastAsia"/>
          <w:highlight w:val="none"/>
          <w:u w:val="none"/>
          <w:lang w:val="en-US" w:eastAsia="zh-CN"/>
        </w:rPr>
        <w:t>保证</w:t>
      </w:r>
      <w:r>
        <w:rPr>
          <w:rFonts w:hint="eastAsia"/>
          <w:highlight w:val="none"/>
          <w:u w:val="none"/>
        </w:rPr>
        <w:t>了天然气管道的安全性。同时，天然气管道的调压装置不设置在综合管廊内，发生天然气泄漏的几率非常低。综合考虑，本次修订取消了天然气管道舱通风换气次数的特殊要求。补充了小型综合管廊可采用的通风方式和事故情况下的通风措施。</w:t>
      </w:r>
    </w:p>
    <w:p w14:paraId="3E4EE9F0">
      <w:pPr>
        <w:pStyle w:val="5"/>
        <w:rPr>
          <w:highlight w:val="none"/>
          <w:u w:val="none"/>
        </w:rPr>
      </w:pPr>
      <w:r>
        <w:rPr>
          <w:b/>
          <w:highlight w:val="none"/>
          <w:u w:val="none"/>
        </w:rPr>
        <w:t>8.2.3</w:t>
      </w:r>
      <w:r>
        <w:rPr>
          <w:highlight w:val="none"/>
          <w:u w:val="none"/>
        </w:rPr>
        <w:t xml:space="preserve">  风速3m/s相当于2级风（轻风），人面感觉有风，树叶微动，对人的行走影响较小。</w:t>
      </w:r>
    </w:p>
    <w:p w14:paraId="3C76E27F">
      <w:pPr>
        <w:pStyle w:val="5"/>
        <w:rPr>
          <w:highlight w:val="none"/>
          <w:u w:val="none"/>
        </w:rPr>
      </w:pPr>
      <w:r>
        <w:rPr>
          <w:b/>
          <w:highlight w:val="none"/>
          <w:u w:val="none"/>
        </w:rPr>
        <w:t>8.2.6</w:t>
      </w:r>
      <w:r>
        <w:rPr>
          <w:highlight w:val="none"/>
          <w:u w:val="none"/>
        </w:rPr>
        <w:t xml:space="preserve">  通风系统运行过程中，由于设备的漏风会导致送风口和排风口处的风量达不到设计值的要求，为了弥补系统漏风可能产生的不利影响，选择通风设备时，应根据系统类别、设备布置情况以及系统特点等因素，附加系统漏风量。空气中含有容易起火或爆炸的物质，当风机停机后，此种物质易从风管倒流，将这些物质带到风机内。因此，为防止风机发生火花引起燃烧爆炸事故，应采用防爆型的通风设备（即用有色金属制造的风机叶片和防爆的电动机）。</w:t>
      </w:r>
    </w:p>
    <w:p w14:paraId="0EBABC9C">
      <w:pPr>
        <w:spacing w:line="348" w:lineRule="exact"/>
        <w:rPr>
          <w:rFonts w:ascii="Times New Roman" w:hAnsi="Times New Roman" w:eastAsia="方正书宋简体" w:cs="Times New Roman"/>
          <w:b/>
          <w:bCs/>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8.2.8  </w:t>
      </w:r>
      <w:r>
        <w:rPr>
          <w:rFonts w:ascii="Times New Roman" w:hAnsi="Times New Roman" w:eastAsia="方正书宋简体" w:cs="Times New Roman"/>
          <w:color w:val="000000" w:themeColor="text1"/>
          <w:highlight w:val="none"/>
          <w:u w:val="none"/>
          <w14:textFill>
            <w14:solidFill>
              <w14:schemeClr w14:val="tx1"/>
            </w14:solidFill>
          </w14:textFill>
        </w:rPr>
        <w:t>综合管廊已取消设置防火分区，因此，当综合管廊舱室内发生火灾时，要求所有的通风设备能够自动关闭。</w:t>
      </w:r>
    </w:p>
    <w:p w14:paraId="3D98106C">
      <w:pPr>
        <w:spacing w:line="348" w:lineRule="exact"/>
        <w:rPr>
          <w:rFonts w:ascii="Times New Roman" w:hAnsi="Times New Roman" w:eastAsia="方正书宋简体" w:cs="Times New Roman"/>
          <w:highlight w:val="none"/>
          <w:u w:val="none"/>
        </w:rPr>
      </w:pPr>
      <w:bookmarkStart w:id="190" w:name="_Toc37689837"/>
      <w:r>
        <w:rPr>
          <w:rFonts w:ascii="Times New Roman" w:hAnsi="Times New Roman" w:eastAsia="方正书宋简体" w:cs="Times New Roman"/>
          <w:b/>
          <w:bCs/>
          <w:highlight w:val="none"/>
          <w:u w:val="none"/>
        </w:rPr>
        <w:t>8.2.9</w:t>
      </w:r>
      <w:r>
        <w:rPr>
          <w:rFonts w:ascii="Times New Roman" w:hAnsi="Times New Roman" w:eastAsia="方正书宋简体" w:cs="Times New Roman"/>
          <w:highlight w:val="none"/>
          <w:u w:val="none"/>
        </w:rPr>
        <w:t xml:space="preserve">  事故通风的手动控制装置应装在舱室内、外便于操作的地点，以便一旦发生紧急事故，使其立即投入运行。</w:t>
      </w:r>
    </w:p>
    <w:p w14:paraId="72F323B4">
      <w:pPr>
        <w:spacing w:line="348" w:lineRule="exact"/>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8.2.10</w:t>
      </w:r>
      <w:r>
        <w:rPr>
          <w:rFonts w:ascii="Times New Roman" w:hAnsi="Times New Roman" w:eastAsia="方正书宋简体" w:cs="Times New Roman"/>
          <w:highlight w:val="none"/>
          <w:u w:val="none"/>
        </w:rPr>
        <w:t xml:space="preserve">  综合管廊通风设施是保证廊内管线正常运行、人员巡检安全、事故后排风的设施。通风区间长度与风机效率、节能降噪、维护费用均有一定关联，合理选择通风区间的长度，可降低综合管廊造价及运行成本。</w:t>
      </w:r>
    </w:p>
    <w:p w14:paraId="74ADAECB">
      <w:pPr>
        <w:spacing w:line="348" w:lineRule="exact"/>
        <w:ind w:firstLine="420"/>
        <w:rPr>
          <w:rFonts w:ascii="Times New Roman" w:hAnsi="Times New Roman" w:eastAsia="方正书宋简体" w:cs="Times New Roman"/>
          <w:highlight w:val="none"/>
          <w:u w:val="none"/>
        </w:rPr>
      </w:pPr>
      <w:r>
        <w:rPr>
          <w:rFonts w:hint="eastAsia" w:ascii="Times New Roman" w:hAnsi="Times New Roman" w:eastAsia="方正书宋简体" w:cs="Times New Roman"/>
          <w:highlight w:val="none"/>
          <w:u w:val="none"/>
        </w:rPr>
        <w:t>综合管廊国标未明确综合管廊适宜的通风区间长度。根据北京市科委《综合管廊安全技术研究及北京城市副中心示范》课题研究成果，明挖法施工情况下通风区间长度控制在</w:t>
      </w:r>
      <w:r>
        <w:rPr>
          <w:rFonts w:ascii="Times New Roman" w:hAnsi="Times New Roman" w:eastAsia="方正书宋简体" w:cs="Times New Roman"/>
          <w:highlight w:val="none"/>
          <w:u w:val="none"/>
        </w:rPr>
        <w:t>400~ 600m时可基本满足风机效率、节能降噪等要求，技术经济较合理。如果综合管廊分支口较多，宜采用 400m。暗挖及盾构法施工，建设通风口施工难度及工程投资较高，因此其通风区间可比明挖法放大，但也不宜超过 1200m。</w:t>
      </w:r>
    </w:p>
    <w:p w14:paraId="46179A75">
      <w:pPr>
        <w:spacing w:line="348" w:lineRule="exact"/>
        <w:ind w:firstLine="420"/>
        <w:rPr>
          <w:rFonts w:ascii="Times New Roman" w:hAnsi="Times New Roman" w:eastAsia="方正书宋简体" w:cs="Times New Roman"/>
          <w:highlight w:val="none"/>
          <w:u w:val="none"/>
        </w:rPr>
      </w:pPr>
      <w:r>
        <w:rPr>
          <w:rFonts w:hint="eastAsia" w:ascii="Times New Roman" w:hAnsi="Times New Roman" w:eastAsia="方正书宋简体" w:cs="Times New Roman"/>
          <w:highlight w:val="none"/>
          <w:u w:val="none"/>
        </w:rPr>
        <w:t>应用案例</w:t>
      </w:r>
      <w:r>
        <w:rPr>
          <w:rFonts w:ascii="Times New Roman" w:hAnsi="Times New Roman" w:eastAsia="方正书宋简体" w:cs="Times New Roman"/>
          <w:highlight w:val="none"/>
          <w:u w:val="none"/>
        </w:rPr>
        <w:t>：沈阳市地下综合管廊（南运河段）工程，采用盾构施工工法，利用盾构节点井，将紧急逃生通道出入口（可兼做人员出入口）、通风口、吊装口进行整合，在井内统一实现，通风区间600~800m。</w:t>
      </w:r>
    </w:p>
    <w:p w14:paraId="128D45F6">
      <w:pPr>
        <w:spacing w:line="348" w:lineRule="exact"/>
        <w:ind w:firstLine="420"/>
        <w:rPr>
          <w:rFonts w:ascii="Times New Roman" w:hAnsi="Times New Roman" w:eastAsia="方正书宋简体" w:cs="Times New Roman"/>
          <w:highlight w:val="none"/>
          <w:u w:val="none"/>
        </w:rPr>
      </w:pPr>
      <w:r>
        <w:rPr>
          <w:rFonts w:hint="eastAsia" w:ascii="Times New Roman" w:hAnsi="Times New Roman" w:eastAsia="方正书宋简体" w:cs="Times New Roman"/>
          <w:highlight w:val="none"/>
          <w:u w:val="none"/>
        </w:rPr>
        <w:t>北京轨道交通</w:t>
      </w:r>
      <w:r>
        <w:rPr>
          <w:rFonts w:ascii="Times New Roman" w:hAnsi="Times New Roman" w:eastAsia="方正书宋简体" w:cs="Times New Roman"/>
          <w:highlight w:val="none"/>
          <w:u w:val="none"/>
        </w:rPr>
        <w:t>3号线综合管廊，综合管廊与地铁同路由建设，采用明挖工法和暗挖工法施工，明挖段综合管廊通风区间设置为400~600m，暗挖段通风区间 600~1200m。</w:t>
      </w:r>
    </w:p>
    <w:p w14:paraId="0810DB58">
      <w:pPr>
        <w:spacing w:line="348" w:lineRule="exact"/>
        <w:ind w:firstLine="420"/>
        <w:rPr>
          <w:rFonts w:ascii="Times New Roman" w:hAnsi="Times New Roman" w:eastAsia="方正书宋简体" w:cs="Times New Roman"/>
          <w:highlight w:val="none"/>
          <w:u w:val="none"/>
        </w:rPr>
      </w:pPr>
      <w:r>
        <w:rPr>
          <w:rFonts w:hint="eastAsia" w:ascii="Times New Roman" w:hAnsi="Times New Roman" w:eastAsia="方正书宋简体" w:cs="Times New Roman"/>
          <w:highlight w:val="none"/>
          <w:u w:val="none"/>
        </w:rPr>
        <w:t>北京轨道交通</w:t>
      </w:r>
      <w:r>
        <w:rPr>
          <w:rFonts w:ascii="Times New Roman" w:hAnsi="Times New Roman" w:eastAsia="方正书宋简体" w:cs="Times New Roman"/>
          <w:highlight w:val="none"/>
          <w:u w:val="none"/>
        </w:rPr>
        <w:t>8号线王府井综合管廊，为矿山法施工，通风区间400~700m。</w:t>
      </w:r>
    </w:p>
    <w:p w14:paraId="437796AD">
      <w:pPr>
        <w:pStyle w:val="4"/>
        <w:spacing w:before="156" w:after="156"/>
        <w:rPr>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8.3</w:t>
      </w:r>
      <w:r>
        <w:rPr>
          <w:color w:val="000000" w:themeColor="text1"/>
          <w:highlight w:val="none"/>
          <w:u w:val="none"/>
          <w14:textFill>
            <w14:solidFill>
              <w14:schemeClr w14:val="tx1"/>
            </w14:solidFill>
          </w14:textFill>
        </w:rPr>
        <w:t xml:space="preserve">  供 电 系 统</w:t>
      </w:r>
      <w:bookmarkEnd w:id="190"/>
    </w:p>
    <w:p w14:paraId="4D30A195">
      <w:pPr>
        <w:pStyle w:val="5"/>
        <w:rPr>
          <w:highlight w:val="none"/>
          <w:u w:val="none"/>
        </w:rPr>
      </w:pPr>
      <w:r>
        <w:rPr>
          <w:b/>
          <w:highlight w:val="none"/>
          <w:u w:val="none"/>
        </w:rPr>
        <w:t xml:space="preserve">8.3.1 </w:t>
      </w:r>
      <w:r>
        <w:rPr>
          <w:highlight w:val="none"/>
          <w:u w:val="none"/>
        </w:rPr>
        <w:t xml:space="preserve"> （1）综合管廊系统一般呈现网络化布置，涉及的区域比较广。其附属用电设备具有负荷容量相对较小而数量众多、在综合管廊沿线呈带状分散布置的特点。按不同电压等级电源所适用的合理供电容量和供电距离，综合管廊宜采用集中一处由城市公网提供中压电源，如10kV电源供电的方案，条件允许时也可采用由沿线城市公网分别直接引入多路0.4kV电源进行供电的方案。综合管廊内再划分若干供电分区，由内部自建的10kV配变电所供配电。不同电源方案的选取与当地供电部门的公网供电营销原则和综合管廊产权单位性质有关，方案的不同直接影响到建设投资和运行成本，故需做</w:t>
      </w:r>
      <w:r>
        <w:rPr>
          <w:spacing w:val="6"/>
          <w:highlight w:val="none"/>
          <w:u w:val="none"/>
        </w:rPr>
        <w:t>充分调研工作，根据具体条件经综合比较后确定经济合理的供电方</w:t>
      </w:r>
      <w:r>
        <w:rPr>
          <w:highlight w:val="none"/>
          <w:u w:val="none"/>
        </w:rPr>
        <w:t>案。</w:t>
      </w:r>
    </w:p>
    <w:p w14:paraId="63BA42D6">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2 </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综合管廊变配电室的设计应符合现行国家标准</w:t>
      </w:r>
      <w:bookmarkStart w:id="191" w:name="_Hlk18345837"/>
      <w:r>
        <w:rPr>
          <w:rFonts w:ascii="Times New Roman" w:hAnsi="Times New Roman" w:eastAsia="方正书宋简体" w:cs="Times New Roman"/>
          <w:color w:val="000000" w:themeColor="text1"/>
          <w:highlight w:val="none"/>
          <w:u w:val="none"/>
          <w14:textFill>
            <w14:solidFill>
              <w14:schemeClr w14:val="tx1"/>
            </w14:solidFill>
          </w14:textFill>
        </w:rPr>
        <w:t>《20kV及以下变电所设计规范》GB 50053</w:t>
      </w:r>
      <w:bookmarkEnd w:id="191"/>
      <w:r>
        <w:rPr>
          <w:rFonts w:ascii="Times New Roman" w:hAnsi="Times New Roman" w:eastAsia="方正书宋简体" w:cs="Times New Roman"/>
          <w:color w:val="000000" w:themeColor="text1"/>
          <w:highlight w:val="none"/>
          <w:u w:val="none"/>
          <w14:textFill>
            <w14:solidFill>
              <w14:schemeClr w14:val="tx1"/>
            </w14:solidFill>
          </w14:textFill>
        </w:rPr>
        <w:t>中的有关规定。配电变压器的长期工作负荷率宜控制在75%左右。</w:t>
      </w:r>
    </w:p>
    <w:p w14:paraId="7BA2EFC5">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 xml:space="preserve">3 </w:t>
      </w:r>
      <w:r>
        <w:rPr>
          <w:rFonts w:ascii="Times New Roman" w:hAnsi="Times New Roman" w:eastAsia="方正书宋简体" w:cs="Times New Roman"/>
          <w:color w:val="000000" w:themeColor="text1"/>
          <w:highlight w:val="none"/>
          <w:u w:val="none"/>
          <w14:textFill>
            <w14:solidFill>
              <w14:schemeClr w14:val="tx1"/>
            </w14:solidFill>
          </w14:textFill>
        </w:rPr>
        <w:t xml:space="preserve"> 综合管廊内风机设备定为二级负荷，主要考虑检修人员人身安全而规定。天然气泄漏将会给综合管廊带来严重的安全隐患，所以综合管廊中含天然气管道舱室的监控与报警系统应能持续地进行环境监测、数据处理与控制工作。当监测到泄漏浓度超限时，事故风机应能可靠启动、天然气管道紧急切断阀应能可靠关闭。依据现行国家标准《供配电系统设计规范》GB 50052有关负荷分组规定，将含天然气管道舱室的监控与报警设备、管道紧急切断阀、事故风机定为一级负荷。</w:t>
      </w:r>
    </w:p>
    <w:p w14:paraId="34D54537">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4</w:t>
      </w:r>
      <w:r>
        <w:rPr>
          <w:rFonts w:ascii="Times New Roman" w:hAnsi="Times New Roman" w:eastAsia="方正书宋简体" w:cs="Times New Roman"/>
          <w:color w:val="000000" w:themeColor="text1"/>
          <w:highlight w:val="none"/>
          <w:u w:val="none"/>
          <w14:textFill>
            <w14:solidFill>
              <w14:schemeClr w14:val="tx1"/>
            </w14:solidFill>
          </w14:textFill>
        </w:rPr>
        <w:t xml:space="preserve">  配电半径不宜超过500m，配电半径过长时，为满足线路末端电压损失不超过规定而无限放大电缆截面的方法是不可取的。</w:t>
      </w:r>
    </w:p>
    <w:p w14:paraId="53D7998E">
      <w:pPr>
        <w:pStyle w:val="5"/>
        <w:rPr>
          <w:highlight w:val="none"/>
          <w:u w:val="none"/>
        </w:rPr>
      </w:pPr>
      <w:r>
        <w:rPr>
          <w:b/>
          <w:highlight w:val="none"/>
          <w:u w:val="none"/>
        </w:rPr>
        <w:t xml:space="preserve">8.3.2 </w:t>
      </w:r>
      <w:r>
        <w:rPr>
          <w:highlight w:val="none"/>
          <w:u w:val="none"/>
        </w:rPr>
        <w:t>（1）  由于综合管廊空间相对狭小，附属设备的配电采用PE与N分隔的系统，有利减少对人员的间接电击危害，减少对电子设备的干扰，便于进行总等电位的联结。</w:t>
      </w:r>
    </w:p>
    <w:p w14:paraId="7A177AD3">
      <w:pPr>
        <w:pStyle w:val="42"/>
        <w:overflowPunct w:val="0"/>
        <w:spacing w:line="348" w:lineRule="exact"/>
        <w:ind w:firstLine="316" w:firstLineChars="150"/>
        <w:rPr>
          <w:rFonts w:ascii="Times New Roman" w:hAnsi="Times New Roman" w:eastAsia="方正书宋简体" w:cs="Times New Roman"/>
          <w:color w:val="000000" w:themeColor="text1"/>
          <w:highlight w:val="none"/>
          <w:u w:val="none"/>
          <w14:textFill>
            <w14:solidFill>
              <w14:schemeClr w14:val="tx1"/>
            </w14:solidFill>
          </w14:textFill>
        </w:rPr>
      </w:pPr>
      <w:r>
        <w:rPr>
          <w:rFonts w:ascii="Times New Roman" w:hAnsi="Times New Roman" w:eastAsia="方正书宋简体" w:cs="Times New Roman"/>
          <w:b/>
          <w:bCs/>
          <w:color w:val="000000" w:themeColor="text1"/>
          <w:highlight w:val="none"/>
          <w:u w:val="none"/>
          <w14:textFill>
            <w14:solidFill>
              <w14:schemeClr w14:val="tx1"/>
            </w14:solidFill>
          </w14:textFill>
        </w:rPr>
        <w:t>2</w:t>
      </w:r>
      <w:r>
        <w:rPr>
          <w:rFonts w:ascii="Times New Roman" w:hAnsi="Times New Roman" w:eastAsia="方正书宋简体" w:cs="Times New Roman"/>
          <w:color w:val="000000" w:themeColor="text1"/>
          <w:highlight w:val="none"/>
          <w:u w:val="none"/>
          <w14:textFill>
            <w14:solidFill>
              <w14:schemeClr w14:val="tx1"/>
            </w14:solidFill>
          </w14:textFill>
        </w:rPr>
        <w:t xml:space="preserve">  由于管廊附属用电设备具有负荷相对分散、在综合管廊沿</w:t>
      </w:r>
      <w:r>
        <w:rPr>
          <w:rFonts w:ascii="Times New Roman" w:hAnsi="Times New Roman" w:eastAsia="方正书宋简体" w:cs="Times New Roman"/>
          <w:color w:val="000000" w:themeColor="text1"/>
          <w:spacing w:val="6"/>
          <w:highlight w:val="none"/>
          <w:u w:val="none"/>
          <w14:textFill>
            <w14:solidFill>
              <w14:schemeClr w14:val="tx1"/>
            </w14:solidFill>
          </w14:textFill>
        </w:rPr>
        <w:t>线呈带状分散布置的特点，且负荷性质重要，因此宜采用放射式配</w:t>
      </w:r>
      <w:r>
        <w:rPr>
          <w:rFonts w:ascii="Times New Roman" w:hAnsi="Times New Roman" w:eastAsia="方正书宋简体" w:cs="Times New Roman"/>
          <w:color w:val="000000" w:themeColor="text1"/>
          <w:highlight w:val="none"/>
          <w:u w:val="none"/>
          <w14:textFill>
            <w14:solidFill>
              <w14:schemeClr w14:val="tx1"/>
            </w14:solidFill>
          </w14:textFill>
        </w:rPr>
        <w:t>电。</w:t>
      </w:r>
    </w:p>
    <w:p w14:paraId="29251FC4">
      <w:pPr>
        <w:pStyle w:val="42"/>
        <w:overflowPunct w:val="0"/>
        <w:spacing w:line="348" w:lineRule="exact"/>
        <w:ind w:firstLine="316" w:firstLineChars="150"/>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3</w:t>
      </w:r>
      <w:r>
        <w:rPr>
          <w:rFonts w:hint="eastAsia" w:ascii="Times New Roman" w:hAnsi="Times New Roman" w:eastAsia="方正书宋简体" w:cs="Times New Roman"/>
          <w:b/>
          <w:bCs/>
          <w:highlight w:val="none"/>
          <w:u w:val="none"/>
          <w:lang w:val="en-US" w:eastAsia="zh-CN"/>
        </w:rPr>
        <w:t xml:space="preserve"> </w:t>
      </w:r>
      <w:r>
        <w:rPr>
          <w:rFonts w:ascii="Times New Roman" w:hAnsi="Times New Roman" w:eastAsia="方正书宋简体" w:cs="Times New Roman"/>
          <w:b/>
          <w:bCs/>
          <w:highlight w:val="none"/>
          <w:u w:val="none"/>
        </w:rPr>
        <w:t xml:space="preserve"> </w:t>
      </w:r>
      <w:r>
        <w:rPr>
          <w:rFonts w:hint="eastAsia" w:ascii="Times New Roman" w:hAnsi="Times New Roman" w:eastAsia="方正书宋简体" w:cs="Times New Roman"/>
          <w:highlight w:val="none"/>
          <w:u w:val="none"/>
        </w:rPr>
        <w:t>综合管廊不再通过防火分隔划分防火分区，供电设计时可自行划分合适的供电单元，以便于供电管理和消防联动控制，和后续管线敷设、运维过程中的通风、照明需求。</w:t>
      </w:r>
    </w:p>
    <w:p w14:paraId="50FBD77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受电设备端电压的电压偏差直接影响到设备功能的正常发挥和使用寿命，本条款选用通用设备技术数据。以长距离带状为特点的综合管廊供电系统中，应校验线路末端的电压损失不超过规定要求。</w:t>
      </w:r>
    </w:p>
    <w:p w14:paraId="6884FB4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5 </w:t>
      </w:r>
      <w:r>
        <w:rPr>
          <w:rFonts w:ascii="Times New Roman" w:hAnsi="Times New Roman" w:eastAsia="方正书宋简体" w:cs="Times New Roman"/>
          <w:color w:val="000000" w:themeColor="text1"/>
          <w:highlight w:val="none"/>
          <w14:textFill>
            <w14:solidFill>
              <w14:schemeClr w14:val="tx1"/>
            </w14:solidFill>
          </w14:textFill>
        </w:rPr>
        <w:t xml:space="preserve"> 应采取无功功率补偿措施，使电源总进线处功率因数满足当地供电部门要求。</w:t>
      </w:r>
    </w:p>
    <w:p w14:paraId="2E210B38">
      <w:pPr>
        <w:pStyle w:val="5"/>
        <w:rPr>
          <w:highlight w:val="none"/>
        </w:rPr>
      </w:pPr>
      <w:r>
        <w:rPr>
          <w:b/>
          <w:highlight w:val="none"/>
        </w:rPr>
        <w:t>8.3.3</w:t>
      </w:r>
      <w:r>
        <w:rPr>
          <w:highlight w:val="none"/>
        </w:rPr>
        <w:t xml:space="preserve"> （2）  综合管廊敷设有大量管线、电缆，空间一般紧凑狭小，附属设备及其配电屏、控制箱的安装布置应满足设备进行维护、操作对空间的要求，并尽可能不妨碍综合管廊内各管线、电缆的敷设。综合管廊内含有水管时，存在爆管水淹的事故可能，电气设备的安装应考虑这一因素，在处理事故时应不受浸水影响。</w:t>
      </w:r>
    </w:p>
    <w:p w14:paraId="6357DCC6">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综合管廊进出口处即各区间吊装口或逃生口设备平台，各区间电源总配电箱安装于此处便于工作人员维护和操作。</w:t>
      </w:r>
    </w:p>
    <w:p w14:paraId="3CBD8E51">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 xml:space="preserve">4 </w:t>
      </w:r>
      <w:r>
        <w:rPr>
          <w:rFonts w:ascii="Times New Roman" w:hAnsi="Times New Roman" w:eastAsia="方正书宋简体" w:cs="Times New Roman"/>
          <w:color w:val="000000" w:themeColor="text1"/>
          <w:highlight w:val="none"/>
          <w14:textFill>
            <w14:solidFill>
              <w14:schemeClr w14:val="tx1"/>
            </w14:solidFill>
          </w14:textFill>
        </w:rPr>
        <w:t xml:space="preserve"> 敷设在综合管廊中的天然气管道法兰、阀门等属于现行国家标准《爆炸危险环境电力装置设计规范》GB 50058规定的二级释放源，在通风条件符合规范规定的情况下该区域可划为爆炸性气体环境2区，在该区域安装的电气设备应符合现行国家标准《爆炸危险环境电力装置设计规范》GB 50058的有关规定。</w:t>
      </w:r>
    </w:p>
    <w:p w14:paraId="6AA88A66">
      <w:pPr>
        <w:pStyle w:val="5"/>
        <w:rPr>
          <w:highlight w:val="none"/>
        </w:rPr>
      </w:pPr>
      <w:r>
        <w:rPr>
          <w:b/>
          <w:highlight w:val="none"/>
        </w:rPr>
        <w:t>8.3.4</w:t>
      </w:r>
      <w:r>
        <w:rPr>
          <w:highlight w:val="none"/>
        </w:rPr>
        <w:t xml:space="preserve">  （1）  同本标准第7.3.3条第4款，在含天然气管线舱室敷设的电气线路应符合现行国家标准《爆炸危险环境电力装置设计规范》GB 50058的相关规定和图集《爆炸危险环境电气线路和电气设备安装》12D 401-3的相关规定。</w:t>
      </w:r>
    </w:p>
    <w:p w14:paraId="4894DE38">
      <w:pPr>
        <w:pStyle w:val="5"/>
        <w:rPr>
          <w:highlight w:val="none"/>
        </w:rPr>
      </w:pPr>
      <w:r>
        <w:rPr>
          <w:b/>
          <w:highlight w:val="none"/>
        </w:rPr>
        <w:t>8.3.5</w:t>
      </w:r>
      <w:r>
        <w:rPr>
          <w:highlight w:val="none"/>
        </w:rPr>
        <w:t xml:space="preserve">  设置检修插座的目的主要考虑到综合管廊管道及其设备安装时的动力要求。根据电焊机的使用情况，其一二次电缆长度一般不超过30m左右，以此确定临时接电用插座的设置间距。</w:t>
      </w:r>
    </w:p>
    <w:p w14:paraId="70B4B9B3">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减少诱发爆炸的可能，在含有天然气管线舱室内一般不宜设置插座类电器。当必须设置检修插座时，插座必须采用防爆型，在检修工况下且舱室内泄漏气体浓度低于爆炸下限值的20%时，才允许向插座回路供电。</w:t>
      </w:r>
    </w:p>
    <w:p w14:paraId="1F6BB4E3">
      <w:pPr>
        <w:pStyle w:val="5"/>
        <w:rPr>
          <w:highlight w:val="none"/>
        </w:rPr>
      </w:pPr>
      <w:r>
        <w:rPr>
          <w:b/>
          <w:highlight w:val="none"/>
        </w:rPr>
        <w:t xml:space="preserve">8.3.6 </w:t>
      </w:r>
      <w:r>
        <w:rPr>
          <w:highlight w:val="none"/>
        </w:rPr>
        <w:t xml:space="preserve"> 人员在进入某段综合管廊时，一般需先行进行换气通风，故需在入口设置开关或通过远程操作开启通风设备。每区段的各出入口均安装开关或由环境与设备监控系统远程操作，可以方便巡检人员在任一出入口离开时均能及时关闭本段通风，以利节能。</w:t>
      </w:r>
    </w:p>
    <w:p w14:paraId="1A2683ED">
      <w:pPr>
        <w:pStyle w:val="5"/>
        <w:rPr>
          <w:highlight w:val="none"/>
        </w:rPr>
      </w:pPr>
      <w:r>
        <w:rPr>
          <w:b/>
          <w:highlight w:val="none"/>
        </w:rPr>
        <w:t xml:space="preserve">8.3.7 </w:t>
      </w:r>
      <w:r>
        <w:rPr>
          <w:highlight w:val="none"/>
        </w:rPr>
        <w:t xml:space="preserve"> （1）  综合管廊接地电阻值应符合现行国家标准《交流电气装置的接地设计规范》GB/T 50065的有关规定。舱内的接地系统宜利用综合管廊本体结构钢筋等形成环形接地网。当接地电阻值不满足要求时，可通过经济技术比较适当增大接地电阻，须校验接触电位差和跨步电位差，且综合接地电阻不应大于1Ω。</w:t>
      </w:r>
    </w:p>
    <w:p w14:paraId="4BFE2F55">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4</w:t>
      </w:r>
      <w:r>
        <w:rPr>
          <w:rFonts w:ascii="Times New Roman" w:hAnsi="Times New Roman" w:eastAsia="方正书宋简体" w:cs="Times New Roman"/>
          <w:color w:val="000000" w:themeColor="text1"/>
          <w:highlight w:val="none"/>
          <w14:textFill>
            <w14:solidFill>
              <w14:schemeClr w14:val="tx1"/>
            </w14:solidFill>
          </w14:textFill>
        </w:rPr>
        <w:t xml:space="preserve">  同本标准第7.3.3条第4款，在含天然气管线舱室敷设的电气线路应符合现行国家标准《爆炸危险环境电力装置设计规范》GB 50058的相关规定和图集《爆炸危险环境电气线路和电气设备安装》12D401-3的相关规定。</w:t>
      </w:r>
    </w:p>
    <w:p w14:paraId="716AA944">
      <w:pPr>
        <w:pStyle w:val="4"/>
        <w:spacing w:before="156" w:after="156"/>
        <w:rPr>
          <w:b/>
          <w:color w:val="000000" w:themeColor="text1"/>
          <w:highlight w:val="none"/>
          <w14:textFill>
            <w14:solidFill>
              <w14:schemeClr w14:val="tx1"/>
            </w14:solidFill>
          </w14:textFill>
        </w:rPr>
      </w:pPr>
      <w:bookmarkStart w:id="192" w:name="_Toc37689838"/>
      <w:r>
        <w:rPr>
          <w:b/>
          <w:bCs w:val="0"/>
          <w:color w:val="000000" w:themeColor="text1"/>
          <w:highlight w:val="none"/>
          <w14:textFill>
            <w14:solidFill>
              <w14:schemeClr w14:val="tx1"/>
            </w14:solidFill>
          </w14:textFill>
        </w:rPr>
        <w:t>8.4</w:t>
      </w:r>
      <w:r>
        <w:rPr>
          <w:color w:val="000000" w:themeColor="text1"/>
          <w:highlight w:val="none"/>
          <w14:textFill>
            <w14:solidFill>
              <w14:schemeClr w14:val="tx1"/>
            </w14:solidFill>
          </w14:textFill>
        </w:rPr>
        <w:t xml:space="preserve">  照 明 系 统</w:t>
      </w:r>
      <w:bookmarkEnd w:id="192"/>
    </w:p>
    <w:p w14:paraId="59CFD789">
      <w:pPr>
        <w:pStyle w:val="5"/>
        <w:rPr>
          <w:highlight w:val="none"/>
        </w:rPr>
      </w:pPr>
      <w:bookmarkStart w:id="193" w:name="_Toc37689839"/>
      <w:r>
        <w:rPr>
          <w:b/>
          <w:highlight w:val="none"/>
        </w:rPr>
        <w:t xml:space="preserve">8.4.2 </w:t>
      </w:r>
      <w:r>
        <w:rPr>
          <w:highlight w:val="none"/>
        </w:rPr>
        <w:t xml:space="preserve"> 综合管廊通道空间一般紧凑狭小、环境潮湿，且其中需要进行管线的安装施工作业，施工人员或工具较易触碰到照明灯具，所以对管廊中灯具的防潮、防外力、防触电等要求提出具体规定。敷设在管廊中的天然气管道管法兰、阀门等属于现行国家标准《爆炸危险环境电力装置设计规范》GB 50058规定的二级释放源，在通风条件符合规范规定的情况下该区域可划分为爆炸性气体环境2区，在该区域安装的电气设备应符合《爆炸危险环境电力装置设计规范》GB 50058的相关规定。同样在含污水管线舱室安装的照明灯具应符合现行国家标准《爆炸危险环境电力装置设计规范》GB 50058的有关规定。</w:t>
      </w:r>
    </w:p>
    <w:p w14:paraId="44822B00">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t xml:space="preserve">  监控与报警系统</w:t>
      </w:r>
      <w:bookmarkEnd w:id="193"/>
    </w:p>
    <w:p w14:paraId="4C192160">
      <w:pPr>
        <w:pStyle w:val="5"/>
        <w:rPr>
          <w:highlight w:val="none"/>
        </w:rPr>
      </w:pPr>
      <w:r>
        <w:rPr>
          <w:b/>
          <w:highlight w:val="none"/>
        </w:rPr>
        <w:t xml:space="preserve">8.5.4 </w:t>
      </w:r>
      <w:r>
        <w:rPr>
          <w:highlight w:val="none"/>
        </w:rPr>
        <w:t xml:space="preserve"> 本条规定了环境与设备监控系统的设置应符合的要求。</w:t>
      </w:r>
    </w:p>
    <w:p w14:paraId="4DECD9B4">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本款规定的目的是综合管廊管理单位能够对综合管廊和廊内管线进行全面管理。当出现紧急情况时，经专业管线单位确认，综合管廊管理单位可对管线配套系统进行必要的应急控制。</w:t>
      </w:r>
    </w:p>
    <w:p w14:paraId="1268A2EA">
      <w:pPr>
        <w:pStyle w:val="42"/>
        <w:overflowPunct w:val="0"/>
        <w:spacing w:line="348" w:lineRule="exact"/>
        <w:ind w:firstLine="316" w:firstLineChars="150"/>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5、6</w:t>
      </w:r>
      <w:r>
        <w:rPr>
          <w:rFonts w:ascii="Times New Roman" w:hAnsi="Times New Roman" w:eastAsia="方正书宋简体" w:cs="Times New Roman"/>
          <w:color w:val="000000" w:themeColor="text1"/>
          <w:highlight w:val="none"/>
          <w14:textFill>
            <w14:solidFill>
              <w14:schemeClr w14:val="tx1"/>
            </w14:solidFill>
          </w14:textFill>
        </w:rPr>
        <w:t xml:space="preserve">  此两款条文内气体探测器、氧含量分析仪及温湿度计等设备的安装位置可根据供货商产品特性及实际情况灵活调整。</w:t>
      </w:r>
    </w:p>
    <w:p w14:paraId="6A9FB810">
      <w:pPr>
        <w:pStyle w:val="5"/>
        <w:rPr>
          <w:highlight w:val="none"/>
        </w:rPr>
      </w:pPr>
      <w:r>
        <w:rPr>
          <w:b/>
          <w:highlight w:val="none"/>
        </w:rPr>
        <w:t>8.5.6</w:t>
      </w:r>
      <w:r>
        <w:rPr>
          <w:highlight w:val="none"/>
        </w:rPr>
        <w:t xml:space="preserve">  （3）  由于天然气舱处于爆炸危险环境，应将无线对讲通话系统纳入无线巡检系统，以减少使用防爆电气及通信设备数量。</w:t>
      </w:r>
    </w:p>
    <w:p w14:paraId="75C8621E">
      <w:pPr>
        <w:spacing w:line="348" w:lineRule="exact"/>
        <w:ind w:firstLine="420"/>
        <w:rPr>
          <w:highlight w:val="none"/>
          <w:u w:val="none"/>
        </w:rPr>
      </w:pPr>
      <w:r>
        <w:rPr>
          <w:rFonts w:hint="eastAsia" w:ascii="Times New Roman" w:hAnsi="Times New Roman" w:eastAsia="方正书宋简体" w:cs="Times New Roman"/>
          <w:b/>
          <w:bCs/>
          <w:highlight w:val="none"/>
          <w:u w:val="none"/>
        </w:rPr>
        <w:t>4</w:t>
      </w:r>
      <w:r>
        <w:rPr>
          <w:rFonts w:hint="eastAsia" w:ascii="Times New Roman" w:hAnsi="Times New Roman" w:eastAsia="方正书宋简体" w:cs="Times New Roman"/>
          <w:highlight w:val="none"/>
          <w:u w:val="none"/>
        </w:rPr>
        <w:t xml:space="preserve">  设置可直接报警的外线电话，</w:t>
      </w:r>
      <w:r>
        <w:rPr>
          <w:rFonts w:ascii="Times New Roman" w:hAnsi="Times New Roman" w:eastAsia="方正书宋简体" w:cs="Times New Roman"/>
          <w:highlight w:val="none"/>
          <w:u w:val="none"/>
        </w:rPr>
        <w:t>确保监控室在电力或内部网络中断等极端情况</w:t>
      </w:r>
      <w:r>
        <w:rPr>
          <w:rFonts w:hint="eastAsia" w:ascii="Times New Roman" w:hAnsi="Times New Roman" w:eastAsia="方正书宋简体" w:cs="Times New Roman"/>
          <w:highlight w:val="none"/>
          <w:u w:val="none"/>
        </w:rPr>
        <w:t>下</w:t>
      </w:r>
      <w:r>
        <w:rPr>
          <w:rFonts w:ascii="Times New Roman" w:hAnsi="Times New Roman" w:eastAsia="方正书宋简体" w:cs="Times New Roman"/>
          <w:highlight w:val="none"/>
          <w:u w:val="none"/>
        </w:rPr>
        <w:t>具备无条件对外报警的能力。</w:t>
      </w:r>
    </w:p>
    <w:p w14:paraId="23838A55">
      <w:pPr>
        <w:overflowPunct w:val="0"/>
        <w:spacing w:line="348" w:lineRule="exact"/>
        <w:jc w:val="left"/>
        <w:rPr>
          <w:highlight w:val="none"/>
          <w:u w:val="none"/>
        </w:rPr>
      </w:pPr>
      <w:r>
        <w:rPr>
          <w:rFonts w:ascii="Times New Roman" w:hAnsi="Times New Roman" w:eastAsia="方正书宋简体" w:cs="Times New Roman"/>
          <w:b/>
          <w:bCs/>
          <w:highlight w:val="none"/>
          <w:u w:val="none"/>
        </w:rPr>
        <w:t>8.5.7</w:t>
      </w:r>
      <w:r>
        <w:rPr>
          <w:rFonts w:ascii="Times New Roman" w:hAnsi="Times New Roman" w:eastAsia="方正书宋简体" w:cs="Times New Roman"/>
          <w:highlight w:val="none"/>
          <w:u w:val="none"/>
        </w:rPr>
        <w:t xml:space="preserve">  参照《城市综合管廊工程技术规范》GB 50838-2015（2024年版）的最新规定，对原标准条款进行针对性调整与优化</w:t>
      </w:r>
      <w:r>
        <w:rPr>
          <w:rFonts w:hint="eastAsia" w:ascii="Times New Roman" w:hAnsi="Times New Roman" w:eastAsia="方正书宋简体" w:cs="Times New Roman"/>
          <w:highlight w:val="none"/>
          <w:u w:val="none"/>
        </w:rPr>
        <w:t>。</w:t>
      </w:r>
    </w:p>
    <w:p w14:paraId="0C4ED782">
      <w:pPr>
        <w:pStyle w:val="5"/>
        <w:rPr>
          <w:highlight w:val="none"/>
          <w:u w:val="none"/>
        </w:rPr>
      </w:pPr>
      <w:bookmarkStart w:id="194" w:name="_Toc37689840"/>
      <w:r>
        <w:rPr>
          <w:b/>
          <w:highlight w:val="none"/>
          <w:u w:val="none"/>
        </w:rPr>
        <w:t>8.5.8</w:t>
      </w:r>
      <w:r>
        <w:rPr>
          <w:highlight w:val="none"/>
          <w:u w:val="none"/>
        </w:rPr>
        <w:t xml:space="preserve">  </w:t>
      </w:r>
      <w:r>
        <w:rPr>
          <w:rFonts w:hint="eastAsia"/>
          <w:color w:val="auto"/>
          <w:highlight w:val="none"/>
          <w:u w:val="none"/>
        </w:rPr>
        <w:t>（</w:t>
      </w:r>
      <w:r>
        <w:rPr>
          <w:color w:val="auto"/>
          <w:highlight w:val="none"/>
          <w:u w:val="none"/>
        </w:rPr>
        <w:t>2</w:t>
      </w:r>
      <w:r>
        <w:rPr>
          <w:rFonts w:hint="eastAsia"/>
          <w:color w:val="auto"/>
          <w:highlight w:val="none"/>
          <w:u w:val="none"/>
        </w:rPr>
        <w:t>、4）</w:t>
      </w:r>
      <w:r>
        <w:rPr>
          <w:color w:val="auto"/>
          <w:highlight w:val="none"/>
          <w:u w:val="none"/>
        </w:rPr>
        <w:t>参照《城镇综合管廊监控与报警系统工程技术标准》（GB/T 51274-2017）第 8.2.3 条，提出管廊内监测可燃气体的基本要求。</w:t>
      </w:r>
    </w:p>
    <w:p w14:paraId="70A1D8FA">
      <w:pPr>
        <w:pStyle w:val="5"/>
        <w:ind w:firstLine="420"/>
        <w:rPr>
          <w:highlight w:val="none"/>
          <w:u w:val="none"/>
        </w:rPr>
      </w:pPr>
      <w:r>
        <w:rPr>
          <w:b/>
          <w:bCs/>
          <w:highlight w:val="none"/>
          <w:u w:val="none"/>
        </w:rPr>
        <w:t>5</w:t>
      </w:r>
      <w:r>
        <w:rPr>
          <w:highlight w:val="none"/>
          <w:u w:val="none"/>
        </w:rPr>
        <w:t xml:space="preserve">  本款条文内的点式探测器等设备的安装位置可根据供货商产品特性及实际情况灵活调整。</w:t>
      </w:r>
    </w:p>
    <w:p w14:paraId="19B9A8AB">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8.6</w:t>
      </w:r>
      <w:r>
        <w:rPr>
          <w:color w:val="000000" w:themeColor="text1"/>
          <w:highlight w:val="none"/>
          <w:u w:val="none"/>
          <w14:textFill>
            <w14:solidFill>
              <w14:schemeClr w14:val="tx1"/>
            </w14:solidFill>
          </w14:textFill>
        </w:rPr>
        <w:t xml:space="preserve">  排 水 系 统</w:t>
      </w:r>
      <w:bookmarkEnd w:id="194"/>
    </w:p>
    <w:p w14:paraId="09BAB76B">
      <w:pPr>
        <w:pStyle w:val="5"/>
        <w:rPr>
          <w:highlight w:val="none"/>
          <w:u w:val="none"/>
        </w:rPr>
      </w:pPr>
      <w:r>
        <w:rPr>
          <w:b/>
          <w:highlight w:val="none"/>
          <w:u w:val="none"/>
        </w:rPr>
        <w:t xml:space="preserve">8.6.1 </w:t>
      </w:r>
      <w:r>
        <w:rPr>
          <w:highlight w:val="none"/>
          <w:u w:val="none"/>
        </w:rPr>
        <w:t xml:space="preserve"> 综合管廊内的排水系统主要满足排除综合管廊的结构渗漏水、管道检修放空水的要求，未考虑管道爆管或消防情况下的排水要求。</w:t>
      </w:r>
      <w:r>
        <w:rPr>
          <w:rFonts w:hint="eastAsia"/>
          <w:highlight w:val="none"/>
          <w:u w:val="none"/>
        </w:rPr>
        <w:t>综合管廊舱室不再设置防火分隔，可仅在管廊区间低点设置集水坑与排水设备。</w:t>
      </w:r>
    </w:p>
    <w:p w14:paraId="3EDC3ADB">
      <w:pPr>
        <w:pStyle w:val="5"/>
        <w:rPr>
          <w:highlight w:val="none"/>
        </w:rPr>
      </w:pPr>
      <w:r>
        <w:rPr>
          <w:b/>
          <w:highlight w:val="none"/>
        </w:rPr>
        <w:t xml:space="preserve">8.6.2 </w:t>
      </w:r>
      <w:r>
        <w:rPr>
          <w:highlight w:val="none"/>
        </w:rPr>
        <w:t xml:space="preserve"> 应按最大管径计算200m长管道内存水排空所需时间，供热管道一般为5h~7h，其他管道可参照计算。</w:t>
      </w:r>
    </w:p>
    <w:p w14:paraId="7B15951C">
      <w:pPr>
        <w:pStyle w:val="5"/>
        <w:rPr>
          <w:highlight w:val="none"/>
        </w:rPr>
      </w:pPr>
      <w:r>
        <w:rPr>
          <w:b/>
          <w:highlight w:val="none"/>
        </w:rPr>
        <w:t>8.6.3</w:t>
      </w:r>
      <w:r>
        <w:rPr>
          <w:highlight w:val="none"/>
        </w:rPr>
        <w:t xml:space="preserve">  为了将水流尽快汇集至集水坑，综合管廊内采用有组织的排水系统。一般在综合管廊的单侧或双侧设置排水明沟，综合考虑道路的纵坡设计和综合管廊埋深，排水明沟的纵向坡度不应小于0.2%。</w:t>
      </w:r>
    </w:p>
    <w:p w14:paraId="3ADC05A8">
      <w:pPr>
        <w:pStyle w:val="5"/>
        <w:rPr>
          <w:highlight w:val="none"/>
        </w:rPr>
      </w:pPr>
      <w:r>
        <w:rPr>
          <w:b/>
          <w:highlight w:val="none"/>
        </w:rPr>
        <w:t>8.6.4</w:t>
      </w:r>
      <w:r>
        <w:rPr>
          <w:highlight w:val="none"/>
        </w:rPr>
        <w:t xml:space="preserve">  本条文对泄水管出水口最小空气间隙的要求主要针对生活给水管、直饮水管和回用水管道等对水质有要求的供水管线，已经从泄水口流出的污废水不得因压力管道产生负压而被抽吸回管道中。</w:t>
      </w:r>
    </w:p>
    <w:p w14:paraId="7C2890A4">
      <w:pPr>
        <w:pStyle w:val="5"/>
        <w:rPr>
          <w:highlight w:val="none"/>
        </w:rPr>
      </w:pPr>
      <w:r>
        <w:rPr>
          <w:b/>
          <w:highlight w:val="none"/>
        </w:rPr>
        <w:t>8.6.6</w:t>
      </w:r>
      <w:r>
        <w:rPr>
          <w:highlight w:val="none"/>
        </w:rPr>
        <w:t xml:space="preserve">  可以在天然气管道舱内的集水坑和排水泵出水管上设置水封装置或补水系统。</w:t>
      </w:r>
    </w:p>
    <w:p w14:paraId="683133D2">
      <w:pPr>
        <w:pStyle w:val="5"/>
        <w:rPr>
          <w:highlight w:val="none"/>
        </w:rPr>
      </w:pPr>
      <w:bookmarkStart w:id="195" w:name="_Toc37689841"/>
      <w:r>
        <w:rPr>
          <w:b/>
          <w:highlight w:val="none"/>
        </w:rPr>
        <w:t>8.6.7</w:t>
      </w:r>
      <w:r>
        <w:rPr>
          <w:highlight w:val="none"/>
        </w:rPr>
        <w:t xml:space="preserve">  当供热管道泄水时可以打开同舱室的其他冷水管道，当无冷水管道时，应从其他舱室引入冷水给水管。</w:t>
      </w:r>
    </w:p>
    <w:p w14:paraId="10AAB59B">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8.7</w:t>
      </w:r>
      <w:r>
        <w:rPr>
          <w:color w:val="000000" w:themeColor="text1"/>
          <w:highlight w:val="none"/>
          <w14:textFill>
            <w14:solidFill>
              <w14:schemeClr w14:val="tx1"/>
            </w14:solidFill>
          </w14:textFill>
        </w:rPr>
        <w:t xml:space="preserve">  标 识 系 统</w:t>
      </w:r>
      <w:bookmarkEnd w:id="195"/>
    </w:p>
    <w:p w14:paraId="3EA22183">
      <w:pPr>
        <w:pStyle w:val="5"/>
        <w:rPr>
          <w:highlight w:val="none"/>
        </w:rPr>
      </w:pPr>
      <w:r>
        <w:rPr>
          <w:b/>
          <w:highlight w:val="none"/>
        </w:rPr>
        <w:t>8.7.1</w:t>
      </w:r>
      <w:r>
        <w:rPr>
          <w:highlight w:val="none"/>
        </w:rPr>
        <w:t xml:space="preserve">  综合管廊人员主出入口一般情况下指控制中心与综合管廊直接连接的出入口，应当根据控制中心的空间布置，在合适的位置设置介绍牌，对综合管廊的建设和运行情况进行简要的介绍，以利于综合管廊的管理和维护。</w:t>
      </w:r>
    </w:p>
    <w:p w14:paraId="4573558A">
      <w:pPr>
        <w:pStyle w:val="5"/>
        <w:rPr>
          <w:highlight w:val="none"/>
        </w:rPr>
      </w:pPr>
      <w:r>
        <w:rPr>
          <w:b/>
          <w:highlight w:val="none"/>
        </w:rPr>
        <w:t>8.7.2</w:t>
      </w:r>
      <w:r>
        <w:rPr>
          <w:highlight w:val="none"/>
        </w:rPr>
        <w:t xml:space="preserve">  综合管廊内部容纳的管线较多，管道一般按照颜色区分或每隔一定距离在管道上标识。电（光）缆一般每隔一定间距设置铭牌进行标识。同时针对不同的设备应有醒目的标识。为便于管理和维护，标识内容应标明管线属性、规格、产权单位名称、紧急联系电话等内容。</w:t>
      </w:r>
    </w:p>
    <w:p w14:paraId="09E3DCAF">
      <w:pPr>
        <w:pStyle w:val="5"/>
        <w:rPr>
          <w:highlight w:val="none"/>
        </w:rPr>
      </w:pPr>
      <w:r>
        <w:rPr>
          <w:b/>
          <w:highlight w:val="none"/>
        </w:rPr>
        <w:t>8.7.3</w:t>
      </w:r>
      <w:r>
        <w:rPr>
          <w:highlight w:val="none"/>
        </w:rPr>
        <w:t xml:space="preserve">  为便于综合管廊的日常维护，应在管廊内部设置用于定位的里程标识及维修人员通行的引导标识。</w:t>
      </w:r>
    </w:p>
    <w:p w14:paraId="5FAC254A">
      <w:pPr>
        <w:pStyle w:val="5"/>
        <w:rPr>
          <w:highlight w:val="none"/>
        </w:rPr>
      </w:pPr>
      <w:bookmarkStart w:id="196" w:name="_Toc37689842"/>
      <w:r>
        <w:rPr>
          <w:b/>
          <w:highlight w:val="none"/>
        </w:rPr>
        <w:t>8.7.4</w:t>
      </w:r>
      <w:r>
        <w:rPr>
          <w:highlight w:val="none"/>
        </w:rPr>
        <w:t xml:space="preserve">  为便于设备的运行管理及维护，应标明设备的名称、参数、使用方式和紧急联系电话。</w:t>
      </w:r>
    </w:p>
    <w:p w14:paraId="7CDD011B">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8.8</w:t>
      </w:r>
      <w:r>
        <w:rPr>
          <w:color w:val="000000" w:themeColor="text1"/>
          <w:highlight w:val="none"/>
          <w14:textFill>
            <w14:solidFill>
              <w14:schemeClr w14:val="tx1"/>
            </w14:solidFill>
          </w14:textFill>
        </w:rPr>
        <w:t xml:space="preserve">  监 控 中 心</w:t>
      </w:r>
      <w:bookmarkEnd w:id="196"/>
    </w:p>
    <w:p w14:paraId="55F6CE33">
      <w:pPr>
        <w:pStyle w:val="5"/>
        <w:rPr>
          <w:highlight w:val="none"/>
        </w:rPr>
      </w:pPr>
      <w:r>
        <w:rPr>
          <w:b/>
          <w:highlight w:val="none"/>
        </w:rPr>
        <w:t>8.8.1</w:t>
      </w:r>
      <w:r>
        <w:rPr>
          <w:highlight w:val="none"/>
        </w:rPr>
        <w:t xml:space="preserve">  （2）  监控中心与其他建筑合建在同一基地内，为满足监控中心的使用功能、交通畅顺和环境的要求，必须有合理的布局，自成一区，并宜有单独出入口。</w:t>
      </w:r>
    </w:p>
    <w:p w14:paraId="6BB95948">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随着我国经济的发展，目前，除一般的行政性办公建筑外，商务写字楼的趋势使高层办公建筑向多功能、综合性发展。高层办公建筑一般设有裙房，在裙房内设置商场、餐饮、文化娱乐和金融、旅游、电信等各类营业厅。还有如公寓式办公楼和酒店式办公楼，它们有可能与公寓和酒店合建在同一幢楼内的某些层面或区域中。以上这些办公建筑内容多，功能杂，消防疏散和设备机房都需在同一幢楼内解决。当监控中心与上述建筑合建时，就应合理安排它们之间的关系，避免互相干扰，有利于安全疏散，方便监控人员上下班。本条主要规定监控中心与其他功能用房合建时，总平面布置中监控中心应与裙房商场、餐饮、文化娱乐和各类营业厅等分别设置独自出入口。与公寓、酒店等同在一幢楼内的办公区域，其办公人</w:t>
      </w:r>
      <w:r>
        <w:rPr>
          <w:color w:val="000000" w:themeColor="text1"/>
          <w:spacing w:val="6"/>
          <w:highlight w:val="none"/>
          <w14:textFill>
            <w14:solidFill>
              <w14:schemeClr w14:val="tx1"/>
            </w14:solidFill>
          </w14:textFill>
        </w:rPr>
        <w:t>员要求独立设置出入口可能有困难，因此条文中作宜独立设置的规</w:t>
      </w:r>
      <w:r>
        <w:rPr>
          <w:color w:val="000000" w:themeColor="text1"/>
          <w:highlight w:val="none"/>
          <w14:textFill>
            <w14:solidFill>
              <w14:schemeClr w14:val="tx1"/>
            </w14:solidFill>
          </w14:textFill>
        </w:rPr>
        <w:t>定。</w:t>
      </w:r>
    </w:p>
    <w:p w14:paraId="5DD5D520">
      <w:pPr>
        <w:overflowPunct w:val="0"/>
        <w:spacing w:line="348" w:lineRule="exact"/>
        <w:jc w:val="left"/>
        <w:rPr>
          <w:highlight w:val="none"/>
          <w:u w:val="none"/>
        </w:rPr>
      </w:pPr>
      <w:r>
        <w:rPr>
          <w:rFonts w:ascii="Times New Roman" w:hAnsi="Times New Roman" w:eastAsia="方正书宋简体" w:cs="Times New Roman"/>
          <w:highlight w:val="none"/>
          <w:u w:val="none"/>
        </w:rPr>
        <w:t>8.8.2  参照《城市综合管廊监控与报警系统应用技术规程》（T/CECS 656-2020）第3.1.2条的规定，</w:t>
      </w:r>
      <w:r>
        <w:rPr>
          <w:rFonts w:hint="eastAsia" w:ascii="Times New Roman" w:hAnsi="Times New Roman" w:eastAsia="方正书宋简体" w:cs="Times New Roman"/>
          <w:highlight w:val="none"/>
          <w:u w:val="none"/>
        </w:rPr>
        <w:t>“</w:t>
      </w:r>
      <w:r>
        <w:rPr>
          <w:rFonts w:ascii="Times New Roman" w:hAnsi="Times New Roman" w:eastAsia="方正书宋简体" w:cs="Times New Roman"/>
          <w:highlight w:val="none"/>
          <w:u w:val="none"/>
        </w:rPr>
        <w:t>监控与报警系统的监控中心设置应符合下列要求：县级以上地域可根据其综合管廊的覆盖范围，设置两个及以上的监控中心，并应明确其中的主监控中心。</w:t>
      </w:r>
      <w:r>
        <w:rPr>
          <w:rFonts w:hint="eastAsia" w:ascii="Times New Roman" w:hAnsi="Times New Roman" w:eastAsia="方正书宋简体" w:cs="Times New Roman"/>
          <w:highlight w:val="none"/>
          <w:u w:val="none"/>
        </w:rPr>
        <w:t>”</w:t>
      </w:r>
      <w:r>
        <w:rPr>
          <w:rFonts w:ascii="Times New Roman" w:hAnsi="Times New Roman" w:eastAsia="方正书宋简体" w:cs="Times New Roman"/>
          <w:highlight w:val="none"/>
          <w:u w:val="none"/>
        </w:rPr>
        <w:t>增加了本条内容。</w:t>
      </w:r>
    </w:p>
    <w:p w14:paraId="639166A5">
      <w:pPr>
        <w:pStyle w:val="5"/>
        <w:rPr>
          <w:highlight w:val="none"/>
        </w:rPr>
      </w:pPr>
      <w:r>
        <w:rPr>
          <w:b/>
          <w:highlight w:val="none"/>
        </w:rPr>
        <w:t xml:space="preserve">8.8.3  </w:t>
      </w:r>
      <w:r>
        <w:rPr>
          <w:highlight w:val="none"/>
        </w:rPr>
        <w:t>（2）增加控制室的防盗要求。因为控制室是整个监控中心的核心部分，更是要害部门。</w:t>
      </w:r>
    </w:p>
    <w:p w14:paraId="2F19994A">
      <w:pPr>
        <w:pStyle w:val="5"/>
        <w:rPr>
          <w:highlight w:val="none"/>
        </w:rPr>
      </w:pPr>
      <w:r>
        <w:rPr>
          <w:b/>
          <w:highlight w:val="none"/>
        </w:rPr>
        <w:t xml:space="preserve">8.8.4 </w:t>
      </w:r>
      <w:r>
        <w:rPr>
          <w:highlight w:val="none"/>
        </w:rPr>
        <w:t xml:space="preserve"> 监控中心设备并不一定靠墙布置，各种弱电和强电管线和插座必须考虑在地面内埋设，通常采用网络地板综合布线。地面做成架空层有利于管线安装，并利用架空层作为空调风管，这样能更好地满足监控中心设备使用要求。</w:t>
      </w:r>
    </w:p>
    <w:p w14:paraId="07132CB2">
      <w:pPr>
        <w:pStyle w:val="5"/>
        <w:rPr>
          <w:highlight w:val="none"/>
        </w:rPr>
      </w:pPr>
      <w:r>
        <w:rPr>
          <w:b/>
          <w:highlight w:val="none"/>
        </w:rPr>
        <w:t>8.8.7</w:t>
      </w:r>
      <w:r>
        <w:rPr>
          <w:highlight w:val="none"/>
        </w:rPr>
        <w:t xml:space="preserve">  监控中心的用电负荷等级应与综合管廊主体用电负荷同等级。</w:t>
      </w:r>
    </w:p>
    <w:p w14:paraId="519AD7EB">
      <w:pPr>
        <w:overflowPunct w:val="0"/>
        <w:spacing w:line="348" w:lineRule="exact"/>
        <w:jc w:val="left"/>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8.8.11</w:t>
      </w:r>
      <w:r>
        <w:rPr>
          <w:rFonts w:ascii="Times New Roman" w:hAnsi="Times New Roman" w:eastAsia="方正书宋简体" w:cs="Times New Roman"/>
          <w:highlight w:val="none"/>
          <w:u w:val="none"/>
        </w:rPr>
        <w:t xml:space="preserve"> </w:t>
      </w:r>
      <w:r>
        <w:rPr>
          <w:rFonts w:hint="eastAsia" w:ascii="Times New Roman" w:hAnsi="Times New Roman" w:eastAsia="方正书宋简体" w:cs="Times New Roman"/>
          <w:highlight w:val="none"/>
          <w:u w:val="none"/>
        </w:rPr>
        <w:t xml:space="preserve"> </w:t>
      </w:r>
      <w:r>
        <w:rPr>
          <w:rFonts w:ascii="Times New Roman" w:hAnsi="Times New Roman" w:eastAsia="方正书宋简体" w:cs="Times New Roman"/>
          <w:highlight w:val="none"/>
          <w:u w:val="none"/>
        </w:rPr>
        <w:t>各地正在大力推进城市综合管廊建设，为实现对分散管廊数据的有效整合与集中管控，提升运营效率与安全水平，需进行统一管理。根据《T/CMEA 13-2020 城市综合管廊监控中心设计标准》的相关要求，此次修订增设该条款，旨在明确数据统一管理的技术路径和实施规范。</w:t>
      </w:r>
    </w:p>
    <w:p w14:paraId="3C5A34C1">
      <w:pPr>
        <w:overflowPunct w:val="0"/>
        <w:spacing w:line="348" w:lineRule="exact"/>
        <w:jc w:val="left"/>
        <w:rPr>
          <w:rFonts w:ascii="Times New Roman" w:hAnsi="Times New Roman" w:eastAsia="方正书宋简体" w:cs="Times New Roman"/>
          <w:highlight w:val="none"/>
          <w:u w:val="none"/>
        </w:rPr>
      </w:pPr>
      <w:r>
        <w:rPr>
          <w:rFonts w:ascii="Times New Roman" w:hAnsi="Times New Roman" w:eastAsia="方正书宋简体" w:cs="Times New Roman"/>
          <w:b/>
          <w:bCs/>
          <w:highlight w:val="none"/>
          <w:u w:val="none"/>
        </w:rPr>
        <w:t>8.8.12</w:t>
      </w:r>
      <w:r>
        <w:rPr>
          <w:rFonts w:ascii="Times New Roman" w:hAnsi="Times New Roman" w:eastAsia="方正书宋简体" w:cs="Times New Roman"/>
          <w:highlight w:val="none"/>
          <w:u w:val="none"/>
        </w:rPr>
        <w:t xml:space="preserve"> </w:t>
      </w:r>
      <w:r>
        <w:rPr>
          <w:rFonts w:hint="eastAsia" w:ascii="Times New Roman" w:hAnsi="Times New Roman" w:eastAsia="方正书宋简体" w:cs="Times New Roman"/>
          <w:highlight w:val="none"/>
          <w:u w:val="none"/>
        </w:rPr>
        <w:t xml:space="preserve"> </w:t>
      </w:r>
      <w:r>
        <w:rPr>
          <w:rFonts w:ascii="Times New Roman" w:hAnsi="Times New Roman" w:eastAsia="方正书宋简体" w:cs="Times New Roman"/>
          <w:highlight w:val="none"/>
          <w:u w:val="none"/>
        </w:rPr>
        <w:t>为提升监控中心的综合监控与智慧化管理水平，本次修订对平台功能进行了补充完善。所增加的具体功能旨在为监控中心的规划、建设与运营提供明确的技术依据</w:t>
      </w:r>
      <w:r>
        <w:rPr>
          <w:rFonts w:hint="eastAsia" w:ascii="Times New Roman" w:hAnsi="Times New Roman" w:eastAsia="方正书宋简体" w:cs="Times New Roman"/>
          <w:highlight w:val="none"/>
          <w:u w:val="none"/>
        </w:rPr>
        <w:t>。</w:t>
      </w:r>
    </w:p>
    <w:p w14:paraId="37584D50">
      <w:pPr>
        <w:rPr>
          <w:highlight w:val="none"/>
        </w:rPr>
      </w:pPr>
    </w:p>
    <w:p w14:paraId="3BB47FF5">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3A8D9CB4">
      <w:pPr>
        <w:pStyle w:val="2"/>
        <w:rPr>
          <w:color w:val="000000" w:themeColor="text1"/>
          <w:highlight w:val="none"/>
          <w14:textFill>
            <w14:solidFill>
              <w14:schemeClr w14:val="tx1"/>
            </w14:solidFill>
          </w14:textFill>
        </w:rPr>
      </w:pPr>
      <w:bookmarkStart w:id="197" w:name="_Toc37689843"/>
      <w:r>
        <w:rPr>
          <w:color w:val="000000" w:themeColor="text1"/>
          <w:highlight w:val="none"/>
          <w:lang w:val="en-US"/>
          <w14:textFill>
            <w14:solidFill>
              <w14:schemeClr w14:val="tx1"/>
            </w14:solidFill>
          </w14:textFill>
        </w:rPr>
        <w:t>9</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管</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线</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设</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计</w:t>
      </w:r>
      <w:bookmarkEnd w:id="197"/>
    </w:p>
    <w:p w14:paraId="65C1702B">
      <w:pPr>
        <w:pStyle w:val="4"/>
        <w:spacing w:before="156" w:after="156"/>
        <w:rPr>
          <w:b/>
          <w:color w:val="000000" w:themeColor="text1"/>
          <w:highlight w:val="none"/>
          <w14:textFill>
            <w14:solidFill>
              <w14:schemeClr w14:val="tx1"/>
            </w14:solidFill>
          </w14:textFill>
        </w:rPr>
      </w:pPr>
      <w:bookmarkStart w:id="198" w:name="_Toc37689844"/>
      <w:r>
        <w:rPr>
          <w:b/>
          <w:bCs w:val="0"/>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t xml:space="preserve">  一 般 规 定</w:t>
      </w:r>
      <w:bookmarkEnd w:id="198"/>
    </w:p>
    <w:p w14:paraId="59E4A5DA">
      <w:pPr>
        <w:pStyle w:val="5"/>
        <w:rPr>
          <w:highlight w:val="none"/>
        </w:rPr>
      </w:pPr>
      <w:r>
        <w:rPr>
          <w:b/>
          <w:highlight w:val="none"/>
        </w:rPr>
        <w:t>9.1.1</w:t>
      </w:r>
      <w:r>
        <w:rPr>
          <w:highlight w:val="none"/>
        </w:rPr>
        <w:t xml:space="preserve">  综合管廊内的管线应进行专项设计，并应符合本标准相关规定。本章所指管线为纳入综合管廊的城市工程管线，不包含综合管廊附属设施中的自用管线。</w:t>
      </w:r>
    </w:p>
    <w:p w14:paraId="3CEDA370">
      <w:pPr>
        <w:pStyle w:val="5"/>
        <w:rPr>
          <w:highlight w:val="none"/>
        </w:rPr>
      </w:pPr>
      <w:r>
        <w:rPr>
          <w:b/>
          <w:highlight w:val="none"/>
        </w:rPr>
        <w:t>9.1.3</w:t>
      </w:r>
      <w:r>
        <w:rPr>
          <w:highlight w:val="none"/>
        </w:rPr>
        <w:t xml:space="preserve">  本条规定目的是综合管廊管理单位能够对综合管廊和廊内管线进行全面管理。当出现紧急情况时，经专业管线单位确认，综合管廊运营维护单位可对管线配套设备进行必要的应急控制。</w:t>
      </w:r>
    </w:p>
    <w:p w14:paraId="3EEB6C94">
      <w:pPr>
        <w:pStyle w:val="5"/>
        <w:rPr>
          <w:highlight w:val="none"/>
        </w:rPr>
      </w:pPr>
      <w:r>
        <w:rPr>
          <w:b/>
          <w:highlight w:val="none"/>
        </w:rPr>
        <w:t>9.1.4</w:t>
      </w:r>
      <w:r>
        <w:rPr>
          <w:highlight w:val="none"/>
        </w:rPr>
        <w:t xml:space="preserve">  综合管廊内的管道应当有良好的力学性能，以保证管道自身在正常使用工况下的安全运行，此外尚要考虑管道在综合管廊内部安装维修的便捷性。建议在一般情况下选用高强度、轻质、韧性好的金属材料管道或复合材料管道，如钢管和钢骨架塑料复合管等。</w:t>
      </w:r>
    </w:p>
    <w:p w14:paraId="738CA234">
      <w:pPr>
        <w:pStyle w:val="5"/>
        <w:rPr>
          <w:highlight w:val="none"/>
        </w:rPr>
      </w:pPr>
      <w:r>
        <w:rPr>
          <w:b/>
          <w:highlight w:val="none"/>
        </w:rPr>
        <w:t xml:space="preserve">9.1.7 </w:t>
      </w:r>
      <w:r>
        <w:rPr>
          <w:highlight w:val="none"/>
        </w:rPr>
        <w:t xml:space="preserve"> 介质输送管道指输送液体或气体的管道。</w:t>
      </w:r>
    </w:p>
    <w:p w14:paraId="6EFF86EB">
      <w:pPr>
        <w:pStyle w:val="5"/>
        <w:rPr>
          <w:highlight w:val="none"/>
        </w:rPr>
      </w:pPr>
      <w:r>
        <w:rPr>
          <w:b/>
          <w:highlight w:val="none"/>
        </w:rPr>
        <w:t>9.1.10</w:t>
      </w:r>
      <w:r>
        <w:rPr>
          <w:highlight w:val="none"/>
        </w:rPr>
        <w:t xml:space="preserve">  考虑到管道发生事故时的应急处理需要，在综合管廊外设置可以便于抢险人员安全关闭阀门的阀门井。</w:t>
      </w:r>
    </w:p>
    <w:p w14:paraId="66263AC6">
      <w:pPr>
        <w:pStyle w:val="5"/>
        <w:rPr>
          <w:highlight w:val="none"/>
        </w:rPr>
      </w:pPr>
      <w:bookmarkStart w:id="199" w:name="_Toc37689845"/>
      <w:r>
        <w:rPr>
          <w:b/>
          <w:highlight w:val="none"/>
        </w:rPr>
        <w:t>9.1.11</w:t>
      </w:r>
      <w:r>
        <w:rPr>
          <w:highlight w:val="none"/>
        </w:rPr>
        <w:t xml:space="preserve">  管道内输送的介质一般为液体或气体，为了便于管理，往往需要在管道的交叉处设置阀门进行控制。阀门的控制可分为电动阀门和手动阀门两种。由于阀门占用空间较大，应予以考虑。</w:t>
      </w:r>
    </w:p>
    <w:p w14:paraId="0A440CB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9.2</w:t>
      </w:r>
      <w:r>
        <w:rPr>
          <w:color w:val="000000" w:themeColor="text1"/>
          <w:highlight w:val="none"/>
          <w14:textFill>
            <w14:solidFill>
              <w14:schemeClr w14:val="tx1"/>
            </w14:solidFill>
          </w14:textFill>
        </w:rPr>
        <w:t xml:space="preserve">  给水、再生水管道</w:t>
      </w:r>
      <w:bookmarkEnd w:id="199"/>
    </w:p>
    <w:p w14:paraId="7F692D1E">
      <w:pPr>
        <w:pStyle w:val="5"/>
        <w:rPr>
          <w:highlight w:val="none"/>
        </w:rPr>
      </w:pPr>
      <w:r>
        <w:rPr>
          <w:b/>
          <w:highlight w:val="none"/>
        </w:rPr>
        <w:t>9.2.2</w:t>
      </w:r>
      <w:r>
        <w:rPr>
          <w:highlight w:val="none"/>
        </w:rPr>
        <w:t xml:space="preserve">  本条是关于管材和接口的规定。为保证管道运行安全，减少支墩所占空间，规定一般采用刚性接口。管道沟槽式连接又称为卡箍连接，具有柔性特点，使管路具有抗震动、抗收缩和膨胀的能力，便于安装拆卸。当管道接口为柔性连接时，应有抗拉脱稳定的措施。</w:t>
      </w:r>
    </w:p>
    <w:p w14:paraId="4CFC04A4">
      <w:pPr>
        <w:pStyle w:val="5"/>
        <w:rPr>
          <w:highlight w:val="none"/>
        </w:rPr>
      </w:pPr>
      <w:r>
        <w:rPr>
          <w:b/>
          <w:highlight w:val="none"/>
        </w:rPr>
        <w:t>9.2.4</w:t>
      </w:r>
      <w:r>
        <w:rPr>
          <w:highlight w:val="none"/>
        </w:rPr>
        <w:t xml:space="preserve">  管廊内给水管道外部条件与建筑内给水管道类似，可参考《建筑给水排水设计规范》GB 50015。为保证阀门耐腐蚀、耐用，不应使用镀铜铁杆、铁芯阀门。</w:t>
      </w:r>
    </w:p>
    <w:p w14:paraId="045D3000">
      <w:pPr>
        <w:pStyle w:val="5"/>
        <w:rPr>
          <w:highlight w:val="none"/>
        </w:rPr>
      </w:pPr>
      <w:r>
        <w:rPr>
          <w:b/>
          <w:highlight w:val="none"/>
        </w:rPr>
        <w:t xml:space="preserve">9.2.6 </w:t>
      </w:r>
      <w:r>
        <w:rPr>
          <w:highlight w:val="none"/>
        </w:rPr>
        <w:t xml:space="preserve"> 给水管道一般设在综合舱内，与供热管道或电力线路同舱时，舱内温度会升高，导致给水管道水温升高造成“热污染”，给细菌繁殖提供了良好的环境。此外，夏季管廊舱室内空气湿度较大，给水管道温度较低，容易在管道外表面结露，为避免或减少结露对管道及相关附件的影响，宜设置保温层或防潮层。</w:t>
      </w:r>
    </w:p>
    <w:p w14:paraId="5ADD5182">
      <w:pPr>
        <w:pStyle w:val="5"/>
        <w:rPr>
          <w:highlight w:val="none"/>
        </w:rPr>
      </w:pPr>
      <w:bookmarkStart w:id="200" w:name="_Toc37689846"/>
      <w:r>
        <w:rPr>
          <w:b/>
          <w:highlight w:val="none"/>
        </w:rPr>
        <w:t xml:space="preserve">9.2.10 </w:t>
      </w:r>
      <w:r>
        <w:rPr>
          <w:highlight w:val="none"/>
        </w:rPr>
        <w:t xml:space="preserve"> 管道泄水口邻近综合管廊集水坑布置，避免泄水时水量较大溢出综合管廊排水边沟。</w:t>
      </w:r>
    </w:p>
    <w:p w14:paraId="43A2925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9.3</w:t>
      </w:r>
      <w:r>
        <w:rPr>
          <w:color w:val="000000" w:themeColor="text1"/>
          <w:highlight w:val="none"/>
          <w14:textFill>
            <w14:solidFill>
              <w14:schemeClr w14:val="tx1"/>
            </w14:solidFill>
          </w14:textFill>
        </w:rPr>
        <w:t xml:space="preserve">  排 水 管 渠</w:t>
      </w:r>
      <w:bookmarkEnd w:id="200"/>
    </w:p>
    <w:p w14:paraId="7064FC2B">
      <w:pPr>
        <w:pStyle w:val="5"/>
        <w:rPr>
          <w:highlight w:val="none"/>
        </w:rPr>
      </w:pPr>
      <w:r>
        <w:rPr>
          <w:b/>
          <w:highlight w:val="none"/>
        </w:rPr>
        <w:t>9.3.2</w:t>
      </w:r>
      <w:r>
        <w:rPr>
          <w:highlight w:val="none"/>
        </w:rPr>
        <w:t xml:space="preserve">  雨水管渠、污水管道进入综合管廊前应设置检修闸门、闸槽或沉泥井等设施，有利于管渠的事故处置及维修。有条件时，雨水管渠进入综合管廊前宜截流初期雨水。</w:t>
      </w:r>
    </w:p>
    <w:p w14:paraId="25585967">
      <w:pPr>
        <w:pStyle w:val="5"/>
        <w:rPr>
          <w:highlight w:val="none"/>
        </w:rPr>
      </w:pPr>
      <w:r>
        <w:rPr>
          <w:b/>
          <w:highlight w:val="none"/>
        </w:rPr>
        <w:t>9.3.3</w:t>
      </w:r>
      <w:r>
        <w:rPr>
          <w:highlight w:val="none"/>
        </w:rPr>
        <w:t xml:space="preserve">  关于管材和接口的规定：为保证综合管廊的运行安全，应适当提高进入综合管廊的雨水、污水管道管材选用标准，防止意外情况发生损坏雨水、污水管道。为保证管道运行安全，减少支墩所占空间，规定一般采用刚性接口。管道沟槽式连接又称为卡箍连接，具有柔性特点，使管路具有抗震动、抗收缩和膨胀的能力，便于安装拆卸。</w:t>
      </w:r>
    </w:p>
    <w:p w14:paraId="1583527C">
      <w:pPr>
        <w:pStyle w:val="5"/>
        <w:rPr>
          <w:highlight w:val="none"/>
        </w:rPr>
      </w:pPr>
      <w:r>
        <w:rPr>
          <w:b/>
          <w:highlight w:val="none"/>
        </w:rPr>
        <w:t>9.3.6</w:t>
      </w:r>
      <w:r>
        <w:rPr>
          <w:highlight w:val="none"/>
        </w:rPr>
        <w:t xml:space="preserve">  压力流管道高点处设置的排气阀及重力流管道设置的排气井（检查井）等通气装置排除的气体，应直接排至综合管廊以外的大气中，其引出位置应协调考虑周边环境，避开人流密集或可能对环境造成影响的区域。</w:t>
      </w:r>
    </w:p>
    <w:p w14:paraId="22E70CEB">
      <w:pPr>
        <w:pStyle w:val="5"/>
        <w:rPr>
          <w:highlight w:val="none"/>
        </w:rPr>
      </w:pPr>
      <w:r>
        <w:rPr>
          <w:b/>
          <w:highlight w:val="none"/>
        </w:rPr>
        <w:t>9.3.7</w:t>
      </w:r>
      <w:r>
        <w:rPr>
          <w:highlight w:val="none"/>
        </w:rPr>
        <w:t xml:space="preserve">  压力流排水管道的检查口和清扫口等应根据需要设置，具体做法可参考现行国家标准《建筑给水排水设计规范》GB 50015相关条文。</w:t>
      </w:r>
    </w:p>
    <w:p w14:paraId="63E580DD">
      <w:pPr>
        <w:pStyle w:val="42"/>
        <w:overflowPunct w:val="0"/>
        <w:spacing w:line="348" w:lineRule="exact"/>
        <w:ind w:firstLine="422"/>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t>综合管廊内重力流排水管道的运行有可能受到综合管廊外上、下游排水系统水位波动变化、突发冲击负荷等情况的影响，因此应适当提高进入综合管廊的雨水、污水管道强度标准，保证管道运行安全。条件许可时，可考虑在综合管廊外上、下游雨水系统设置溢流或调蓄设施以避免对综合管廊的运行造成危害。</w:t>
      </w:r>
    </w:p>
    <w:p w14:paraId="768D96D7">
      <w:pPr>
        <w:pStyle w:val="4"/>
        <w:spacing w:before="156" w:after="156"/>
        <w:rPr>
          <w:b/>
          <w:color w:val="000000" w:themeColor="text1"/>
          <w:highlight w:val="none"/>
          <w14:textFill>
            <w14:solidFill>
              <w14:schemeClr w14:val="tx1"/>
            </w14:solidFill>
          </w14:textFill>
        </w:rPr>
      </w:pPr>
      <w:bookmarkStart w:id="201" w:name="_Toc37689847"/>
      <w:r>
        <w:rPr>
          <w:b/>
          <w:bCs w:val="0"/>
          <w:color w:val="000000" w:themeColor="text1"/>
          <w:highlight w:val="none"/>
          <w14:textFill>
            <w14:solidFill>
              <w14:schemeClr w14:val="tx1"/>
            </w14:solidFill>
          </w14:textFill>
        </w:rPr>
        <w:t>9.4</w:t>
      </w:r>
      <w:r>
        <w:rPr>
          <w:color w:val="000000" w:themeColor="text1"/>
          <w:highlight w:val="none"/>
          <w14:textFill>
            <w14:solidFill>
              <w14:schemeClr w14:val="tx1"/>
            </w14:solidFill>
          </w14:textFill>
        </w:rPr>
        <w:t xml:space="preserve">  天然气管道</w:t>
      </w:r>
      <w:bookmarkEnd w:id="201"/>
    </w:p>
    <w:p w14:paraId="0AC61FC7">
      <w:pPr>
        <w:pStyle w:val="5"/>
        <w:rPr>
          <w:highlight w:val="none"/>
        </w:rPr>
      </w:pPr>
      <w:bookmarkStart w:id="202" w:name="_Hlk16401463"/>
      <w:r>
        <w:rPr>
          <w:b/>
          <w:highlight w:val="none"/>
        </w:rPr>
        <w:t>9.4.2</w:t>
      </w:r>
      <w:r>
        <w:rPr>
          <w:highlight w:val="none"/>
        </w:rPr>
        <w:t xml:space="preserve">  依据现行国家标准《城镇燃气设计规范》GB 50028的规定，为确保天然气管道及综合管廊的安全，作出此规定；钢管标准根据现行国家标准《城镇燃气设计规范》GB 50028进行选择，可选择GB/T 9711、GB 8163，或不低于这两个标准的钢管。</w:t>
      </w:r>
    </w:p>
    <w:bookmarkEnd w:id="202"/>
    <w:p w14:paraId="278F1F6D">
      <w:pPr>
        <w:pStyle w:val="5"/>
        <w:rPr>
          <w:highlight w:val="none"/>
        </w:rPr>
      </w:pPr>
      <w:r>
        <w:rPr>
          <w:b/>
          <w:highlight w:val="none"/>
        </w:rPr>
        <w:t>9.4.3</w:t>
      </w:r>
      <w:r>
        <w:rPr>
          <w:highlight w:val="none"/>
        </w:rPr>
        <w:t xml:space="preserve">  天然气管道泄漏是造成燃烧及爆炸事故的根源，为保证纳入综合管廊后的安全，对天然气管道的探伤提出严格要求。</w:t>
      </w:r>
    </w:p>
    <w:p w14:paraId="62A9CA5E">
      <w:pPr>
        <w:pStyle w:val="5"/>
        <w:rPr>
          <w:highlight w:val="none"/>
        </w:rPr>
      </w:pPr>
      <w:r>
        <w:rPr>
          <w:b/>
          <w:highlight w:val="none"/>
        </w:rPr>
        <w:t>9.4.7</w:t>
      </w:r>
      <w:r>
        <w:rPr>
          <w:highlight w:val="none"/>
        </w:rPr>
        <w:t xml:space="preserve">  为减少释放源，应尽可能不在天然气管道舱内设置阀门。远程关闭阀门由天然气管线主管部门负责。其监测控制信号应上传至天然气管线主管部门，同时传一路监视信号至综合管廊控制中心便于协调。</w:t>
      </w:r>
    </w:p>
    <w:p w14:paraId="7C069BA5">
      <w:pPr>
        <w:pStyle w:val="5"/>
        <w:rPr>
          <w:highlight w:val="none"/>
        </w:rPr>
      </w:pPr>
      <w:bookmarkStart w:id="203" w:name="_Toc37689848"/>
      <w:r>
        <w:rPr>
          <w:b/>
          <w:highlight w:val="none"/>
        </w:rPr>
        <w:t xml:space="preserve">9.4.8 </w:t>
      </w:r>
      <w:r>
        <w:rPr>
          <w:highlight w:val="none"/>
        </w:rPr>
        <w:t xml:space="preserve"> 紧急切断阀远程关闭阀门由天然气管线主管部门负责。其监视控制信号应上传至天然气管线主管部门，同时传一路监视信号至综合管廊控制中心便于协调。</w:t>
      </w:r>
    </w:p>
    <w:p w14:paraId="391C629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t xml:space="preserve">  热 力 管 道</w:t>
      </w:r>
      <w:bookmarkEnd w:id="203"/>
    </w:p>
    <w:p w14:paraId="796BD1E4">
      <w:pPr>
        <w:pStyle w:val="5"/>
        <w:rPr>
          <w:highlight w:val="none"/>
        </w:rPr>
      </w:pPr>
      <w:r>
        <w:rPr>
          <w:b/>
          <w:highlight w:val="none"/>
        </w:rPr>
        <w:t>9.5.1</w:t>
      </w:r>
      <w:r>
        <w:rPr>
          <w:highlight w:val="none"/>
        </w:rPr>
        <w:t xml:space="preserve">  </w:t>
      </w:r>
      <w:r>
        <w:rPr>
          <w:rFonts w:hint="eastAsia"/>
          <w:highlight w:val="none"/>
          <w:lang w:val="en-US" w:eastAsia="zh-CN"/>
        </w:rPr>
        <w:t>作</w:t>
      </w:r>
      <w:r>
        <w:rPr>
          <w:highlight w:val="none"/>
        </w:rPr>
        <w:t>为市政基础设施的供热管网，对管道的可靠性和施工的便捷性要求比较高，因此对进入综合管廊的热力管道提出要求。</w:t>
      </w:r>
    </w:p>
    <w:p w14:paraId="576D34C3">
      <w:pPr>
        <w:pStyle w:val="5"/>
        <w:rPr>
          <w:highlight w:val="none"/>
        </w:rPr>
      </w:pPr>
      <w:r>
        <w:rPr>
          <w:b/>
          <w:highlight w:val="none"/>
        </w:rPr>
        <w:t>9.5.4</w:t>
      </w:r>
      <w:r>
        <w:rPr>
          <w:highlight w:val="none"/>
        </w:rPr>
        <w:t xml:space="preserve">  尽管热力管道采用一体化的预制管，但是热力管道上的阀门、法兰等管件、管托、仪表件等附件必须进行现场安装，为降低这些管道附件散热对舱室温度的影响，必须对该部分进行防腐、保温，并符合现行国家标准的有关规定。管道附件在保温前须进行防腐处理，按照设计温度来选择涂漆方法，涂料不应散发有害气体，在涂漆前进行外表面喷（抛）射除锈，磨光钢材的棱角锐边和焊缝、焊渣等突起物，按照防腐要求进行表面处理，涂漆应在干燥的环境下完成，漆膜在完全干燥后方可接触潮湿，现场焊缝涂漆应在水压试验合格后进行。</w:t>
      </w:r>
    </w:p>
    <w:p w14:paraId="48AD5DD7">
      <w:pPr>
        <w:pStyle w:val="5"/>
        <w:rPr>
          <w:highlight w:val="none"/>
        </w:rPr>
      </w:pPr>
      <w:bookmarkStart w:id="204" w:name="_Toc37689849"/>
      <w:r>
        <w:rPr>
          <w:b/>
          <w:highlight w:val="none"/>
        </w:rPr>
        <w:t>9.5.10</w:t>
      </w:r>
      <w:r>
        <w:rPr>
          <w:highlight w:val="none"/>
        </w:rPr>
        <w:t xml:space="preserve">  城镇热力管道压力管道级别为GB类的GB2级，适用于热水介质设计压力</w:t>
      </w:r>
      <w:r>
        <w:rPr>
          <w:rFonts w:hint="eastAsia" w:ascii="Cambria Math" w:hAnsi="Cambria Math" w:cs="Cambria Math"/>
          <w:highlight w:val="none"/>
        </w:rPr>
        <w:t>≤</w:t>
      </w:r>
      <w:r>
        <w:rPr>
          <w:highlight w:val="none"/>
        </w:rPr>
        <w:t>2.5MPa、设计温度</w:t>
      </w:r>
      <w:r>
        <w:rPr>
          <w:rFonts w:hint="eastAsia"/>
          <w:highlight w:val="none"/>
        </w:rPr>
        <w:t>≤</w:t>
      </w:r>
      <w:r>
        <w:rPr>
          <w:highlight w:val="none"/>
        </w:rPr>
        <w:t>200°C的城镇供热管道和蒸汽介质设计温度</w:t>
      </w:r>
      <w:r>
        <w:rPr>
          <w:rFonts w:hint="eastAsia" w:ascii="Cambria Math" w:hAnsi="Cambria Math" w:cs="Cambria Math"/>
          <w:highlight w:val="none"/>
        </w:rPr>
        <w:t>≤</w:t>
      </w:r>
      <w:r>
        <w:rPr>
          <w:highlight w:val="none"/>
        </w:rPr>
        <w:t>350°C的城镇供热管道。</w:t>
      </w:r>
    </w:p>
    <w:p w14:paraId="0952BF64">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9.6</w:t>
      </w:r>
      <w:r>
        <w:rPr>
          <w:color w:val="000000" w:themeColor="text1"/>
          <w:highlight w:val="none"/>
          <w14:textFill>
            <w14:solidFill>
              <w14:schemeClr w14:val="tx1"/>
            </w14:solidFill>
          </w14:textFill>
        </w:rPr>
        <w:t xml:space="preserve">  电 力 电 缆</w:t>
      </w:r>
      <w:bookmarkEnd w:id="204"/>
    </w:p>
    <w:p w14:paraId="681873AE">
      <w:pPr>
        <w:pStyle w:val="5"/>
        <w:rPr>
          <w:highlight w:val="none"/>
        </w:rPr>
      </w:pPr>
      <w:r>
        <w:rPr>
          <w:b/>
          <w:highlight w:val="none"/>
        </w:rPr>
        <w:t>9.6.1</w:t>
      </w:r>
      <w:r>
        <w:rPr>
          <w:highlight w:val="none"/>
        </w:rPr>
        <w:t xml:space="preserve">  综合管廊内的电力电缆一般成束敷设，为了减少电缆可能着火蔓延导致严重事故，要求综合管廊内的电力电缆具备阻燃特性或不燃性，对综合管廊内的电力电缆进行专项设计时，应遵守本条文。</w:t>
      </w:r>
    </w:p>
    <w:p w14:paraId="7EECF812">
      <w:pPr>
        <w:pStyle w:val="5"/>
        <w:rPr>
          <w:highlight w:val="none"/>
        </w:rPr>
      </w:pPr>
      <w:r>
        <w:rPr>
          <w:b/>
          <w:highlight w:val="none"/>
        </w:rPr>
        <w:t xml:space="preserve">9.6.2 </w:t>
      </w:r>
      <w:r>
        <w:rPr>
          <w:highlight w:val="none"/>
        </w:rPr>
        <w:t xml:space="preserve"> 电力电缆发生火灾主要是由于电力线路过载引起电缆温升超限，尤其是在电缆接头处影响最为明显，最易发生火灾事故。为确保综合管廊安全运行，故对进入综合管廊的电力电缆提出电气火灾监控与自动灭火的规定。</w:t>
      </w:r>
    </w:p>
    <w:p w14:paraId="691919A1">
      <w:pPr>
        <w:pStyle w:val="5"/>
        <w:rPr>
          <w:highlight w:val="none"/>
        </w:rPr>
      </w:pPr>
      <w:r>
        <w:rPr>
          <w:b/>
          <w:highlight w:val="none"/>
        </w:rPr>
        <w:t>9.6.3</w:t>
      </w:r>
      <w:r>
        <w:rPr>
          <w:highlight w:val="none"/>
        </w:rPr>
        <w:t xml:space="preserve">  综合管廊内电力支架的规格的最终确定，除应符合现行国家标准《电力工程电缆设计标准》GB 50217和《交流电气装置的接地设计规范》GB/T 50065的有关规定，还应和当地供电局核实入廊电力电缆的规格型号，以便确认电力电缆的重量，为电力支架的规格确定提供依据。</w:t>
      </w:r>
    </w:p>
    <w:p w14:paraId="3305F7DB">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《电力工程电缆设计标准》GB 50217中对支架设计的一般要求进行了明确，诸如：断面布置时层间距、最上层和最下层布置尺寸等最小净距要求、设计强度等一般原则，这里不再赘述。同时，本条在其基础上补充了电缆支架设计的一些基本原则。</w:t>
      </w:r>
    </w:p>
    <w:p w14:paraId="07026248">
      <w:pPr>
        <w:pStyle w:val="4"/>
        <w:spacing w:before="156" w:after="156"/>
        <w:rPr>
          <w:b/>
          <w:color w:val="000000" w:themeColor="text1"/>
          <w:highlight w:val="none"/>
          <w14:textFill>
            <w14:solidFill>
              <w14:schemeClr w14:val="tx1"/>
            </w14:solidFill>
          </w14:textFill>
        </w:rPr>
      </w:pPr>
      <w:bookmarkStart w:id="205" w:name="_Toc37689850"/>
      <w:r>
        <w:rPr>
          <w:b/>
          <w:bCs w:val="0"/>
          <w:color w:val="000000" w:themeColor="text1"/>
          <w:highlight w:val="none"/>
          <w14:textFill>
            <w14:solidFill>
              <w14:schemeClr w14:val="tx1"/>
            </w14:solidFill>
          </w14:textFill>
        </w:rPr>
        <w:t>9.7</w:t>
      </w:r>
      <w:r>
        <w:rPr>
          <w:color w:val="000000" w:themeColor="text1"/>
          <w:highlight w:val="none"/>
          <w14:textFill>
            <w14:solidFill>
              <w14:schemeClr w14:val="tx1"/>
            </w14:solidFill>
          </w14:textFill>
        </w:rPr>
        <w:t xml:space="preserve">  通 信 线 缆</w:t>
      </w:r>
      <w:bookmarkEnd w:id="205"/>
    </w:p>
    <w:p w14:paraId="295D6936">
      <w:pPr>
        <w:pStyle w:val="5"/>
        <w:rPr>
          <w:highlight w:val="none"/>
        </w:rPr>
      </w:pPr>
      <w:bookmarkStart w:id="206" w:name="_Toc12980680"/>
      <w:bookmarkStart w:id="207" w:name="_Toc37689851"/>
      <w:r>
        <w:rPr>
          <w:b/>
          <w:highlight w:val="none"/>
        </w:rPr>
        <w:t xml:space="preserve">9.7.2 </w:t>
      </w:r>
      <w:r>
        <w:rPr>
          <w:highlight w:val="none"/>
        </w:rPr>
        <w:t xml:space="preserve"> 电力电缆、通信线缆同舱敷设时，为减少电磁辐射对通信信号的干扰，宜采用光缆等具有防电磁干扰特性的缆线；当采用其他通信线缆时，应有屏蔽防干扰措施。</w:t>
      </w:r>
    </w:p>
    <w:p w14:paraId="4F4980F9">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9.8</w:t>
      </w:r>
      <w:r>
        <w:rPr>
          <w:color w:val="000000" w:themeColor="text1"/>
          <w:highlight w:val="none"/>
          <w14:textFill>
            <w14:solidFill>
              <w14:schemeClr w14:val="tx1"/>
            </w14:solidFill>
          </w14:textFill>
        </w:rPr>
        <w:t xml:space="preserve">  空调水系统管道</w:t>
      </w:r>
      <w:bookmarkEnd w:id="206"/>
      <w:bookmarkEnd w:id="207"/>
    </w:p>
    <w:p w14:paraId="55AFCB6D">
      <w:pPr>
        <w:pStyle w:val="5"/>
        <w:rPr>
          <w:highlight w:val="none"/>
        </w:rPr>
      </w:pPr>
      <w:r>
        <w:rPr>
          <w:b/>
          <w:highlight w:val="none"/>
        </w:rPr>
        <w:t xml:space="preserve">9.8.2 </w:t>
      </w:r>
      <w:r>
        <w:rPr>
          <w:highlight w:val="none"/>
        </w:rPr>
        <w:t xml:space="preserve"> 空调水系统管道及附件应进行保温设计，应符合现行国家标准《设备及管道绝热技术通则》GB/T 4272、《设备及管道绝热设计导则》GB/T 8175和《工业设备及管道绝热工程设计规范》GB 50264的有关规定。</w:t>
      </w:r>
    </w:p>
    <w:p w14:paraId="7B48E3D4">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5313F1B9">
      <w:pPr>
        <w:pStyle w:val="2"/>
        <w:rPr>
          <w:color w:val="000000" w:themeColor="text1"/>
          <w:highlight w:val="none"/>
          <w14:textFill>
            <w14:solidFill>
              <w14:schemeClr w14:val="tx1"/>
            </w14:solidFill>
          </w14:textFill>
        </w:rPr>
      </w:pPr>
      <w:bookmarkStart w:id="208" w:name="_Toc37689861"/>
      <w:r>
        <w:rPr>
          <w:color w:val="000000" w:themeColor="text1"/>
          <w:highlight w:val="none"/>
          <w14:textFill>
            <w14:solidFill>
              <w14:schemeClr w14:val="tx1"/>
            </w14:solidFill>
          </w14:textFill>
        </w:rPr>
        <w:t xml:space="preserve">10  </w:t>
      </w:r>
      <w:r>
        <w:rPr>
          <w:b w:val="0"/>
          <w:bCs w:val="0"/>
          <w:color w:val="000000" w:themeColor="text1"/>
          <w:highlight w:val="none"/>
          <w14:textFill>
            <w14:solidFill>
              <w14:schemeClr w14:val="tx1"/>
            </w14:solidFill>
          </w14:textFill>
        </w:rPr>
        <w:t>结构施工</w:t>
      </w:r>
      <w:bookmarkEnd w:id="208"/>
    </w:p>
    <w:p w14:paraId="69126042">
      <w:pPr>
        <w:pStyle w:val="4"/>
        <w:spacing w:before="156" w:after="156"/>
        <w:rPr>
          <w:b/>
          <w:color w:val="000000" w:themeColor="text1"/>
          <w:highlight w:val="none"/>
          <w14:textFill>
            <w14:solidFill>
              <w14:schemeClr w14:val="tx1"/>
            </w14:solidFill>
          </w14:textFill>
        </w:rPr>
      </w:pPr>
      <w:bookmarkStart w:id="209" w:name="_Toc37689862"/>
      <w:r>
        <w:rPr>
          <w:b/>
          <w:bCs w:val="0"/>
          <w:color w:val="000000" w:themeColor="text1"/>
          <w:highlight w:val="none"/>
          <w14:textFill>
            <w14:solidFill>
              <w14:schemeClr w14:val="tx1"/>
            </w14:solidFill>
          </w14:textFill>
        </w:rPr>
        <w:t>10.1</w:t>
      </w:r>
      <w:r>
        <w:rPr>
          <w:color w:val="000000" w:themeColor="text1"/>
          <w:highlight w:val="none"/>
          <w14:textFill>
            <w14:solidFill>
              <w14:schemeClr w14:val="tx1"/>
            </w14:solidFill>
          </w14:textFill>
        </w:rPr>
        <w:t xml:space="preserve">  一 般 规 定</w:t>
      </w:r>
      <w:bookmarkEnd w:id="209"/>
    </w:p>
    <w:p w14:paraId="45E3D048">
      <w:pPr>
        <w:pStyle w:val="5"/>
        <w:rPr>
          <w:highlight w:val="none"/>
        </w:rPr>
      </w:pPr>
      <w:r>
        <w:rPr>
          <w:b/>
          <w:highlight w:val="none"/>
        </w:rPr>
        <w:t xml:space="preserve">10.1.1 </w:t>
      </w:r>
      <w:r>
        <w:rPr>
          <w:highlight w:val="none"/>
        </w:rPr>
        <w:t xml:space="preserve"> 综合管廊一般建设在城市的中心地区，周围环境复杂，况且基坑工程的施工具有一定的风险性和不可预见性，基坑周边环境安全与基坑安全具有同等重要性。同时涉及的线长面广，施工组织和管理的难度大。为了保证施工的顺利，应当对施工现场、地下管线</w:t>
      </w:r>
      <w:r>
        <w:rPr>
          <w:spacing w:val="6"/>
          <w:highlight w:val="none"/>
        </w:rPr>
        <w:t>和构筑物等进行详尽的调查，并了解施工临时用水、用电的供给情</w:t>
      </w:r>
      <w:r>
        <w:rPr>
          <w:highlight w:val="none"/>
        </w:rPr>
        <w:t>况。</w:t>
      </w:r>
    </w:p>
    <w:p w14:paraId="52A51808">
      <w:pPr>
        <w:pStyle w:val="5"/>
        <w:rPr>
          <w:highlight w:val="none"/>
        </w:rPr>
      </w:pPr>
      <w:r>
        <w:rPr>
          <w:b/>
          <w:highlight w:val="none"/>
        </w:rPr>
        <w:t>10.1.9</w:t>
      </w:r>
      <w:r>
        <w:rPr>
          <w:highlight w:val="none"/>
        </w:rPr>
        <w:t xml:space="preserve">  运用 BIM 技术进行直观的、可视化的施工过程模拟，进行施工工艺的比较和选择。综合管廊的建造多为地下作业，施工难度大，选择合理、便捷的施工方案显得尤为重要。对于特殊部位或特殊构件的施工，可以采用 BIM 技术进行多种施工方案的模拟，通过动态的施工过程模拟，比较多种方案的可实现性，为施工方案的择优选择提供依据。</w:t>
      </w:r>
    </w:p>
    <w:p w14:paraId="22281C98">
      <w:pPr>
        <w:pStyle w:val="59"/>
        <w:rPr>
          <w:color w:val="000000" w:themeColor="text1"/>
          <w:highlight w:val="none"/>
          <w:u w:val="none"/>
          <w14:textFill>
            <w14:solidFill>
              <w14:schemeClr w14:val="tx1"/>
            </w14:solidFill>
          </w14:textFill>
        </w:rPr>
      </w:pPr>
      <w:r>
        <w:rPr>
          <w:color w:val="000000" w:themeColor="text1"/>
          <w:highlight w:val="none"/>
          <w14:textFill>
            <w14:solidFill>
              <w14:schemeClr w14:val="tx1"/>
            </w14:solidFill>
          </w14:textFill>
        </w:rPr>
        <w:t>运用BIM技术进行4D模拟</w:t>
      </w:r>
      <w:r>
        <w:rPr>
          <w:color w:val="000000" w:themeColor="text1"/>
          <w:highlight w:val="none"/>
          <w:u w:val="none"/>
          <w14:textFill>
            <w14:solidFill>
              <w14:schemeClr w14:val="tx1"/>
            </w14:solidFill>
          </w14:textFill>
        </w:rPr>
        <w:t>施工现场，针对预制管节拼装过程中的止水带对位、盾构管片选型等关键环节进行三维碰撞检查，制定每日进度计划时需同步校验机械作业空间与管线预埋位置的协调性。通过4D模型可制作合理的施工计划，制定每月、每周甚至每天的进度计划，确定综合管廊的施工现场的资源和场地占用，在保证工期不延误的同时，可进行施工过程的预演，合理安排资源分配，避免施工机械、场地等冲突，还考察了施工方案的可实施性，提前发现并解决了施工时的安全隐患和矛盾冲突，保证了地下施工的安全。</w:t>
      </w:r>
    </w:p>
    <w:p w14:paraId="65A14160">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在传统施工方式下，由于技术条件和工作模式等方面的限制，预制混凝土部品、构件和现浇混凝土墙、板等的洞口很难实现预留，往往需要等到管线安装施工时才能准确确定洞口的大小和位置，只能采用后开洞口的方式实现管线的安装。后开洞口不仅会造成穿过洞口的钢筋被截断，产生安全质量隐患（对于预制构件隐患更大），BIM技术的应用可以完全突破传统方式的限制，在施工之前就能够预先精确确定各种洞口的尺寸和位置，避免施工过程中的各种开洞所产生的安全隐患，保障施工质量。</w:t>
      </w:r>
    </w:p>
    <w:p w14:paraId="30F3FE4A">
      <w:pPr>
        <w:pStyle w:val="4"/>
        <w:spacing w:before="156" w:after="156"/>
        <w:rPr>
          <w:b/>
          <w:color w:val="000000" w:themeColor="text1"/>
          <w:highlight w:val="none"/>
          <w:u w:val="none"/>
          <w14:textFill>
            <w14:solidFill>
              <w14:schemeClr w14:val="tx1"/>
            </w14:solidFill>
          </w14:textFill>
        </w:rPr>
      </w:pPr>
      <w:bookmarkStart w:id="210" w:name="_Toc37689863"/>
      <w:r>
        <w:rPr>
          <w:b/>
          <w:bCs w:val="0"/>
          <w:color w:val="000000" w:themeColor="text1"/>
          <w:highlight w:val="none"/>
          <w:u w:val="none"/>
          <w14:textFill>
            <w14:solidFill>
              <w14:schemeClr w14:val="tx1"/>
            </w14:solidFill>
          </w14:textFill>
        </w:rPr>
        <w:t>10.2</w:t>
      </w:r>
      <w:r>
        <w:rPr>
          <w:color w:val="000000" w:themeColor="text1"/>
          <w:highlight w:val="none"/>
          <w:u w:val="none"/>
          <w14:textFill>
            <w14:solidFill>
              <w14:schemeClr w14:val="tx1"/>
            </w14:solidFill>
          </w14:textFill>
        </w:rPr>
        <w:t xml:space="preserve">  施 工 测 量</w:t>
      </w:r>
      <w:bookmarkEnd w:id="210"/>
    </w:p>
    <w:p w14:paraId="6DB884CE">
      <w:pPr>
        <w:pStyle w:val="5"/>
        <w:rPr>
          <w:highlight w:val="none"/>
          <w:u w:val="none"/>
        </w:rPr>
      </w:pPr>
      <w:bookmarkStart w:id="211" w:name="_Hlk16447077"/>
      <w:bookmarkStart w:id="212" w:name="_Hlk16446740"/>
      <w:r>
        <w:rPr>
          <w:b/>
          <w:highlight w:val="none"/>
          <w:u w:val="none"/>
        </w:rPr>
        <w:t>10.2.2</w:t>
      </w:r>
      <w:r>
        <w:rPr>
          <w:highlight w:val="none"/>
          <w:u w:val="none"/>
        </w:rPr>
        <w:t xml:space="preserve">  进行现场踏勘，全面了解现场情况，了解拟建管廊与既有建（构）筑物的关系，了解施工现场道路的大概走向，确定控制点布设位置。对现场给定的平面控制点和高程控制点进行复测校核，以主控导线为基础在施工处进行加密布点，形成施工导线或控制网。</w:t>
      </w:r>
    </w:p>
    <w:p w14:paraId="21DA20D4">
      <w:pPr>
        <w:pStyle w:val="5"/>
        <w:rPr>
          <w:highlight w:val="none"/>
          <w:u w:val="none"/>
        </w:rPr>
      </w:pPr>
      <w:r>
        <w:rPr>
          <w:b/>
          <w:highlight w:val="none"/>
          <w:u w:val="none"/>
        </w:rPr>
        <w:t xml:space="preserve">10.2.4 </w:t>
      </w:r>
      <w:r>
        <w:rPr>
          <w:highlight w:val="none"/>
          <w:u w:val="none"/>
        </w:rPr>
        <w:t xml:space="preserve"> 管廊施工首先需要在地下开挖一条用于敷设各种管线的廊道。廊道中线要符合线路平面及纵断面设计要求，要在限差满足允许误差的范围条件下正确贯通，使廊道结构符合设计要求，避免施工浪费、减少成本。控制测量精度与贯通精度息息相关，为确保廊道在指定精度条件下贯通，就必须做好控制测量工作，尽可能减小控制测量的误差，提高控制测量精度。</w:t>
      </w:r>
    </w:p>
    <w:p w14:paraId="488EB535">
      <w:pPr>
        <w:pStyle w:val="5"/>
        <w:rPr>
          <w:highlight w:val="none"/>
          <w:u w:val="none"/>
        </w:rPr>
      </w:pPr>
      <w:r>
        <w:rPr>
          <w:b/>
          <w:highlight w:val="none"/>
          <w:u w:val="none"/>
        </w:rPr>
        <w:t>10.2.6</w:t>
      </w:r>
      <w:r>
        <w:rPr>
          <w:highlight w:val="none"/>
          <w:u w:val="none"/>
        </w:rPr>
        <w:t xml:space="preserve">  地下控制测量的误差是引起管廊暗挖洞身贯通误差的关键因素。因此，在进行地下暗挖洞身贯通测量时应根据工程需要布设相应的地下控制网。由于狭长的管线廊道空间使得地下平面控制网图形结构的选择受限，一般只能采用布设狭长导线网的形式来完成地下平面控制测量工作。</w:t>
      </w:r>
    </w:p>
    <w:p w14:paraId="1D458264">
      <w:pPr>
        <w:pStyle w:val="5"/>
        <w:rPr>
          <w:highlight w:val="none"/>
        </w:rPr>
      </w:pPr>
      <w:r>
        <w:rPr>
          <w:b/>
          <w:highlight w:val="none"/>
          <w:u w:val="none"/>
        </w:rPr>
        <w:t xml:space="preserve">10.2.7 </w:t>
      </w:r>
      <w:r>
        <w:rPr>
          <w:highlight w:val="none"/>
          <w:u w:val="none"/>
        </w:rPr>
        <w:t xml:space="preserve"> 利用</w:t>
      </w:r>
      <w:r>
        <w:rPr>
          <w:rFonts w:hint="eastAsia"/>
          <w:highlight w:val="none"/>
          <w:u w:val="none"/>
        </w:rPr>
        <w:t>GNSS</w:t>
      </w:r>
      <w:r>
        <w:rPr>
          <w:highlight w:val="none"/>
          <w:u w:val="none"/>
        </w:rPr>
        <w:t>网进行RTK单点放样，作业效率高，劳动强度低，但也有局限性，存在于</w:t>
      </w:r>
      <w:r>
        <w:rPr>
          <w:rFonts w:hint="eastAsia"/>
          <w:highlight w:val="none"/>
          <w:u w:val="none"/>
        </w:rPr>
        <w:t>GNSS</w:t>
      </w:r>
      <w:r>
        <w:rPr>
          <w:highlight w:val="none"/>
          <w:u w:val="none"/>
        </w:rPr>
        <w:t>接</w:t>
      </w:r>
      <w:r>
        <w:rPr>
          <w:highlight w:val="none"/>
        </w:rPr>
        <w:t>收机和卫星之间路径上的任何物体都会对系统的操作产生不良影响。有些物体如房屋，会完全屏蔽卫星信号，有些物体如树木会部分阻挡、反射或折射信号，信号清晰度难以达到厘米级水平的精确定位。在实际应用中，来自各方面的干扰，降低了RTK的可靠性和精度。</w:t>
      </w:r>
    </w:p>
    <w:bookmarkEnd w:id="211"/>
    <w:bookmarkEnd w:id="212"/>
    <w:p w14:paraId="2B328F89">
      <w:pPr>
        <w:pStyle w:val="5"/>
        <w:rPr>
          <w:highlight w:val="none"/>
        </w:rPr>
      </w:pPr>
      <w:bookmarkStart w:id="213" w:name="_Toc37689864"/>
      <w:r>
        <w:rPr>
          <w:b/>
          <w:highlight w:val="none"/>
        </w:rPr>
        <w:t>10.2.9</w:t>
      </w:r>
      <w:r>
        <w:rPr>
          <w:highlight w:val="none"/>
        </w:rPr>
        <w:t xml:space="preserve">  管廊竣工时，为了检查主要结构物是否符合设计要求和提供竣工资料，以及为将来运营中的检修工程和设备安装等提供测量控制点，最后须进行竣工测量。</w:t>
      </w:r>
    </w:p>
    <w:p w14:paraId="40C8DA7C">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10.3</w:t>
      </w:r>
      <w:r>
        <w:rPr>
          <w:color w:val="000000" w:themeColor="text1"/>
          <w:highlight w:val="none"/>
          <w14:textFill>
            <w14:solidFill>
              <w14:schemeClr w14:val="tx1"/>
            </w14:solidFill>
          </w14:textFill>
        </w:rPr>
        <w:t xml:space="preserve">  地基、沟槽（基坑）</w:t>
      </w:r>
      <w:bookmarkEnd w:id="213"/>
    </w:p>
    <w:p w14:paraId="4E4A276D">
      <w:pPr>
        <w:pStyle w:val="5"/>
        <w:rPr>
          <w:highlight w:val="none"/>
        </w:rPr>
      </w:pPr>
      <w:r>
        <w:rPr>
          <w:b/>
          <w:highlight w:val="none"/>
        </w:rPr>
        <w:t xml:space="preserve">10.3.5 </w:t>
      </w:r>
      <w:r>
        <w:rPr>
          <w:highlight w:val="none"/>
        </w:rPr>
        <w:t xml:space="preserve"> 综合管廊基坑的回填应尽快进行，以免长期暴露导致地下水和地表水侵入基坑，根据地下工程的验收要求，应当首先通过结构和防水工程验收，合格后，方能够进行下道工序的施工。</w:t>
      </w:r>
    </w:p>
    <w:p w14:paraId="37A69059">
      <w:pPr>
        <w:pStyle w:val="5"/>
        <w:rPr>
          <w:highlight w:val="none"/>
        </w:rPr>
      </w:pPr>
      <w:bookmarkStart w:id="214" w:name="_Toc37689865"/>
      <w:r>
        <w:rPr>
          <w:b/>
          <w:highlight w:val="none"/>
        </w:rPr>
        <w:t>10.3.7</w:t>
      </w:r>
      <w:r>
        <w:rPr>
          <w:highlight w:val="none"/>
        </w:rPr>
        <w:t xml:space="preserve">  综合管廊属于狭长形结构，两侧回填土的高度较高，如果两侧回填土不对称均匀回填，会产生较大的侧向压力差，严重时导致综合管廊的侧向滑动。</w:t>
      </w:r>
    </w:p>
    <w:p w14:paraId="05AC3EA6">
      <w:pPr>
        <w:pStyle w:val="4"/>
        <w:spacing w:before="156" w:after="156"/>
        <w:rPr>
          <w:rFonts w:hint="eastAsia" w:eastAsia="方正黑体简体"/>
          <w:b/>
          <w:color w:val="000000" w:themeColor="text1"/>
          <w:highlight w:val="none"/>
          <w:lang w:val="en-US" w:eastAsia="zh-CN"/>
          <w14:textFill>
            <w14:solidFill>
              <w14:schemeClr w14:val="tx1"/>
            </w14:solidFill>
          </w14:textFill>
        </w:rPr>
      </w:pPr>
      <w:r>
        <w:rPr>
          <w:b/>
          <w:bCs w:val="0"/>
          <w:color w:val="000000" w:themeColor="text1"/>
          <w:highlight w:val="none"/>
          <w14:textFill>
            <w14:solidFill>
              <w14:schemeClr w14:val="tx1"/>
            </w14:solidFill>
          </w14:textFill>
        </w:rPr>
        <w:t>10.4</w:t>
      </w:r>
      <w:r>
        <w:rPr>
          <w:color w:val="000000" w:themeColor="text1"/>
          <w:highlight w:val="none"/>
          <w14:textFill>
            <w14:solidFill>
              <w14:schemeClr w14:val="tx1"/>
            </w14:solidFill>
          </w14:textFill>
        </w:rPr>
        <w:t xml:space="preserve">  现浇结构</w:t>
      </w:r>
      <w:bookmarkEnd w:id="214"/>
      <w:r>
        <w:rPr>
          <w:rFonts w:hint="eastAsia"/>
          <w:color w:val="000000" w:themeColor="text1"/>
          <w:highlight w:val="none"/>
          <w:lang w:val="en-US" w:eastAsia="zh-CN"/>
          <w14:textFill>
            <w14:solidFill>
              <w14:schemeClr w14:val="tx1"/>
            </w14:solidFill>
          </w14:textFill>
        </w:rPr>
        <w:t>施工</w:t>
      </w:r>
    </w:p>
    <w:p w14:paraId="45D37FAA">
      <w:pPr>
        <w:pStyle w:val="5"/>
        <w:rPr>
          <w:highlight w:val="none"/>
        </w:rPr>
      </w:pPr>
      <w:r>
        <w:rPr>
          <w:b/>
          <w:highlight w:val="none"/>
        </w:rPr>
        <w:t>10.4.1、10.4.2</w:t>
      </w:r>
      <w:r>
        <w:rPr>
          <w:highlight w:val="none"/>
        </w:rPr>
        <w:t xml:space="preserve">  综合管廊现浇结构施工的模板工程人工、材料用量大，施工作业时间长，现场湿作业工作量大，需较长的混凝土养护增强时间，因而施工时应确定合理的模板工程方案，缩短作业周期，保证工程质量，提高施工效率。</w:t>
      </w:r>
    </w:p>
    <w:p w14:paraId="02ABABFD">
      <w:pPr>
        <w:pStyle w:val="5"/>
        <w:rPr>
          <w:highlight w:val="none"/>
        </w:rPr>
      </w:pPr>
      <w:r>
        <w:rPr>
          <w:b/>
          <w:highlight w:val="none"/>
        </w:rPr>
        <w:t>10.4.6-10.4.10</w:t>
      </w:r>
      <w:r>
        <w:rPr>
          <w:highlight w:val="none"/>
        </w:rPr>
        <w:t xml:space="preserve">  综合管廊为地下工程，在施工过程中施工缝是防水的薄弱部位，强调施工缝施工的重点事项。</w:t>
      </w:r>
    </w:p>
    <w:p w14:paraId="40372609">
      <w:pPr>
        <w:pStyle w:val="5"/>
        <w:rPr>
          <w:highlight w:val="none"/>
        </w:rPr>
      </w:pPr>
      <w:r>
        <w:rPr>
          <w:b/>
          <w:highlight w:val="none"/>
        </w:rPr>
        <w:t>10.4.13</w:t>
      </w:r>
      <w:r>
        <w:rPr>
          <w:highlight w:val="none"/>
        </w:rPr>
        <w:t xml:space="preserve">  带方型止水片的三节式对拉螺栓，三节拉杆和二个锥形接头均为定尺，并带限位机构，拧紧即可保证墙体厚度。中间一节拉杆留在混凝土内，两端锥形接头和拉杆拆除后可以周转使用。为防止接头处因封堵不严导致漏浆，要求锥形接头之间尺寸控制准确，锥截面与板面紧贴。</w:t>
      </w:r>
    </w:p>
    <w:p w14:paraId="5F613D13">
      <w:pPr>
        <w:pStyle w:val="5"/>
        <w:rPr>
          <w:highlight w:val="none"/>
        </w:rPr>
      </w:pPr>
      <w:bookmarkStart w:id="215" w:name="_Toc37689866"/>
      <w:r>
        <w:rPr>
          <w:b/>
          <w:highlight w:val="none"/>
        </w:rPr>
        <w:t>10.4.15</w:t>
      </w:r>
      <w:r>
        <w:rPr>
          <w:highlight w:val="none"/>
        </w:rPr>
        <w:t xml:space="preserve">  为避免顶板混凝土浇筑后裸露表面产生塑性收缩裂缝，在初凝、终凝前进行抹面处理是非常关键的。每次抹面可采用铁抹子压光磨平两遍或用木抹子磨平搓毛两遍的工艺方法。早期保水和补水养护不足对混凝土的强度发展和耐久性都有不利影响。早期水养护是使混凝土强度足够发展的基础，一般情况下补水养护时间要不少于7（d）天，最好能达到14（d）天左右。掺有粉煤灰的混凝土对温度湿度更加敏感，养护期间混凝土表面不得见干，养护剂不能用以代替水养护，只能用于终凝前代替塑料薄膜保湿。混凝土水灰比较低时不仅需要保持内部水分不蒸发，还要从环境中补水，否则会增加不可逆的自干燥收缩，引起开裂，影响混凝土的强度和耐久性。因此，混凝土的保水和补水养护十分重要。</w:t>
      </w:r>
    </w:p>
    <w:p w14:paraId="48C05326">
      <w:pPr>
        <w:pStyle w:val="4"/>
        <w:spacing w:before="156" w:after="156"/>
        <w:rPr>
          <w:rFonts w:hint="eastAsia" w:eastAsia="方正黑体简体"/>
          <w:b/>
          <w:color w:val="000000" w:themeColor="text1"/>
          <w:highlight w:val="none"/>
          <w:lang w:val="en-US" w:eastAsia="zh-CN"/>
          <w14:textFill>
            <w14:solidFill>
              <w14:schemeClr w14:val="tx1"/>
            </w14:solidFill>
          </w14:textFill>
        </w:rPr>
      </w:pPr>
      <w:r>
        <w:rPr>
          <w:b/>
          <w:bCs w:val="0"/>
          <w:color w:val="000000" w:themeColor="text1"/>
          <w:highlight w:val="none"/>
          <w14:textFill>
            <w14:solidFill>
              <w14:schemeClr w14:val="tx1"/>
            </w14:solidFill>
          </w14:textFill>
        </w:rPr>
        <w:t>10.5</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装配式</w:t>
      </w:r>
      <w:r>
        <w:rPr>
          <w:color w:val="000000" w:themeColor="text1"/>
          <w:highlight w:val="none"/>
          <w14:textFill>
            <w14:solidFill>
              <w14:schemeClr w14:val="tx1"/>
            </w14:solidFill>
          </w14:textFill>
        </w:rPr>
        <w:t>结构</w:t>
      </w:r>
      <w:bookmarkEnd w:id="215"/>
      <w:r>
        <w:rPr>
          <w:rFonts w:hint="eastAsia"/>
          <w:color w:val="000000" w:themeColor="text1"/>
          <w:highlight w:val="none"/>
          <w:lang w:val="en-US" w:eastAsia="zh-CN"/>
          <w14:textFill>
            <w14:solidFill>
              <w14:schemeClr w14:val="tx1"/>
            </w14:solidFill>
          </w14:textFill>
        </w:rPr>
        <w:t>施工</w:t>
      </w:r>
    </w:p>
    <w:p w14:paraId="4F12333D">
      <w:pPr>
        <w:pStyle w:val="5"/>
        <w:rPr>
          <w:highlight w:val="none"/>
        </w:rPr>
      </w:pPr>
      <w:r>
        <w:rPr>
          <w:b/>
          <w:highlight w:val="none"/>
        </w:rPr>
        <w:t xml:space="preserve">10.5.1 </w:t>
      </w:r>
      <w:r>
        <w:rPr>
          <w:highlight w:val="none"/>
        </w:rPr>
        <w:t xml:space="preserve"> 综合管廊预制构件的质量涉及工程质量和结构安全，制作单位应满足国家及地方有关部门对硬件设施、人员配置、质量管理体系和质量检测手段等方面的规定和要求。预制构件制作前，建设单位应组织设计、生产、施工单位进行技术交底。如预制构件制作详图无法满足制作要求，应进行深化设计和施工验算，完善预制构件制作详图和施工装配详图，避免在构件加工和施工过程中，出现错、漏、碰、缺等问题。对应预留的孔洞及预埋部件，应在构件加工前进行认真核对，以免现场剔凿，造成损失。构件制作单位应制定生产方案；生产方案应包括生产工艺、模具方案、生产计划、技术质量控制措施、成品保护、堆放及运输方案等内容。</w:t>
      </w:r>
    </w:p>
    <w:p w14:paraId="209D19A6">
      <w:pPr>
        <w:pStyle w:val="5"/>
        <w:rPr>
          <w:highlight w:val="none"/>
        </w:rPr>
      </w:pPr>
      <w:r>
        <w:rPr>
          <w:b/>
          <w:highlight w:val="none"/>
        </w:rPr>
        <w:t>10.5.2</w:t>
      </w:r>
      <w:r>
        <w:rPr>
          <w:highlight w:val="none"/>
        </w:rPr>
        <w:t xml:space="preserve">  预制装配式综合管廊采用工厂化制作的预制构件，采用精加工的钢模板可以确保构件的混凝土质量、尺寸精度。</w:t>
      </w:r>
    </w:p>
    <w:p w14:paraId="49F89D6A">
      <w:pPr>
        <w:pStyle w:val="5"/>
        <w:rPr>
          <w:highlight w:val="none"/>
          <w:u w:val="none"/>
        </w:rPr>
      </w:pPr>
      <w:r>
        <w:rPr>
          <w:b/>
          <w:highlight w:val="none"/>
        </w:rPr>
        <w:t xml:space="preserve">10.5.3 </w:t>
      </w:r>
      <w:r>
        <w:rPr>
          <w:highlight w:val="none"/>
        </w:rPr>
        <w:t xml:space="preserve"> 管道支架预埋滑槽，也叫哈芬槽，是一种C型预埋槽钢，通过预埋方式固定于混凝土中，并通过螺栓连接固定外部构件。哈芬的名称源于德国哈芬公司，此公司自1929年起生产预埋槽钢，起名为“哈芬槽”。在我国高速铁路已引进此项技术，并成功应用于武广、哈大、京沪等高铁线路上。具有：（1）滑槽采用工厂化加工及预埋，能够确保质量；（2）避免打孔，对结构不会造成任何损伤，保证了结构的耐久性；（3）管线安装操作简单，功效高，环境清洁；（4）运营期维护、更换管廊内设备、管线方便等优点</w:t>
      </w:r>
      <w:r>
        <w:rPr>
          <w:rFonts w:hint="eastAsia"/>
          <w:highlight w:val="none"/>
          <w:u w:val="none"/>
        </w:rPr>
        <w:t>；</w:t>
      </w:r>
      <w:r>
        <w:rPr>
          <w:highlight w:val="none"/>
          <w:u w:val="none"/>
        </w:rPr>
        <w:t>预埋滑槽（哈芬槽）采用工厂化加工，安装时需用专用橡胶塞密封槽口防止混凝土浇筑堵塞，固定点间距≤500mm，安装后需标注位置并纳入成品保护范围，严禁焊接作业直接烘烤滑槽。</w:t>
      </w:r>
    </w:p>
    <w:p w14:paraId="071DB94B">
      <w:pPr>
        <w:pStyle w:val="5"/>
        <w:rPr>
          <w:highlight w:val="none"/>
          <w:u w:val="none"/>
        </w:rPr>
      </w:pPr>
      <w:bookmarkStart w:id="216" w:name="_Toc37689867"/>
      <w:r>
        <w:rPr>
          <w:b/>
          <w:highlight w:val="none"/>
          <w:u w:val="none"/>
        </w:rPr>
        <w:t>10.5.14</w:t>
      </w:r>
      <w:r>
        <w:rPr>
          <w:highlight w:val="none"/>
          <w:u w:val="none"/>
        </w:rPr>
        <w:t xml:space="preserve">  首节段作为整孔拼装的基准面，其准确定位对于后续节段拼装就位非常关键。定位准确后，为了防止首节段在后续拼装时被撞发生偏移，采用首节段固定措施。</w:t>
      </w:r>
    </w:p>
    <w:p w14:paraId="7C89DA6F">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10.6</w:t>
      </w:r>
      <w:r>
        <w:rPr>
          <w:color w:val="000000" w:themeColor="text1"/>
          <w:highlight w:val="none"/>
          <w:u w:val="none"/>
          <w14:textFill>
            <w14:solidFill>
              <w14:schemeClr w14:val="tx1"/>
            </w14:solidFill>
          </w14:textFill>
        </w:rPr>
        <w:t xml:space="preserve">  预应力工程</w:t>
      </w:r>
      <w:bookmarkEnd w:id="216"/>
    </w:p>
    <w:p w14:paraId="02606DD2">
      <w:pPr>
        <w:pStyle w:val="5"/>
        <w:rPr>
          <w:highlight w:val="none"/>
          <w:u w:val="none"/>
        </w:rPr>
      </w:pPr>
      <w:r>
        <w:rPr>
          <w:b/>
          <w:highlight w:val="none"/>
          <w:u w:val="none"/>
        </w:rPr>
        <w:t xml:space="preserve">10.6.2 </w:t>
      </w:r>
      <w:r>
        <w:rPr>
          <w:highlight w:val="none"/>
          <w:u w:val="none"/>
        </w:rPr>
        <w:t xml:space="preserve"> 预应力筋采用氧—乙炔焰切割时，切完后端部不整齐头上会有瘤，张拉时装锚具会有麻烦，可能装不进去。采用电弧切割时产生飞溅及接地火花，高强预应力钢材受高温焊渣或接地火花损伤后，其材性会受较大影响，而且预应力筋截面也可能</w:t>
      </w:r>
      <w:r>
        <w:rPr>
          <w:rFonts w:hint="eastAsia"/>
          <w:highlight w:val="none"/>
          <w:u w:val="none"/>
          <w:lang w:val="en-US" w:eastAsia="zh-CN"/>
        </w:rPr>
        <w:t>受</w:t>
      </w:r>
      <w:r>
        <w:rPr>
          <w:highlight w:val="none"/>
          <w:u w:val="none"/>
        </w:rPr>
        <w:t>到损伤，易造成张拉时脆断，故应避免采用电弧切割。</w:t>
      </w:r>
    </w:p>
    <w:p w14:paraId="457AA6F6">
      <w:pPr>
        <w:pStyle w:val="5"/>
        <w:rPr>
          <w:highlight w:val="none"/>
          <w:u w:val="none"/>
        </w:rPr>
      </w:pPr>
      <w:r>
        <w:rPr>
          <w:b/>
          <w:highlight w:val="none"/>
          <w:u w:val="none"/>
        </w:rPr>
        <w:t xml:space="preserve">10.6.3 </w:t>
      </w:r>
      <w:r>
        <w:rPr>
          <w:highlight w:val="none"/>
          <w:u w:val="none"/>
        </w:rPr>
        <w:t xml:space="preserve"> 因为预应力筋被张拉后，其本身将蓄有很大的能量，万一预应力筋被拉断或锚具与千斤顶失效，巨大的能量就会急剧释放，有可能造成很大的危害。因此，无论在任何情况下，作业人员都必须避开预应力千斤顶的正面，以免发生不可预见的事故。操作千斤顶油泵的人员与测量千斤顶油缸伸长值人员，应该站在千斤顶的侧面操作，尤其是在油泵开动过程中，不得擅自离开岗位，如需离开，则必须把油门全部松开或切断电源。</w:t>
      </w:r>
    </w:p>
    <w:p w14:paraId="6D09F8B2">
      <w:pPr>
        <w:pStyle w:val="5"/>
        <w:rPr>
          <w:highlight w:val="none"/>
          <w:u w:val="none"/>
        </w:rPr>
      </w:pPr>
      <w:r>
        <w:rPr>
          <w:b/>
          <w:highlight w:val="none"/>
          <w:u w:val="none"/>
        </w:rPr>
        <w:t>10.6.4</w:t>
      </w:r>
      <w:r>
        <w:rPr>
          <w:highlight w:val="none"/>
          <w:u w:val="none"/>
        </w:rPr>
        <w:t xml:space="preserve">  张拉设备（千斤顶、油泵和压力表等）应配套标定，以确定它们之间的关系曲线，这种关系对应于特定的一套张拉设备，故应配套使用。</w:t>
      </w:r>
    </w:p>
    <w:p w14:paraId="3C3C170A">
      <w:pPr>
        <w:pStyle w:val="5"/>
        <w:rPr>
          <w:highlight w:val="none"/>
          <w:u w:val="none"/>
        </w:rPr>
      </w:pPr>
      <w:bookmarkStart w:id="217" w:name="_Toc37689868"/>
      <w:r>
        <w:rPr>
          <w:b/>
          <w:highlight w:val="none"/>
          <w:u w:val="none"/>
        </w:rPr>
        <w:t xml:space="preserve">10.6.7 </w:t>
      </w:r>
      <w:r>
        <w:rPr>
          <w:highlight w:val="none"/>
          <w:u w:val="none"/>
        </w:rPr>
        <w:t xml:space="preserve"> 火焰切割钢材热影响区的深度，会因钢材成分、轧制和热处理工艺的不同而不同。根据《钢材力学及工艺性能试验取样规定》GB /T2975：厚度或直径小于等于60mm的钢产品，用烧割法切取样坯时，从样坯切割线至试样边缘必须留有足够的加工余量，一般不小于钢产品的厚度或直径，但最小不得少于20mm。说明火焰切割的热影响区小于20mm。封锚时在锚夹片外的预应力筋切割的地方距离锚具30mm左右，火焰切割对性能影响较大的热影响区小于20mm，不会影响钢绞线的金属组织和力学性能，用湿棉纱保护好锚具可用氧—乙炔焰方法切割</w:t>
      </w:r>
      <w:r>
        <w:rPr>
          <w:rFonts w:hint="eastAsia"/>
          <w:highlight w:val="none"/>
          <w:u w:val="none"/>
        </w:rPr>
        <w:t>，采用</w:t>
      </w:r>
      <w:r>
        <w:rPr>
          <w:highlight w:val="none"/>
          <w:u w:val="none"/>
        </w:rPr>
        <w:t>氧—乙炔</w:t>
      </w:r>
      <w:r>
        <w:rPr>
          <w:rFonts w:hint="eastAsia"/>
          <w:highlight w:val="none"/>
          <w:u w:val="none"/>
        </w:rPr>
        <w:t>焰切割时，需距锚具≥30mm，且切割后需检查筋体是否存在过热损伤</w:t>
      </w:r>
      <w:r>
        <w:rPr>
          <w:highlight w:val="none"/>
          <w:u w:val="none"/>
        </w:rPr>
        <w:t>。</w:t>
      </w:r>
    </w:p>
    <w:bookmarkEnd w:id="217"/>
    <w:p w14:paraId="5161EB6C">
      <w:pPr>
        <w:pStyle w:val="4"/>
        <w:pBdr>
          <w:top w:val="none" w:color="auto" w:sz="0" w:space="0"/>
          <w:left w:val="none" w:color="auto" w:sz="0" w:space="0"/>
          <w:bottom w:val="none" w:color="auto" w:sz="0" w:space="0"/>
          <w:right w:val="none" w:color="auto" w:sz="0" w:space="0"/>
          <w:between w:val="none" w:color="auto" w:sz="0" w:space="0"/>
        </w:pBdr>
        <w:spacing w:before="156" w:after="156"/>
        <w:rPr>
          <w:b/>
          <w:color w:val="000000" w:themeColor="text1"/>
          <w:highlight w:val="none"/>
          <w:u w:val="none"/>
          <w14:textFill>
            <w14:solidFill>
              <w14:schemeClr w14:val="tx1"/>
            </w14:solidFill>
          </w14:textFill>
        </w:rPr>
      </w:pPr>
      <w:bookmarkStart w:id="218" w:name="_Toc37689869"/>
      <w:r>
        <w:rPr>
          <w:b/>
          <w:bCs w:val="0"/>
          <w:color w:val="000000" w:themeColor="text1"/>
          <w:highlight w:val="none"/>
          <w:u w:val="none"/>
          <w14:textFill>
            <w14:solidFill>
              <w14:schemeClr w14:val="tx1"/>
            </w14:solidFill>
          </w14:textFill>
        </w:rPr>
        <w:t>10.</w:t>
      </w:r>
      <w:r>
        <w:rPr>
          <w:rFonts w:hint="eastAsia"/>
          <w:b/>
          <w:bCs w:val="0"/>
          <w:color w:val="000000" w:themeColor="text1"/>
          <w:highlight w:val="none"/>
          <w:u w:val="none"/>
          <w:lang w:val="en-US" w:eastAsia="zh-CN"/>
          <w14:textFill>
            <w14:solidFill>
              <w14:schemeClr w14:val="tx1"/>
            </w14:solidFill>
          </w14:textFill>
        </w:rPr>
        <w:t>7</w:t>
      </w:r>
      <w:r>
        <w:rPr>
          <w:color w:val="000000" w:themeColor="text1"/>
          <w:highlight w:val="none"/>
          <w:u w:val="none"/>
          <w14:textFill>
            <w14:solidFill>
              <w14:schemeClr w14:val="tx1"/>
            </w14:solidFill>
          </w14:textFill>
        </w:rPr>
        <w:t xml:space="preserve">  </w:t>
      </w:r>
      <w:bookmarkEnd w:id="218"/>
      <w:r>
        <w:rPr>
          <w:color w:val="000000" w:themeColor="text1"/>
          <w:highlight w:val="none"/>
          <w:u w:val="none"/>
          <w14:textFill>
            <w14:solidFill>
              <w14:schemeClr w14:val="tx1"/>
            </w14:solidFill>
          </w14:textFill>
        </w:rPr>
        <w:t>顶 推 施 工</w:t>
      </w:r>
    </w:p>
    <w:p w14:paraId="0D4CB8F5">
      <w:pPr>
        <w:pStyle w:val="5"/>
        <w:rPr>
          <w:highlight w:val="none"/>
          <w:u w:val="none"/>
        </w:rPr>
      </w:pPr>
      <w:bookmarkStart w:id="219" w:name="_Toc37689870"/>
      <w:r>
        <w:rPr>
          <w:b/>
          <w:highlight w:val="none"/>
          <w:u w:val="none"/>
        </w:rPr>
        <w:t>10.8.1</w:t>
      </w:r>
      <w:r>
        <w:rPr>
          <w:highlight w:val="none"/>
          <w:u w:val="none"/>
        </w:rPr>
        <w:t xml:space="preserve">  顶推施工是一种土层地下工程施工方法，该施工方法不需要开挖面层，并且能够穿越公路、铁路、河川、地面建筑物、地下构筑物以及各种地下管线等，这种工艺不仅对穿越铁路、公路、河流等障碍物有特殊的适用意义，而且对于埋设较深、处于城市闹区的地下管道工具有显著的经济效益和社会效益。</w:t>
      </w:r>
    </w:p>
    <w:bookmarkEnd w:id="219"/>
    <w:p w14:paraId="001E75AF">
      <w:pPr>
        <w:pStyle w:val="4"/>
        <w:spacing w:before="156" w:after="156"/>
        <w:rPr>
          <w:b/>
          <w:color w:val="000000" w:themeColor="text1"/>
          <w:highlight w:val="none"/>
          <w:u w:val="none"/>
          <w14:textFill>
            <w14:solidFill>
              <w14:schemeClr w14:val="tx1"/>
            </w14:solidFill>
          </w14:textFill>
        </w:rPr>
      </w:pPr>
      <w:bookmarkStart w:id="220" w:name="_Toc37689871"/>
      <w:r>
        <w:rPr>
          <w:b/>
          <w:bCs w:val="0"/>
          <w:color w:val="000000" w:themeColor="text1"/>
          <w:highlight w:val="none"/>
          <w:u w:val="none"/>
          <w14:textFill>
            <w14:solidFill>
              <w14:schemeClr w14:val="tx1"/>
            </w14:solidFill>
          </w14:textFill>
        </w:rPr>
        <w:t>10.</w:t>
      </w:r>
      <w:r>
        <w:rPr>
          <w:rFonts w:hint="eastAsia"/>
          <w:b/>
          <w:bCs w:val="0"/>
          <w:color w:val="000000" w:themeColor="text1"/>
          <w:highlight w:val="none"/>
          <w:u w:val="none"/>
          <w14:textFill>
            <w14:solidFill>
              <w14:schemeClr w14:val="tx1"/>
            </w14:solidFill>
          </w14:textFill>
        </w:rPr>
        <w:t>8</w:t>
      </w:r>
      <w:r>
        <w:rPr>
          <w:color w:val="000000" w:themeColor="text1"/>
          <w:highlight w:val="none"/>
          <w:u w:val="none"/>
          <w14:textFill>
            <w14:solidFill>
              <w14:schemeClr w14:val="tx1"/>
            </w14:solidFill>
          </w14:textFill>
        </w:rPr>
        <w:t xml:space="preserve">  防 水 施 工</w:t>
      </w:r>
      <w:bookmarkEnd w:id="220"/>
    </w:p>
    <w:p w14:paraId="2C2A11FD">
      <w:pPr>
        <w:pStyle w:val="5"/>
        <w:rPr>
          <w:highlight w:val="none"/>
          <w:u w:val="none"/>
        </w:rPr>
      </w:pPr>
      <w:r>
        <w:rPr>
          <w:b/>
          <w:highlight w:val="none"/>
          <w:u w:val="none"/>
        </w:rPr>
        <w:t>10.</w:t>
      </w:r>
      <w:r>
        <w:rPr>
          <w:rFonts w:hint="eastAsia"/>
          <w:b/>
          <w:highlight w:val="none"/>
          <w:u w:val="none"/>
        </w:rPr>
        <w:t>8</w:t>
      </w:r>
      <w:r>
        <w:rPr>
          <w:b/>
          <w:highlight w:val="none"/>
          <w:u w:val="none"/>
        </w:rPr>
        <w:t>.5</w:t>
      </w:r>
      <w:r>
        <w:rPr>
          <w:highlight w:val="none"/>
          <w:u w:val="none"/>
        </w:rPr>
        <w:t xml:space="preserve">  工作面宽度一般都大于卷材宽度，需要连接起来，两幅之间要重复一部分就叫接槎。若一部分防水先做，另外一部分还没有工作面，需要等一段时间再做，就留一个头，叫甩槎，比如基础底板防水和外墙防水之间就要甩槎。</w:t>
      </w:r>
    </w:p>
    <w:p w14:paraId="363E5A20">
      <w:pPr>
        <w:pStyle w:val="5"/>
        <w:rPr>
          <w:highlight w:val="none"/>
          <w:u w:val="none"/>
        </w:rPr>
      </w:pPr>
      <w:r>
        <w:rPr>
          <w:b/>
          <w:highlight w:val="none"/>
          <w:u w:val="none"/>
        </w:rPr>
        <w:t>10.</w:t>
      </w:r>
      <w:r>
        <w:rPr>
          <w:rFonts w:hint="eastAsia"/>
          <w:b/>
          <w:highlight w:val="none"/>
          <w:u w:val="none"/>
        </w:rPr>
        <w:t>8</w:t>
      </w:r>
      <w:r>
        <w:rPr>
          <w:b/>
          <w:highlight w:val="none"/>
          <w:u w:val="none"/>
        </w:rPr>
        <w:t>.6</w:t>
      </w:r>
      <w:r>
        <w:rPr>
          <w:highlight w:val="none"/>
          <w:u w:val="none"/>
        </w:rPr>
        <w:t xml:space="preserve">  除了在雨天能补漏的防水材料之外，防水层在雨天均不能施工，因为下雨使基层潮湿，使胶粘剂与基层脱离、卷材粘结不牢；对于防水涂料，雨水会冲走未固化的涂料，或使涂料不能固化，尤其是水乳型、溶剂型、反应型涂料，当下雨前未能固化就不得施工，因此作业者必须了解气象预报，预计下雨时间，计算下雨前固化时间。热熔型涂料则只要下雨前终止施工就可以。雪天，在初始降雪时，融化为水，也不能施工防水层，积雪时当然也不可能施工。</w:t>
      </w:r>
    </w:p>
    <w:p w14:paraId="4FC72328">
      <w:pPr>
        <w:pStyle w:val="59"/>
        <w:rPr>
          <w:color w:val="000000" w:themeColor="text1"/>
          <w:highlight w:val="none"/>
          <w:u w:val="none"/>
          <w14:textFill>
            <w14:solidFill>
              <w14:schemeClr w14:val="tx1"/>
            </w14:solidFill>
          </w14:textFill>
        </w:rPr>
      </w:pPr>
      <w:r>
        <w:rPr>
          <w:color w:val="000000" w:themeColor="text1"/>
          <w:highlight w:val="none"/>
          <w:u w:val="none"/>
          <w14:textFill>
            <w14:solidFill>
              <w14:schemeClr w14:val="tx1"/>
            </w14:solidFill>
          </w14:textFill>
        </w:rPr>
        <w:t>五级以上的大风天气，大风易将尘土从相邻或自身脚手架上刮起污染基层，导致防水层不能施工，另外大风会刮坏施工的卷材，造成撕裂、铺扭、铺歪、不平整。大风会吹散涂料或灰污染涂料造成质量事故。因此雨、雪、大风天气防水层是不宜施工的，施工的防水层质量是得不到保证的。</w:t>
      </w:r>
    </w:p>
    <w:p w14:paraId="474CD82E">
      <w:pPr>
        <w:pStyle w:val="5"/>
        <w:rPr>
          <w:highlight w:val="none"/>
          <w:u w:val="none"/>
        </w:rPr>
      </w:pPr>
      <w:bookmarkStart w:id="221" w:name="_Toc37689872"/>
      <w:r>
        <w:rPr>
          <w:b/>
          <w:highlight w:val="none"/>
          <w:u w:val="none"/>
        </w:rPr>
        <w:t>10.</w:t>
      </w:r>
      <w:r>
        <w:rPr>
          <w:rFonts w:hint="eastAsia"/>
          <w:b/>
          <w:highlight w:val="none"/>
          <w:u w:val="none"/>
        </w:rPr>
        <w:t>8</w:t>
      </w:r>
      <w:r>
        <w:rPr>
          <w:b/>
          <w:highlight w:val="none"/>
          <w:u w:val="none"/>
        </w:rPr>
        <w:t>.11</w:t>
      </w:r>
      <w:r>
        <w:rPr>
          <w:highlight w:val="none"/>
          <w:u w:val="none"/>
        </w:rPr>
        <w:t xml:space="preserve">  防水层做好就要进行回填，回填土中往往还有尖锐的石块、碎渣、钢筋头，很容易就造成防水层的破损，如果在破损处得不到修补或没有发现，将来必然会引起渗漏，因此要打上保护层，通常采用的是水泥加入界面剂再加入刚性防水材料搅拌均匀涂料，这种混合物凝结后强度超过一般混凝土材料，同时因为加入了刚性防水材料也不失为一道防水屏障，意在一举两得</w:t>
      </w:r>
      <w:r>
        <w:rPr>
          <w:rFonts w:hint="eastAsia"/>
          <w:highlight w:val="none"/>
          <w:u w:val="none"/>
        </w:rPr>
        <w:t>，防水层施工完成后需在 24h 内施工保护层，</w:t>
      </w:r>
      <w:r>
        <w:rPr>
          <w:highlight w:val="none"/>
          <w:u w:val="none"/>
        </w:rPr>
        <w:t>明挖段保护层厚度≥50mm，盾构段管片接缝处保护层需增设玻纤网增强。</w:t>
      </w:r>
    </w:p>
    <w:p w14:paraId="74A0BC77">
      <w:pPr>
        <w:pStyle w:val="4"/>
        <w:spacing w:before="156" w:after="156"/>
        <w:rPr>
          <w:b/>
          <w:color w:val="000000" w:themeColor="text1"/>
          <w:highlight w:val="none"/>
          <w:u w:val="none"/>
          <w14:textFill>
            <w14:solidFill>
              <w14:schemeClr w14:val="tx1"/>
            </w14:solidFill>
          </w14:textFill>
        </w:rPr>
      </w:pPr>
      <w:r>
        <w:rPr>
          <w:b/>
          <w:bCs w:val="0"/>
          <w:color w:val="000000" w:themeColor="text1"/>
          <w:highlight w:val="none"/>
          <w:u w:val="none"/>
          <w14:textFill>
            <w14:solidFill>
              <w14:schemeClr w14:val="tx1"/>
            </w14:solidFill>
          </w14:textFill>
        </w:rPr>
        <w:t>10.</w:t>
      </w:r>
      <w:r>
        <w:rPr>
          <w:rFonts w:hint="eastAsia"/>
          <w:b/>
          <w:bCs w:val="0"/>
          <w:color w:val="000000" w:themeColor="text1"/>
          <w:highlight w:val="none"/>
          <w:u w:val="none"/>
          <w14:textFill>
            <w14:solidFill>
              <w14:schemeClr w14:val="tx1"/>
            </w14:solidFill>
          </w14:textFill>
        </w:rPr>
        <w:t>9</w:t>
      </w:r>
      <w:r>
        <w:rPr>
          <w:color w:val="000000" w:themeColor="text1"/>
          <w:highlight w:val="none"/>
          <w:u w:val="none"/>
          <w14:textFill>
            <w14:solidFill>
              <w14:schemeClr w14:val="tx1"/>
            </w14:solidFill>
          </w14:textFill>
        </w:rPr>
        <w:t xml:space="preserve"> 施工成品保护</w:t>
      </w:r>
      <w:bookmarkEnd w:id="221"/>
    </w:p>
    <w:p w14:paraId="08986819">
      <w:pPr>
        <w:pStyle w:val="5"/>
        <w:rPr>
          <w:highlight w:val="none"/>
          <w:u w:val="none"/>
        </w:rPr>
      </w:pPr>
      <w:bookmarkStart w:id="222" w:name="_Toc37689873"/>
      <w:r>
        <w:rPr>
          <w:b/>
          <w:highlight w:val="none"/>
          <w:u w:val="none"/>
        </w:rPr>
        <w:t>10.</w:t>
      </w:r>
      <w:r>
        <w:rPr>
          <w:rFonts w:hint="eastAsia"/>
          <w:b/>
          <w:highlight w:val="none"/>
          <w:u w:val="none"/>
        </w:rPr>
        <w:t>9</w:t>
      </w:r>
      <w:r>
        <w:rPr>
          <w:b/>
          <w:highlight w:val="none"/>
          <w:u w:val="none"/>
        </w:rPr>
        <w:t>.1</w:t>
      </w:r>
      <w:r>
        <w:rPr>
          <w:highlight w:val="none"/>
          <w:u w:val="none"/>
        </w:rPr>
        <w:t xml:space="preserve">  工程施工过程中，施工单位多，工序交叉复杂，做好成品保护工作，是工程质量目标、进度目标和成本目标实现的重要保证。</w:t>
      </w:r>
    </w:p>
    <w:p w14:paraId="1370CB0C">
      <w:pPr>
        <w:pStyle w:val="4"/>
        <w:spacing w:before="156" w:after="156"/>
        <w:rPr>
          <w:b/>
          <w:color w:val="000000" w:themeColor="text1"/>
          <w:highlight w:val="none"/>
          <w14:textFill>
            <w14:solidFill>
              <w14:schemeClr w14:val="tx1"/>
            </w14:solidFill>
          </w14:textFill>
        </w:rPr>
      </w:pPr>
      <w:r>
        <w:rPr>
          <w:b/>
          <w:bCs w:val="0"/>
          <w:color w:val="000000" w:themeColor="text1"/>
          <w:highlight w:val="none"/>
          <w:u w:val="none"/>
          <w14:textFill>
            <w14:solidFill>
              <w14:schemeClr w14:val="tx1"/>
            </w14:solidFill>
          </w14:textFill>
        </w:rPr>
        <w:t>10.</w:t>
      </w:r>
      <w:r>
        <w:rPr>
          <w:rFonts w:hint="eastAsia"/>
          <w:b/>
          <w:bCs w:val="0"/>
          <w:color w:val="000000" w:themeColor="text1"/>
          <w:highlight w:val="none"/>
          <w:u w:val="none"/>
          <w14:textFill>
            <w14:solidFill>
              <w14:schemeClr w14:val="tx1"/>
            </w14:solidFill>
          </w14:textFill>
        </w:rPr>
        <w:t>10</w:t>
      </w:r>
      <w:r>
        <w:rPr>
          <w:color w:val="000000" w:themeColor="text1"/>
          <w:highlight w:val="none"/>
          <w:u w:val="non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季节</w:t>
      </w:r>
      <w:r>
        <w:rPr>
          <w:rFonts w:hint="eastAsia"/>
          <w:color w:val="000000" w:themeColor="text1"/>
          <w:highlight w:val="none"/>
          <w:lang w:val="en-US" w:eastAsia="zh-CN"/>
          <w14:textFill>
            <w14:solidFill>
              <w14:schemeClr w14:val="tx1"/>
            </w14:solidFill>
          </w14:textFill>
        </w:rPr>
        <w:t>性</w:t>
      </w:r>
      <w:r>
        <w:rPr>
          <w:color w:val="000000" w:themeColor="text1"/>
          <w:highlight w:val="none"/>
          <w14:textFill>
            <w14:solidFill>
              <w14:schemeClr w14:val="tx1"/>
            </w14:solidFill>
          </w14:textFill>
        </w:rPr>
        <w:t>施工</w:t>
      </w:r>
      <w:bookmarkEnd w:id="222"/>
    </w:p>
    <w:p w14:paraId="4E8A1E13">
      <w:pPr>
        <w:pStyle w:val="5"/>
        <w:rPr>
          <w:highlight w:val="none"/>
        </w:rPr>
      </w:pPr>
      <w:r>
        <w:rPr>
          <w:b/>
          <w:highlight w:val="none"/>
        </w:rPr>
        <w:t>10.1</w:t>
      </w:r>
      <w:r>
        <w:rPr>
          <w:rFonts w:hint="eastAsia"/>
          <w:b/>
          <w:highlight w:val="none"/>
        </w:rPr>
        <w:t>0</w:t>
      </w:r>
      <w:r>
        <w:rPr>
          <w:b/>
          <w:highlight w:val="none"/>
        </w:rPr>
        <w:t xml:space="preserve">.2 </w:t>
      </w:r>
      <w:r>
        <w:rPr>
          <w:highlight w:val="none"/>
        </w:rPr>
        <w:t xml:space="preserve"> 我省的气候属于大陆性季风型气候，在秋末冬初和冬末春初时节，常有</w:t>
      </w:r>
      <w:r>
        <w:rPr>
          <w:rFonts w:hint="eastAsia"/>
          <w:highlight w:val="none"/>
          <w:lang w:val="en-US" w:eastAsia="zh-CN"/>
        </w:rPr>
        <w:t>寒</w:t>
      </w:r>
      <w:r>
        <w:rPr>
          <w:highlight w:val="none"/>
        </w:rPr>
        <w:t>流突袭，气温骤降5℃～10℃的现象经常发生，此时会在一两天之内最低气温突然降至0℃以下，寒流过后气温又恢复正常。因此，为防止短期内的寒流袭击造成新浇筑的混凝土发生冻结损伤，特规定当气温骤降至0℃以下时，混凝土应按冬期施工要求采取应急防护措施。</w:t>
      </w:r>
    </w:p>
    <w:p w14:paraId="17549739">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6CCDCFBE">
      <w:pPr>
        <w:pStyle w:val="2"/>
        <w:rPr>
          <w:b w:val="0"/>
          <w:bCs w:val="0"/>
          <w:color w:val="000000" w:themeColor="text1"/>
          <w:highlight w:val="none"/>
          <w14:textFill>
            <w14:solidFill>
              <w14:schemeClr w14:val="tx1"/>
            </w14:solidFill>
          </w14:textFill>
        </w:rPr>
      </w:pPr>
      <w:bookmarkStart w:id="223" w:name="_Toc37689874"/>
      <w:r>
        <w:rPr>
          <w:color w:val="000000" w:themeColor="text1"/>
          <w:highlight w:val="none"/>
          <w14:textFill>
            <w14:solidFill>
              <w14:schemeClr w14:val="tx1"/>
            </w14:solidFill>
          </w14:textFill>
        </w:rPr>
        <w:t xml:space="preserve">11  </w:t>
      </w:r>
      <w:r>
        <w:rPr>
          <w:b w:val="0"/>
          <w:bCs w:val="0"/>
          <w:color w:val="000000" w:themeColor="text1"/>
          <w:highlight w:val="none"/>
          <w14:textFill>
            <w14:solidFill>
              <w14:schemeClr w14:val="tx1"/>
            </w14:solidFill>
          </w14:textFill>
        </w:rPr>
        <w:t>附属设施施工</w:t>
      </w:r>
      <w:bookmarkEnd w:id="223"/>
    </w:p>
    <w:p w14:paraId="3FF359B1">
      <w:pPr>
        <w:pStyle w:val="4"/>
        <w:spacing w:before="156" w:after="156"/>
        <w:rPr>
          <w:b/>
          <w:color w:val="000000" w:themeColor="text1"/>
          <w:highlight w:val="none"/>
          <w14:textFill>
            <w14:solidFill>
              <w14:schemeClr w14:val="tx1"/>
            </w14:solidFill>
          </w14:textFill>
        </w:rPr>
      </w:pPr>
      <w:bookmarkStart w:id="224" w:name="_Toc37689875"/>
      <w:r>
        <w:rPr>
          <w:b/>
          <w:bCs w:val="0"/>
          <w:color w:val="000000" w:themeColor="text1"/>
          <w:highlight w:val="none"/>
          <w14:textFill>
            <w14:solidFill>
              <w14:schemeClr w14:val="tx1"/>
            </w14:solidFill>
          </w14:textFill>
        </w:rPr>
        <w:t>11.1</w:t>
      </w:r>
      <w:r>
        <w:rPr>
          <w:color w:val="000000" w:themeColor="text1"/>
          <w:highlight w:val="none"/>
          <w14:textFill>
            <w14:solidFill>
              <w14:schemeClr w14:val="tx1"/>
            </w14:solidFill>
          </w14:textFill>
        </w:rPr>
        <w:t xml:space="preserve">  一 般 规 定</w:t>
      </w:r>
      <w:bookmarkEnd w:id="224"/>
    </w:p>
    <w:p w14:paraId="7DBB3E44">
      <w:pPr>
        <w:pStyle w:val="5"/>
        <w:rPr>
          <w:highlight w:val="none"/>
        </w:rPr>
      </w:pPr>
      <w:r>
        <w:rPr>
          <w:b/>
          <w:highlight w:val="none"/>
        </w:rPr>
        <w:t xml:space="preserve">11.1.3 </w:t>
      </w:r>
      <w:r>
        <w:rPr>
          <w:highlight w:val="none"/>
        </w:rPr>
        <w:t xml:space="preserve"> 管廊内部空间狭窄，混凝土结构施工时留下的渣土易产生粉尘，养护后的地面积水会给后期的机电安装的材料堆放、电动工具及施工电缆的绝缘造成不利影响，清理干净主体结构，一方面保证文明施工，另一方面也保证安全施工。</w:t>
      </w:r>
    </w:p>
    <w:p w14:paraId="20465BF5">
      <w:pPr>
        <w:pStyle w:val="5"/>
        <w:rPr>
          <w:highlight w:val="none"/>
        </w:rPr>
      </w:pPr>
      <w:r>
        <w:rPr>
          <w:b/>
          <w:highlight w:val="none"/>
        </w:rPr>
        <w:t>11.1.4</w:t>
      </w:r>
      <w:r>
        <w:rPr>
          <w:highlight w:val="none"/>
        </w:rPr>
        <w:t xml:space="preserve">  管廊内主体结构施工完成后，管廊内部处于一个半密闭空间环境，与外界相对隔离，为了给管廊内部装饰装修及机电安装工程提供作业条件、保证作业人员施工安全必须设置临时通风设施。管廊处于地下，室外光线无法进入，管廊内部漆黑无法作业，所以要布设临时照明。</w:t>
      </w:r>
    </w:p>
    <w:p w14:paraId="7AF5D0C8">
      <w:pPr>
        <w:pStyle w:val="5"/>
        <w:rPr>
          <w:highlight w:val="none"/>
        </w:rPr>
      </w:pPr>
      <w:bookmarkStart w:id="225" w:name="_Toc37689876"/>
      <w:r>
        <w:rPr>
          <w:b/>
          <w:highlight w:val="none"/>
        </w:rPr>
        <w:t xml:space="preserve">11.1.6 </w:t>
      </w:r>
      <w:r>
        <w:rPr>
          <w:highlight w:val="none"/>
        </w:rPr>
        <w:t xml:space="preserve"> 传统管廊二维设计图纸包含平、剖面图，由于CAD软件绘制的图纸缺乏关联，图纸之间信息是各自孤立的，需要依靠人工来完成图纸之间的信息关联，出现图纸之间的错漏碰撞就很难避免。在设计管廊时靠想象设计绘制的平剖面，极易出现错漏并造成施工过程中的困扰，且由于管线众多且穿插频繁，会在调整管线位置时产生连锁反应，即调整一处碰撞又会产生新的碰撞，这种错误在二维设计中很容易被忽略。所以，在施工开始之前通过BIM技术，就可实现各种信息融合，提前发现并修改设计图纸中的错漏碰撞等问题，避免在施工过程中出现设计变更及返工等。BIM最直观的特点在于三维可视化，三维管线方案碰撞优化后进行施工交底、施工模拟可使施工质量得到提高，还能提升施工人员与业主沟通的能力。</w:t>
      </w:r>
    </w:p>
    <w:p w14:paraId="66F08C9F">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11.2</w:t>
      </w:r>
      <w:r>
        <w:rPr>
          <w:color w:val="000000" w:themeColor="text1"/>
          <w:highlight w:val="none"/>
          <w14:textFill>
            <w14:solidFill>
              <w14:schemeClr w14:val="tx1"/>
            </w14:solidFill>
          </w14:textFill>
        </w:rPr>
        <w:t xml:space="preserve">  消 防 系 统</w:t>
      </w:r>
      <w:bookmarkEnd w:id="225"/>
    </w:p>
    <w:p w14:paraId="54AB9427">
      <w:pPr>
        <w:pStyle w:val="5"/>
        <w:rPr>
          <w:highlight w:val="none"/>
        </w:rPr>
      </w:pPr>
      <w:bookmarkStart w:id="226" w:name="_Toc37689877"/>
      <w:r>
        <w:rPr>
          <w:b/>
          <w:highlight w:val="none"/>
        </w:rPr>
        <w:t>11.2.6</w:t>
      </w:r>
      <w:r>
        <w:rPr>
          <w:highlight w:val="none"/>
        </w:rPr>
        <w:t xml:space="preserve">  本条对消防设施验收做了要求，经有资质单位检测和政府主管部门验收。</w:t>
      </w:r>
    </w:p>
    <w:p w14:paraId="11393F5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11.3</w:t>
      </w:r>
      <w:r>
        <w:rPr>
          <w:color w:val="000000" w:themeColor="text1"/>
          <w:highlight w:val="none"/>
          <w14:textFill>
            <w14:solidFill>
              <w14:schemeClr w14:val="tx1"/>
            </w14:solidFill>
          </w14:textFill>
        </w:rPr>
        <w:t xml:space="preserve">  通 风 系 统</w:t>
      </w:r>
      <w:bookmarkEnd w:id="226"/>
    </w:p>
    <w:p w14:paraId="3534AF11">
      <w:pPr>
        <w:pStyle w:val="5"/>
        <w:rPr>
          <w:highlight w:val="none"/>
        </w:rPr>
      </w:pPr>
      <w:r>
        <w:rPr>
          <w:b/>
          <w:highlight w:val="none"/>
        </w:rPr>
        <w:t xml:space="preserve">11.3.3 </w:t>
      </w:r>
      <w:r>
        <w:rPr>
          <w:highlight w:val="none"/>
        </w:rPr>
        <w:t xml:space="preserve"> 本条对通风系统风管安装要求、材料要求等做了规定；管廊排风机出口应与风管直接连接，尽量避免通过通风小室排出，以避免可燃和污染性气体在小室内聚集，产生危险。</w:t>
      </w:r>
    </w:p>
    <w:p w14:paraId="0ECE110B">
      <w:pPr>
        <w:pStyle w:val="5"/>
        <w:rPr>
          <w:highlight w:val="none"/>
        </w:rPr>
      </w:pPr>
      <w:bookmarkStart w:id="227" w:name="_Toc37689878"/>
      <w:r>
        <w:rPr>
          <w:b/>
          <w:highlight w:val="none"/>
        </w:rPr>
        <w:t>11.3.5</w:t>
      </w:r>
      <w:r>
        <w:rPr>
          <w:highlight w:val="none"/>
        </w:rPr>
        <w:t xml:space="preserve">  砖、混凝土风道内表面的质量直接影响到风管系统的使用性能，故制定本条规定。</w:t>
      </w:r>
    </w:p>
    <w:p w14:paraId="1075C000">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t xml:space="preserve">  供 电 系 统</w:t>
      </w:r>
      <w:bookmarkEnd w:id="227"/>
    </w:p>
    <w:p w14:paraId="382739C0">
      <w:pPr>
        <w:pStyle w:val="5"/>
        <w:rPr>
          <w:highlight w:val="none"/>
        </w:rPr>
      </w:pPr>
      <w:r>
        <w:rPr>
          <w:b/>
          <w:highlight w:val="none"/>
        </w:rPr>
        <w:t xml:space="preserve">11.4.1 </w:t>
      </w:r>
      <w:r>
        <w:rPr>
          <w:highlight w:val="none"/>
        </w:rPr>
        <w:t xml:space="preserve"> 本条明确了供电系统所供电范围、所属设备及设施的规格要求；管廊爆炸危险环境中的用电设备还必须有铭牌和防爆标识，并应在铭牌上标明国家授权机构颁发的防爆合格证编号。</w:t>
      </w:r>
    </w:p>
    <w:p w14:paraId="537A531F">
      <w:pPr>
        <w:pStyle w:val="5"/>
        <w:rPr>
          <w:highlight w:val="none"/>
        </w:rPr>
      </w:pPr>
      <w:r>
        <w:rPr>
          <w:b/>
          <w:highlight w:val="none"/>
        </w:rPr>
        <w:t>11.4.3</w:t>
      </w:r>
      <w:r>
        <w:rPr>
          <w:highlight w:val="none"/>
        </w:rPr>
        <w:t xml:space="preserve">  电缆桥架穿过防火分隔时，应封堵严密，以免火势通过这些开口及缝隙蔓延。</w:t>
      </w:r>
    </w:p>
    <w:p w14:paraId="1BBA581A">
      <w:pPr>
        <w:pStyle w:val="5"/>
        <w:rPr>
          <w:highlight w:val="none"/>
        </w:rPr>
      </w:pPr>
      <w:bookmarkStart w:id="228" w:name="_Toc37689879"/>
      <w:r>
        <w:rPr>
          <w:b/>
          <w:highlight w:val="none"/>
        </w:rPr>
        <w:t>11.4.5</w:t>
      </w:r>
      <w:r>
        <w:rPr>
          <w:highlight w:val="none"/>
        </w:rPr>
        <w:t xml:space="preserve">  本条关系到用电设备调试及投运的安全，调试时要采取必要的防护措施，如戴安全帽、戴绝缘手套、穿绝缘胶鞋，控制柜（屏）旁边要放置灭火器等，以备不时之需。</w:t>
      </w:r>
    </w:p>
    <w:p w14:paraId="47DF0272">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11.5</w:t>
      </w:r>
      <w:r>
        <w:rPr>
          <w:color w:val="000000" w:themeColor="text1"/>
          <w:highlight w:val="none"/>
          <w14:textFill>
            <w14:solidFill>
              <w14:schemeClr w14:val="tx1"/>
            </w14:solidFill>
          </w14:textFill>
        </w:rPr>
        <w:t xml:space="preserve">  照 明 系 统</w:t>
      </w:r>
      <w:bookmarkEnd w:id="228"/>
    </w:p>
    <w:p w14:paraId="37984876">
      <w:pPr>
        <w:pStyle w:val="5"/>
        <w:rPr>
          <w:highlight w:val="none"/>
        </w:rPr>
      </w:pPr>
      <w:r>
        <w:rPr>
          <w:b/>
          <w:highlight w:val="none"/>
        </w:rPr>
        <w:t xml:space="preserve">11.5.1 </w:t>
      </w:r>
      <w:r>
        <w:rPr>
          <w:highlight w:val="none"/>
        </w:rPr>
        <w:t xml:space="preserve"> 本条对照明灯具、插座、开关、管线和配电箱（盘、柜）安装要求做了规定。</w:t>
      </w:r>
    </w:p>
    <w:p w14:paraId="7E247218">
      <w:pPr>
        <w:pStyle w:val="42"/>
        <w:overflowPunct w:val="0"/>
        <w:spacing w:line="348" w:lineRule="exact"/>
        <w:ind w:left="0" w:leftChars="0" w:firstLine="0" w:firstLineChars="0"/>
        <w:rPr>
          <w:rFonts w:ascii="Times New Roman" w:hAnsi="Times New Roman" w:eastAsia="方正书宋简体" w:cs="Times New Roman"/>
          <w:color w:val="000000" w:themeColor="text1"/>
          <w:highlight w:val="none"/>
          <w:u w:val="none"/>
          <w14:textFill>
            <w14:solidFill>
              <w14:schemeClr w14:val="tx1"/>
            </w14:solidFill>
          </w14:textFill>
        </w:rPr>
      </w:pPr>
      <w:r>
        <w:rPr>
          <w:rFonts w:hint="eastAsia" w:ascii="Times New Roman" w:hAnsi="Times New Roman" w:eastAsia="方正书宋简体" w:cs="Times New Roman"/>
          <w:b/>
          <w:bCs/>
          <w:color w:val="000000" w:themeColor="text1"/>
          <w:highlight w:val="none"/>
          <w:u w:val="none"/>
          <w:lang w:val="en-US" w:eastAsia="zh-CN"/>
          <w14:textFill>
            <w14:solidFill>
              <w14:schemeClr w14:val="tx1"/>
            </w14:solidFill>
          </w14:textFill>
        </w:rPr>
        <w:t>11.5.</w:t>
      </w:r>
      <w:r>
        <w:rPr>
          <w:rFonts w:hint="eastAsia" w:ascii="Times New Roman" w:hAnsi="Times New Roman" w:eastAsia="方正书宋简体" w:cs="Times New Roman"/>
          <w:b/>
          <w:bCs/>
          <w:color w:val="000000" w:themeColor="text1"/>
          <w:highlight w:val="none"/>
          <w:u w:val="none"/>
          <w14:textFill>
            <w14:solidFill>
              <w14:schemeClr w14:val="tx1"/>
            </w14:solidFill>
          </w14:textFill>
        </w:rPr>
        <w:t xml:space="preserve">2  </w:t>
      </w:r>
      <w:r>
        <w:rPr>
          <w:rFonts w:ascii="Times New Roman" w:hAnsi="Times New Roman" w:eastAsia="方正书宋简体" w:cs="Times New Roman"/>
          <w:color w:val="000000" w:themeColor="text1"/>
          <w:highlight w:val="none"/>
          <w:u w:val="none"/>
          <w14:textFill>
            <w14:solidFill>
              <w14:schemeClr w14:val="tx1"/>
            </w14:solidFill>
          </w14:textFill>
        </w:rPr>
        <w:t>天然气舱灯具安装需采用隔爆型接线盒，导线穿管需做密封处理，与舱壁间隙用防火密封胶封堵</w:t>
      </w:r>
      <w:r>
        <w:rPr>
          <w:rFonts w:hint="eastAsia" w:ascii="Times New Roman" w:hAnsi="Times New Roman" w:eastAsia="方正书宋简体" w:cs="Times New Roman"/>
          <w:color w:val="000000" w:themeColor="text1"/>
          <w:highlight w:val="none"/>
          <w:u w:val="none"/>
          <w14:textFill>
            <w14:solidFill>
              <w14:schemeClr w14:val="tx1"/>
            </w14:solidFill>
          </w14:textFill>
        </w:rPr>
        <w:t>。</w:t>
      </w:r>
    </w:p>
    <w:p w14:paraId="07F013C1">
      <w:pPr>
        <w:pStyle w:val="42"/>
        <w:overflowPunct w:val="0"/>
        <w:spacing w:line="348" w:lineRule="exact"/>
        <w:ind w:left="0" w:leftChars="0" w:firstLine="0" w:firstLineChars="0"/>
        <w:rPr>
          <w:rFonts w:ascii="Times New Roman" w:hAnsi="Times New Roman" w:eastAsia="方正书宋简体" w:cs="Times New Roman"/>
          <w:color w:val="000000" w:themeColor="text1"/>
          <w:highlight w:val="none"/>
          <w14:textFill>
            <w14:solidFill>
              <w14:schemeClr w14:val="tx1"/>
            </w14:solidFill>
          </w14:textFill>
        </w:rPr>
      </w:pPr>
      <w:r>
        <w:rPr>
          <w:rFonts w:hint="eastAsia" w:ascii="Times New Roman" w:hAnsi="Times New Roman" w:eastAsia="方正书宋简体" w:cs="Times New Roman"/>
          <w:b/>
          <w:bCs/>
          <w:color w:val="000000" w:themeColor="text1"/>
          <w:highlight w:val="none"/>
          <w:lang w:val="en-US" w:eastAsia="zh-CN"/>
          <w14:textFill>
            <w14:solidFill>
              <w14:schemeClr w14:val="tx1"/>
            </w14:solidFill>
          </w14:textFill>
        </w:rPr>
        <w:t>11.5.3</w:t>
      </w:r>
      <w:r>
        <w:rPr>
          <w:rFonts w:ascii="Times New Roman" w:hAnsi="Times New Roman" w:eastAsia="方正书宋简体" w:cs="Times New Roman"/>
          <w:b/>
          <w:bCs/>
          <w:color w:val="000000" w:themeColor="text1"/>
          <w:highlight w:val="none"/>
          <w14:textFill>
            <w14:solidFill>
              <w14:schemeClr w14:val="tx1"/>
            </w14:solidFill>
          </w14:textFill>
        </w:rPr>
        <w:t xml:space="preserve"> </w:t>
      </w:r>
      <w:r>
        <w:rPr>
          <w:rFonts w:ascii="Times New Roman" w:hAnsi="Times New Roman" w:eastAsia="方正书宋简体" w:cs="Times New Roman"/>
          <w:color w:val="000000" w:themeColor="text1"/>
          <w:highlight w:val="none"/>
          <w14:textFill>
            <w14:solidFill>
              <w14:schemeClr w14:val="tx1"/>
            </w14:solidFill>
          </w14:textFill>
        </w:rPr>
        <w:t xml:space="preserve"> 在实际施工中，智能建筑工程和建筑电气工程常由不同单位施工，产生配电箱内智能化控制和信号线敷设零乱，与强电线路交叉重叠，不但影响观感，而且容易产生干扰，故本条文作出相应规定。</w:t>
      </w:r>
    </w:p>
    <w:p w14:paraId="2E5B4A20">
      <w:pPr>
        <w:pStyle w:val="4"/>
        <w:spacing w:before="156" w:after="156"/>
        <w:rPr>
          <w:b/>
          <w:color w:val="000000" w:themeColor="text1"/>
          <w:highlight w:val="none"/>
          <w14:textFill>
            <w14:solidFill>
              <w14:schemeClr w14:val="tx1"/>
            </w14:solidFill>
          </w14:textFill>
        </w:rPr>
      </w:pPr>
      <w:bookmarkStart w:id="229" w:name="_Toc37689880"/>
      <w:r>
        <w:rPr>
          <w:b/>
          <w:bCs w:val="0"/>
          <w:color w:val="000000" w:themeColor="text1"/>
          <w:highlight w:val="none"/>
          <w14:textFill>
            <w14:solidFill>
              <w14:schemeClr w14:val="tx1"/>
            </w14:solidFill>
          </w14:textFill>
        </w:rPr>
        <w:t>11.6</w:t>
      </w:r>
      <w:r>
        <w:rPr>
          <w:color w:val="000000" w:themeColor="text1"/>
          <w:highlight w:val="none"/>
          <w14:textFill>
            <w14:solidFill>
              <w14:schemeClr w14:val="tx1"/>
            </w14:solidFill>
          </w14:textFill>
        </w:rPr>
        <w:t xml:space="preserve">  监控与报警系统</w:t>
      </w:r>
      <w:bookmarkEnd w:id="229"/>
    </w:p>
    <w:p w14:paraId="7D02C844">
      <w:pPr>
        <w:pStyle w:val="5"/>
        <w:rPr>
          <w:highlight w:val="none"/>
        </w:rPr>
      </w:pPr>
      <w:r>
        <w:rPr>
          <w:b/>
          <w:highlight w:val="none"/>
        </w:rPr>
        <w:t>11.6.6</w:t>
      </w:r>
      <w:r>
        <w:rPr>
          <w:highlight w:val="none"/>
        </w:rPr>
        <w:t xml:space="preserve">  本条对报警设备的安装位置做了要求，方便及时报警。</w:t>
      </w:r>
    </w:p>
    <w:p w14:paraId="6D82B218">
      <w:pPr>
        <w:pStyle w:val="5"/>
        <w:rPr>
          <w:highlight w:val="none"/>
        </w:rPr>
      </w:pPr>
      <w:bookmarkStart w:id="230" w:name="_Toc37689881"/>
      <w:r>
        <w:rPr>
          <w:b/>
          <w:highlight w:val="none"/>
        </w:rPr>
        <w:t>11.6.10</w:t>
      </w:r>
      <w:r>
        <w:rPr>
          <w:highlight w:val="none"/>
        </w:rPr>
        <w:t xml:space="preserve">  本条对报警系统和自动灭火系统做了要求，必须处于联动状态。</w:t>
      </w:r>
    </w:p>
    <w:p w14:paraId="2572B9DC">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11.7</w:t>
      </w:r>
      <w:r>
        <w:rPr>
          <w:color w:val="000000" w:themeColor="text1"/>
          <w:highlight w:val="none"/>
          <w14:textFill>
            <w14:solidFill>
              <w14:schemeClr w14:val="tx1"/>
            </w14:solidFill>
          </w14:textFill>
        </w:rPr>
        <w:t xml:space="preserve">  排 水 系 统</w:t>
      </w:r>
      <w:bookmarkEnd w:id="230"/>
    </w:p>
    <w:p w14:paraId="4333A5DA">
      <w:pPr>
        <w:pStyle w:val="5"/>
        <w:rPr>
          <w:highlight w:val="none"/>
        </w:rPr>
      </w:pPr>
      <w:bookmarkStart w:id="231" w:name="_Toc37689882"/>
      <w:r>
        <w:rPr>
          <w:b/>
          <w:highlight w:val="none"/>
        </w:rPr>
        <w:t>11.7.1</w:t>
      </w:r>
      <w:r>
        <w:rPr>
          <w:highlight w:val="none"/>
        </w:rPr>
        <w:t xml:space="preserve">  为了保证综合管廊内排水通畅，特制定本条规定。</w:t>
      </w:r>
    </w:p>
    <w:p w14:paraId="7CD73CF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11.8</w:t>
      </w:r>
      <w:r>
        <w:rPr>
          <w:color w:val="000000" w:themeColor="text1"/>
          <w:highlight w:val="none"/>
          <w14:textFill>
            <w14:solidFill>
              <w14:schemeClr w14:val="tx1"/>
            </w14:solidFill>
          </w14:textFill>
        </w:rPr>
        <w:t xml:space="preserve">  标 识 系 统</w:t>
      </w:r>
      <w:bookmarkEnd w:id="231"/>
    </w:p>
    <w:p w14:paraId="6EAB2A84">
      <w:pPr>
        <w:pStyle w:val="5"/>
        <w:rPr>
          <w:highlight w:val="none"/>
        </w:rPr>
      </w:pPr>
      <w:r>
        <w:rPr>
          <w:b/>
          <w:highlight w:val="none"/>
        </w:rPr>
        <w:t>11.8.2</w:t>
      </w:r>
      <w:r>
        <w:rPr>
          <w:highlight w:val="none"/>
        </w:rPr>
        <w:t xml:space="preserve">  本条对标识设置部位做了要求，保证标识明显。</w:t>
      </w:r>
    </w:p>
    <w:p w14:paraId="5FEA9561">
      <w:pPr>
        <w:overflowPunct w:val="0"/>
        <w:spacing w:line="348" w:lineRule="exact"/>
        <w:jc w:val="left"/>
        <w:rPr>
          <w:rFonts w:ascii="Times New Roman" w:hAnsi="Times New Roman" w:eastAsia="方正书宋简体" w:cs="Times New Roman"/>
          <w:b/>
          <w:bCs/>
          <w:color w:val="000000" w:themeColor="text1"/>
          <w:kern w:val="44"/>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639DD4AE">
      <w:pPr>
        <w:pStyle w:val="2"/>
        <w:rPr>
          <w:color w:val="000000" w:themeColor="text1"/>
          <w:highlight w:val="none"/>
          <w14:textFill>
            <w14:solidFill>
              <w14:schemeClr w14:val="tx1"/>
            </w14:solidFill>
          </w14:textFill>
        </w:rPr>
      </w:pPr>
      <w:bookmarkStart w:id="232" w:name="_Toc37689883"/>
      <w:r>
        <w:rPr>
          <w:color w:val="000000" w:themeColor="text1"/>
          <w:highlight w:val="none"/>
          <w14:textFill>
            <w14:solidFill>
              <w14:schemeClr w14:val="tx1"/>
            </w14:solidFill>
          </w14:textFill>
        </w:rPr>
        <w:t xml:space="preserve">12  </w:t>
      </w:r>
      <w:r>
        <w:rPr>
          <w:b w:val="0"/>
          <w:bCs w:val="0"/>
          <w:color w:val="000000" w:themeColor="text1"/>
          <w:highlight w:val="none"/>
          <w14:textFill>
            <w14:solidFill>
              <w14:schemeClr w14:val="tx1"/>
            </w14:solidFill>
          </w14:textFill>
        </w:rPr>
        <w:t>管线工程施工</w:t>
      </w:r>
      <w:bookmarkEnd w:id="232"/>
    </w:p>
    <w:p w14:paraId="58DA2D70">
      <w:pPr>
        <w:pStyle w:val="4"/>
        <w:spacing w:before="156" w:after="156"/>
        <w:rPr>
          <w:b/>
          <w:color w:val="000000" w:themeColor="text1"/>
          <w:highlight w:val="none"/>
          <w14:textFill>
            <w14:solidFill>
              <w14:schemeClr w14:val="tx1"/>
            </w14:solidFill>
          </w14:textFill>
        </w:rPr>
      </w:pPr>
      <w:bookmarkStart w:id="233" w:name="_Toc37689884"/>
      <w:r>
        <w:rPr>
          <w:b/>
          <w:bCs w:val="0"/>
          <w:color w:val="000000" w:themeColor="text1"/>
          <w:highlight w:val="none"/>
          <w14:textFill>
            <w14:solidFill>
              <w14:schemeClr w14:val="tx1"/>
            </w14:solidFill>
          </w14:textFill>
        </w:rPr>
        <w:t>12.1</w:t>
      </w:r>
      <w:r>
        <w:rPr>
          <w:color w:val="000000" w:themeColor="text1"/>
          <w:highlight w:val="none"/>
          <w14:textFill>
            <w14:solidFill>
              <w14:schemeClr w14:val="tx1"/>
            </w14:solidFill>
          </w14:textFill>
        </w:rPr>
        <w:t xml:space="preserve">  一 般 规 定</w:t>
      </w:r>
      <w:bookmarkEnd w:id="233"/>
    </w:p>
    <w:p w14:paraId="2BD50ECA">
      <w:pPr>
        <w:pStyle w:val="5"/>
        <w:rPr>
          <w:highlight w:val="none"/>
        </w:rPr>
      </w:pPr>
      <w:r>
        <w:rPr>
          <w:rFonts w:eastAsia="方正黑体简体"/>
          <w:b/>
          <w:highlight w:val="none"/>
        </w:rPr>
        <w:t>12.1.1</w:t>
      </w:r>
      <w:r>
        <w:rPr>
          <w:rFonts w:eastAsia="方正黑体简体"/>
          <w:highlight w:val="none"/>
        </w:rPr>
        <w:t xml:space="preserve">  </w:t>
      </w:r>
      <w:r>
        <w:rPr>
          <w:highlight w:val="none"/>
        </w:rPr>
        <w:t>一般情况下，专业管线工程是在综合管廊结构本</w:t>
      </w:r>
      <w:r>
        <w:rPr>
          <w:rFonts w:hint="eastAsia"/>
          <w:highlight w:val="none"/>
          <w:lang w:val="en-US" w:eastAsia="zh-CN"/>
        </w:rPr>
        <w:t>体</w:t>
      </w:r>
      <w:r>
        <w:rPr>
          <w:highlight w:val="none"/>
        </w:rPr>
        <w:t>基本完成后开始实施。而此时建设单位为能把工程提前交付，一般会要求管线各专业施工单位一起进场施工，事实上进场单位过多往往会在成品保护和施工质量上相互扯皮，相互推诿，使施工质量既难保证，进度也无法提高。所以制定一个合理的施工顺序就显得非常重要。</w:t>
      </w:r>
    </w:p>
    <w:p w14:paraId="709DD4B6">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由于同一区域可能有多个公司或项目部均有施工内容，且整个工程项目施工周期的有限性，各个项目部均想尽快完成工作内容，因此如果没有合理的施工顺序安排，势必会造成紊乱。</w:t>
      </w:r>
    </w:p>
    <w:p w14:paraId="169C99B8">
      <w:pPr>
        <w:pStyle w:val="5"/>
        <w:rPr>
          <w:highlight w:val="none"/>
        </w:rPr>
      </w:pPr>
      <w:r>
        <w:rPr>
          <w:b/>
          <w:highlight w:val="none"/>
        </w:rPr>
        <w:t xml:space="preserve">12.1.2 </w:t>
      </w:r>
      <w:r>
        <w:rPr>
          <w:highlight w:val="none"/>
        </w:rPr>
        <w:t xml:space="preserve"> 由于管线安装不是同时进行，有一定的先后次序。如先安装上层管线再安装下层管线，先安装里层管线再安装外层管线，先安装较大的管线后安装较小的管线（风管先装后装线槽等）。故管线的布置也应给予综合考虑，以免部分管线安装后，后装的管线安装困难或需要拆除原已安装的管线后再重新安装。</w:t>
      </w:r>
    </w:p>
    <w:p w14:paraId="41EC1923">
      <w:pPr>
        <w:pStyle w:val="5"/>
        <w:rPr>
          <w:highlight w:val="none"/>
        </w:rPr>
      </w:pPr>
      <w:bookmarkStart w:id="234" w:name="_Toc37689885"/>
      <w:r>
        <w:rPr>
          <w:b/>
          <w:highlight w:val="none"/>
        </w:rPr>
        <w:t>12.1.3</w:t>
      </w:r>
      <w:r>
        <w:rPr>
          <w:highlight w:val="none"/>
        </w:rPr>
        <w:t xml:space="preserve">  由于地下管廊施工的特殊性，各专业在施工时将无法避免接触其他专业的材料，势必对成品造成不同程度的损坏。因此各单位务必要特别加强施工人员的教育，提高成品保护意识，同时要在施工顺序安排要着重考虑成品保护问题。</w:t>
      </w:r>
    </w:p>
    <w:p w14:paraId="00A6C010">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12.2</w:t>
      </w:r>
      <w:r>
        <w:rPr>
          <w:color w:val="000000" w:themeColor="text1"/>
          <w:highlight w:val="none"/>
          <w14:textFill>
            <w14:solidFill>
              <w14:schemeClr w14:val="tx1"/>
            </w14:solidFill>
          </w14:textFill>
        </w:rPr>
        <w:t xml:space="preserve">  给水及再生水管道</w:t>
      </w:r>
      <w:bookmarkEnd w:id="234"/>
    </w:p>
    <w:p w14:paraId="55F7BA62">
      <w:pPr>
        <w:pStyle w:val="5"/>
        <w:rPr>
          <w:highlight w:val="none"/>
        </w:rPr>
      </w:pPr>
      <w:bookmarkStart w:id="235" w:name="_Toc37689886"/>
      <w:r>
        <w:rPr>
          <w:b/>
          <w:highlight w:val="none"/>
        </w:rPr>
        <w:t xml:space="preserve">12.2.4 </w:t>
      </w:r>
      <w:r>
        <w:rPr>
          <w:highlight w:val="none"/>
        </w:rPr>
        <w:t xml:space="preserve"> 本条对钢管施工时管道弯头弯曲半径进行了要求。</w:t>
      </w:r>
    </w:p>
    <w:p w14:paraId="53CCF257">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t xml:space="preserve">  排 水 管 道</w:t>
      </w:r>
      <w:bookmarkEnd w:id="235"/>
    </w:p>
    <w:p w14:paraId="6F3A4BF8">
      <w:pPr>
        <w:pStyle w:val="5"/>
        <w:rPr>
          <w:highlight w:val="none"/>
        </w:rPr>
      </w:pPr>
      <w:bookmarkStart w:id="236" w:name="_Toc37689887"/>
      <w:r>
        <w:rPr>
          <w:b/>
          <w:highlight w:val="none"/>
        </w:rPr>
        <w:t>12.3.4</w:t>
      </w:r>
      <w:r>
        <w:rPr>
          <w:highlight w:val="none"/>
        </w:rPr>
        <w:t xml:space="preserve">  污水管道中产生厌氧消化环境，大量甲烷、硫化氢和氨气的情况也普遍存在，可能造成爆燃危险或对巡查人员造成中毒危害，所以对通气装置进行严格密闭要求。</w:t>
      </w:r>
    </w:p>
    <w:p w14:paraId="3E22AAAD">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12.4</w:t>
      </w:r>
      <w:r>
        <w:rPr>
          <w:color w:val="000000" w:themeColor="text1"/>
          <w:highlight w:val="none"/>
          <w14:textFill>
            <w14:solidFill>
              <w14:schemeClr w14:val="tx1"/>
            </w14:solidFill>
          </w14:textFill>
        </w:rPr>
        <w:t xml:space="preserve">  燃 气 管 道</w:t>
      </w:r>
      <w:bookmarkEnd w:id="236"/>
    </w:p>
    <w:p w14:paraId="22E65681">
      <w:pPr>
        <w:pStyle w:val="5"/>
        <w:rPr>
          <w:highlight w:val="none"/>
        </w:rPr>
      </w:pPr>
      <w:bookmarkStart w:id="237" w:name="_Hlk524356587"/>
      <w:r>
        <w:rPr>
          <w:b/>
          <w:highlight w:val="none"/>
        </w:rPr>
        <w:t xml:space="preserve">12.4.1  </w:t>
      </w:r>
      <w:r>
        <w:rPr>
          <w:highlight w:val="none"/>
        </w:rPr>
        <w:t xml:space="preserve">对设计错误、材料代用、合理化建议及在施工中在条件限制不能达到设计要求时，按程序办理设计变更。 </w:t>
      </w:r>
    </w:p>
    <w:p w14:paraId="48B35650">
      <w:pPr>
        <w:pStyle w:val="5"/>
        <w:rPr>
          <w:highlight w:val="none"/>
        </w:rPr>
      </w:pPr>
      <w:r>
        <w:rPr>
          <w:b/>
          <w:highlight w:val="none"/>
        </w:rPr>
        <w:t>12.4.2</w:t>
      </w:r>
      <w:r>
        <w:rPr>
          <w:highlight w:val="none"/>
        </w:rPr>
        <w:t xml:space="preserve">  对工程施工所用管材、管道附件、设备的出厂合格证有异议或外观存在明显缺陷，应按国家现行的有关产品标准进行检验，合格后方可使用。 </w:t>
      </w:r>
    </w:p>
    <w:p w14:paraId="5B990A14">
      <w:pPr>
        <w:pStyle w:val="5"/>
        <w:rPr>
          <w:highlight w:val="none"/>
        </w:rPr>
      </w:pPr>
      <w:r>
        <w:rPr>
          <w:b/>
          <w:highlight w:val="none"/>
        </w:rPr>
        <w:t>12.4.3</w:t>
      </w:r>
      <w:r>
        <w:rPr>
          <w:highlight w:val="none"/>
        </w:rPr>
        <w:t xml:space="preserve">  本条是对从事燃气钢质管道、设备焊接的焊工的基本要求，其考试方法可参照现行国家标准《</w:t>
      </w:r>
      <w:r>
        <w:rPr>
          <w:rFonts w:hint="eastAsia"/>
          <w:highlight w:val="none"/>
        </w:rPr>
        <w:t>现场设备、工业管道焊接工程施工规范</w:t>
      </w:r>
      <w:r>
        <w:rPr>
          <w:highlight w:val="none"/>
        </w:rPr>
        <w:t xml:space="preserve">》GB50236第5章执行。 </w:t>
      </w:r>
    </w:p>
    <w:p w14:paraId="12CD3525">
      <w:pPr>
        <w:pStyle w:val="5"/>
        <w:rPr>
          <w:highlight w:val="none"/>
        </w:rPr>
      </w:pPr>
      <w:r>
        <w:rPr>
          <w:b/>
          <w:highlight w:val="none"/>
        </w:rPr>
        <w:t>12.4.4</w:t>
      </w:r>
      <w:r>
        <w:rPr>
          <w:highlight w:val="none"/>
        </w:rPr>
        <w:t xml:space="preserve">  在工程的各个阶段，应对材料的质量认真把关，防止不合格品进入安装阶段。 </w:t>
      </w:r>
    </w:p>
    <w:p w14:paraId="62D4F2E1">
      <w:pPr>
        <w:pStyle w:val="5"/>
        <w:rPr>
          <w:highlight w:val="none"/>
        </w:rPr>
      </w:pPr>
      <w:r>
        <w:rPr>
          <w:b/>
          <w:highlight w:val="none"/>
        </w:rPr>
        <w:t xml:space="preserve">12.4.5 </w:t>
      </w:r>
      <w:r>
        <w:rPr>
          <w:highlight w:val="none"/>
        </w:rPr>
        <w:t xml:space="preserve"> 根据不同的防腐材料对钢管的除锈等级的要求，按《涂装前钢材表面预处理规范》SY/T0407规范的要求对钢管表面进行预处理。各种防腐材料的施工及验收按国家现行标准执行，以利在相关标准被修订后，可及时地按新修订的标准执行。 </w:t>
      </w:r>
    </w:p>
    <w:p w14:paraId="381AC270">
      <w:pPr>
        <w:pStyle w:val="5"/>
        <w:rPr>
          <w:highlight w:val="none"/>
        </w:rPr>
      </w:pPr>
      <w:r>
        <w:rPr>
          <w:b/>
          <w:highlight w:val="none"/>
        </w:rPr>
        <w:t>12.4.6</w:t>
      </w:r>
      <w:r>
        <w:rPr>
          <w:highlight w:val="none"/>
        </w:rPr>
        <w:t xml:space="preserve">  管道焊缝不应设置在套管内；管道与套管间应塞对管道无害的不燃材料。 </w:t>
      </w:r>
    </w:p>
    <w:p w14:paraId="3716A471">
      <w:pPr>
        <w:pStyle w:val="5"/>
        <w:rPr>
          <w:highlight w:val="none"/>
        </w:rPr>
      </w:pPr>
      <w:r>
        <w:rPr>
          <w:b/>
          <w:highlight w:val="none"/>
        </w:rPr>
        <w:t xml:space="preserve">12.4.7 </w:t>
      </w:r>
      <w:r>
        <w:rPr>
          <w:highlight w:val="none"/>
        </w:rPr>
        <w:t xml:space="preserve"> 管道的平面位置与其他设施的安全距离有关，不得随意改动。  </w:t>
      </w:r>
    </w:p>
    <w:p w14:paraId="3176F28E">
      <w:pPr>
        <w:pStyle w:val="5"/>
        <w:rPr>
          <w:highlight w:val="none"/>
        </w:rPr>
      </w:pPr>
      <w:r>
        <w:rPr>
          <w:b/>
          <w:highlight w:val="none"/>
        </w:rPr>
        <w:t>12.4.8</w:t>
      </w:r>
      <w:r>
        <w:rPr>
          <w:highlight w:val="none"/>
        </w:rPr>
        <w:t xml:space="preserve">  本规程对钢管的焊接直接引用国家现行标准，以利在国家标准修订后，可及时地按新修订的版本。 </w:t>
      </w:r>
    </w:p>
    <w:bookmarkEnd w:id="237"/>
    <w:p w14:paraId="6E384D3C">
      <w:pPr>
        <w:pStyle w:val="5"/>
        <w:rPr>
          <w:highlight w:val="none"/>
        </w:rPr>
      </w:pPr>
      <w:bookmarkStart w:id="238" w:name="_Toc37689888"/>
      <w:r>
        <w:rPr>
          <w:b/>
          <w:highlight w:val="none"/>
        </w:rPr>
        <w:t>12.4.9</w:t>
      </w:r>
      <w:r>
        <w:rPr>
          <w:highlight w:val="none"/>
        </w:rPr>
        <w:t xml:space="preserve">  天然气管道泄漏是造成燃烧和爆炸事故的根源，为保证纳入管廊后的安全，管廊中的天然气管道试压应严于</w:t>
      </w:r>
      <w:r>
        <w:rPr>
          <w:rFonts w:hint="eastAsia" w:ascii="方正书宋简体" w:hAnsi="方正书宋简体" w:cs="方正书宋简体"/>
          <w:highlight w:val="none"/>
          <w:shd w:val="clear" w:color="auto" w:fill="FFFFFF"/>
        </w:rPr>
        <w:t>《城镇燃气输配工程施工及验收标准》</w:t>
      </w:r>
      <w:r>
        <w:rPr>
          <w:highlight w:val="none"/>
        </w:rPr>
        <w:t>GB/T 51455规范的要求。</w:t>
      </w:r>
    </w:p>
    <w:p w14:paraId="5D5A9F75">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12.5</w:t>
      </w:r>
      <w:r>
        <w:rPr>
          <w:color w:val="000000" w:themeColor="text1"/>
          <w:highlight w:val="none"/>
          <w14:textFill>
            <w14:solidFill>
              <w14:schemeClr w14:val="tx1"/>
            </w14:solidFill>
          </w14:textFill>
        </w:rPr>
        <w:t xml:space="preserve">  热 力 管 道</w:t>
      </w:r>
      <w:bookmarkEnd w:id="238"/>
    </w:p>
    <w:p w14:paraId="66974F65">
      <w:pPr>
        <w:pStyle w:val="5"/>
        <w:rPr>
          <w:highlight w:val="none"/>
        </w:rPr>
      </w:pPr>
      <w:r>
        <w:rPr>
          <w:b/>
          <w:highlight w:val="none"/>
        </w:rPr>
        <w:t>12.5.1</w:t>
      </w:r>
      <w:r>
        <w:rPr>
          <w:highlight w:val="none"/>
        </w:rPr>
        <w:t xml:space="preserve">  热力管道及管件的加工、制作、采购必须与设计文件的参数相一致。</w:t>
      </w:r>
    </w:p>
    <w:p w14:paraId="59886621">
      <w:pPr>
        <w:pStyle w:val="5"/>
        <w:rPr>
          <w:highlight w:val="none"/>
        </w:rPr>
      </w:pPr>
      <w:r>
        <w:rPr>
          <w:b/>
          <w:highlight w:val="none"/>
        </w:rPr>
        <w:t>12.5.2</w:t>
      </w:r>
      <w:r>
        <w:rPr>
          <w:highlight w:val="none"/>
        </w:rPr>
        <w:t xml:space="preserve">  管廊内施工时，预制保温管会产生二次搬运的情况，易对管道的外护层及管口造成损伤。</w:t>
      </w:r>
    </w:p>
    <w:p w14:paraId="5E7B393C">
      <w:pPr>
        <w:pStyle w:val="5"/>
        <w:rPr>
          <w:highlight w:val="none"/>
        </w:rPr>
      </w:pPr>
      <w:r>
        <w:rPr>
          <w:b/>
          <w:highlight w:val="none"/>
        </w:rPr>
        <w:t>12.5.3</w:t>
      </w:r>
      <w:r>
        <w:rPr>
          <w:highlight w:val="none"/>
        </w:rPr>
        <w:t xml:space="preserve">  为确保焊接质量，保证管网的安全运行。</w:t>
      </w:r>
    </w:p>
    <w:p w14:paraId="566B4048">
      <w:pPr>
        <w:pStyle w:val="5"/>
        <w:rPr>
          <w:highlight w:val="none"/>
        </w:rPr>
      </w:pPr>
      <w:r>
        <w:rPr>
          <w:b/>
          <w:highlight w:val="none"/>
        </w:rPr>
        <w:t>12.5.4</w:t>
      </w:r>
      <w:r>
        <w:rPr>
          <w:highlight w:val="none"/>
        </w:rPr>
        <w:t xml:space="preserve">  预埋锚板的上下位置错位，会影响固定支架的受力和制作安装的精度。</w:t>
      </w:r>
    </w:p>
    <w:p w14:paraId="3D6A7D9D">
      <w:pPr>
        <w:pStyle w:val="5"/>
        <w:rPr>
          <w:highlight w:val="none"/>
        </w:rPr>
      </w:pPr>
      <w:r>
        <w:rPr>
          <w:b/>
          <w:highlight w:val="none"/>
        </w:rPr>
        <w:t>12.5.5</w:t>
      </w:r>
      <w:r>
        <w:rPr>
          <w:highlight w:val="none"/>
        </w:rPr>
        <w:t xml:space="preserve">  管廊内的滑动支座、固定支架的位置及构造对管网的安全运行至关重要，必须严格执行。</w:t>
      </w:r>
    </w:p>
    <w:p w14:paraId="302C2D9F">
      <w:pPr>
        <w:pStyle w:val="5"/>
        <w:rPr>
          <w:highlight w:val="none"/>
        </w:rPr>
      </w:pPr>
      <w:r>
        <w:rPr>
          <w:b/>
          <w:highlight w:val="none"/>
        </w:rPr>
        <w:t xml:space="preserve">12.5.6 </w:t>
      </w:r>
      <w:r>
        <w:rPr>
          <w:highlight w:val="none"/>
        </w:rPr>
        <w:t xml:space="preserve"> 接口保温应符合下列要求：</w:t>
      </w:r>
    </w:p>
    <w:p w14:paraId="4B0A4B62">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1</w:t>
      </w:r>
      <w:r>
        <w:rPr>
          <w:rFonts w:ascii="Times New Roman" w:hAnsi="Times New Roman" w:eastAsia="方正书宋简体" w:cs="Times New Roman"/>
          <w:color w:val="000000" w:themeColor="text1"/>
          <w:highlight w:val="none"/>
          <w14:textFill>
            <w14:solidFill>
              <w14:schemeClr w14:val="tx1"/>
            </w14:solidFill>
          </w14:textFill>
        </w:rPr>
        <w:t xml:space="preserve">  接口保温应在管道安装完毕，焊缝检验合格、强度试验合格后进行，为避免先接口保温容易掩盖焊缝的缺陷，造成潜在的质量隐患；</w:t>
      </w:r>
    </w:p>
    <w:p w14:paraId="3FF8C598">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2</w:t>
      </w:r>
      <w:r>
        <w:rPr>
          <w:rFonts w:ascii="Times New Roman" w:hAnsi="Times New Roman" w:eastAsia="方正书宋简体" w:cs="Times New Roman"/>
          <w:color w:val="000000" w:themeColor="text1"/>
          <w:highlight w:val="none"/>
          <w14:textFill>
            <w14:solidFill>
              <w14:schemeClr w14:val="tx1"/>
            </w14:solidFill>
          </w14:textFill>
        </w:rPr>
        <w:t xml:space="preserve">  由于环境温度低，会对接口保温的发泡质量产生影响；</w:t>
      </w:r>
    </w:p>
    <w:p w14:paraId="2727E15B">
      <w:pPr>
        <w:pStyle w:val="42"/>
        <w:overflowPunct w:val="0"/>
        <w:spacing w:line="348" w:lineRule="exact"/>
        <w:ind w:firstLine="424"/>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b/>
          <w:bCs/>
          <w:color w:val="000000" w:themeColor="text1"/>
          <w:highlight w:val="none"/>
          <w14:textFill>
            <w14:solidFill>
              <w14:schemeClr w14:val="tx1"/>
            </w14:solidFill>
          </w14:textFill>
        </w:rPr>
        <w:t>3</w:t>
      </w:r>
      <w:r>
        <w:rPr>
          <w:rFonts w:ascii="Times New Roman" w:hAnsi="Times New Roman" w:eastAsia="方正书宋简体" w:cs="Times New Roman"/>
          <w:color w:val="000000" w:themeColor="text1"/>
          <w:highlight w:val="none"/>
          <w14:textFill>
            <w14:solidFill>
              <w14:schemeClr w14:val="tx1"/>
            </w14:solidFill>
          </w14:textFill>
        </w:rPr>
        <w:t xml:space="preserve">  接口外护层热熔套的熔焊宽度应与保温管外护管完全搭接，以保证接口搭接的熔焊质量及外护层的强度和密封性。</w:t>
      </w:r>
    </w:p>
    <w:p w14:paraId="49B27A22">
      <w:pPr>
        <w:pStyle w:val="5"/>
        <w:rPr>
          <w:highlight w:val="none"/>
        </w:rPr>
      </w:pPr>
      <w:r>
        <w:rPr>
          <w:b/>
          <w:highlight w:val="none"/>
        </w:rPr>
        <w:t>12.5.7</w:t>
      </w:r>
      <w:r>
        <w:rPr>
          <w:highlight w:val="none"/>
        </w:rPr>
        <w:t xml:space="preserve">  试压中发现的缺陷，带压进行焊接、拆卸法兰等处理是极其危险的，必须将试验压力降至环境大气压后进行消缺是为了保证施工安全。</w:t>
      </w:r>
    </w:p>
    <w:p w14:paraId="0847C32C">
      <w:pPr>
        <w:pStyle w:val="5"/>
        <w:rPr>
          <w:highlight w:val="none"/>
        </w:rPr>
      </w:pPr>
      <w:r>
        <w:rPr>
          <w:b/>
          <w:highlight w:val="none"/>
        </w:rPr>
        <w:t>12.5.8</w:t>
      </w:r>
      <w:r>
        <w:rPr>
          <w:highlight w:val="none"/>
        </w:rPr>
        <w:t xml:space="preserve">  为保证运行效果，保护换热设备应在试运行前对管网进行冲洗。</w:t>
      </w:r>
    </w:p>
    <w:p w14:paraId="1289BCEF">
      <w:pPr>
        <w:pStyle w:val="5"/>
        <w:rPr>
          <w:highlight w:val="none"/>
        </w:rPr>
      </w:pPr>
      <w:bookmarkStart w:id="239" w:name="_Toc37689889"/>
      <w:r>
        <w:rPr>
          <w:b/>
          <w:highlight w:val="none"/>
        </w:rPr>
        <w:t>12.5.9</w:t>
      </w:r>
      <w:r>
        <w:rPr>
          <w:highlight w:val="none"/>
        </w:rPr>
        <w:t xml:space="preserve">  《城镇供热管网工程施工及验收规范》CJJ 28和《现场设备、工业管道焊接工程施工规范》GB 50236，对管道的施工和质量验收标准，尤其是管道的焊接质量标准，都作了明确的规定，在施工前应全部熟悉掌握。</w:t>
      </w:r>
    </w:p>
    <w:p w14:paraId="72123B7A">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12.6</w:t>
      </w:r>
      <w:r>
        <w:rPr>
          <w:color w:val="000000" w:themeColor="text1"/>
          <w:highlight w:val="none"/>
          <w14:textFill>
            <w14:solidFill>
              <w14:schemeClr w14:val="tx1"/>
            </w14:solidFill>
          </w14:textFill>
        </w:rPr>
        <w:t xml:space="preserve">  电 力 电 缆</w:t>
      </w:r>
      <w:bookmarkEnd w:id="239"/>
    </w:p>
    <w:p w14:paraId="2FC181C9">
      <w:pPr>
        <w:pStyle w:val="5"/>
        <w:rPr>
          <w:highlight w:val="none"/>
        </w:rPr>
      </w:pPr>
      <w:r>
        <w:rPr>
          <w:b/>
          <w:highlight w:val="none"/>
        </w:rPr>
        <w:t>12.6.6</w:t>
      </w:r>
      <w:r>
        <w:rPr>
          <w:highlight w:val="none"/>
        </w:rPr>
        <w:t xml:space="preserve">  金属制的电缆支架应有防腐蚀处理，在强腐蚀环境，宜采用热浸锌等耐久性较高的防腐处理。</w:t>
      </w:r>
    </w:p>
    <w:p w14:paraId="11C60F53">
      <w:pPr>
        <w:pStyle w:val="5"/>
        <w:rPr>
          <w:highlight w:val="none"/>
        </w:rPr>
      </w:pPr>
      <w:r>
        <w:rPr>
          <w:b/>
          <w:highlight w:val="none"/>
        </w:rPr>
        <w:t>12.6.12</w:t>
      </w:r>
      <w:r>
        <w:rPr>
          <w:highlight w:val="none"/>
        </w:rPr>
        <w:t xml:space="preserve">  电缆敷设方式的选择，应视工程条件、环境特点和电缆类型、数量等因素，以及满足运行可靠、便于维护和技术经济合理的原则来选择。</w:t>
      </w:r>
    </w:p>
    <w:p w14:paraId="638981F6">
      <w:pPr>
        <w:pStyle w:val="5"/>
        <w:rPr>
          <w:highlight w:val="none"/>
        </w:rPr>
      </w:pPr>
      <w:bookmarkStart w:id="240" w:name="_Toc37689890"/>
      <w:r>
        <w:rPr>
          <w:b/>
          <w:highlight w:val="none"/>
        </w:rPr>
        <w:t xml:space="preserve">12.6.14 </w:t>
      </w:r>
      <w:r>
        <w:rPr>
          <w:highlight w:val="none"/>
        </w:rPr>
        <w:t xml:space="preserve"> 电缆</w:t>
      </w:r>
      <w:r>
        <w:rPr>
          <w:rFonts w:eastAsia="宋体"/>
          <w:highlight w:val="none"/>
        </w:rPr>
        <w:t>數</w:t>
      </w:r>
      <w:r>
        <w:rPr>
          <w:highlight w:val="none"/>
        </w:rPr>
        <w:t>设后置于支架上，电缆中间接头裕度小，电缆中间接头一旦故障，势必要增添一段电缆并重新制作两个中间接头，所以在终端头与接头附近宜留有备用长度。</w:t>
      </w:r>
    </w:p>
    <w:p w14:paraId="3460B8D8">
      <w:pPr>
        <w:pStyle w:val="4"/>
        <w:spacing w:before="156" w:after="156"/>
        <w:rPr>
          <w:b/>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12.7</w:t>
      </w:r>
      <w:r>
        <w:rPr>
          <w:color w:val="000000" w:themeColor="text1"/>
          <w:highlight w:val="none"/>
          <w14:textFill>
            <w14:solidFill>
              <w14:schemeClr w14:val="tx1"/>
            </w14:solidFill>
          </w14:textFill>
        </w:rPr>
        <w:t xml:space="preserve">  通 信 线 缆</w:t>
      </w:r>
      <w:bookmarkEnd w:id="240"/>
    </w:p>
    <w:p w14:paraId="6D5EE01C">
      <w:pPr>
        <w:pStyle w:val="5"/>
        <w:rPr>
          <w:highlight w:val="none"/>
        </w:rPr>
      </w:pPr>
      <w:r>
        <w:rPr>
          <w:b/>
          <w:highlight w:val="none"/>
        </w:rPr>
        <w:t>12.7.3</w:t>
      </w:r>
      <w:r>
        <w:rPr>
          <w:highlight w:val="none"/>
        </w:rPr>
        <w:t xml:space="preserve">  本条对通信对绞电缆预留长度做了要求，设计无要求时，应满足国家现行标准的有关规定。</w:t>
      </w:r>
    </w:p>
    <w:p w14:paraId="3AEC7D58">
      <w:pPr>
        <w:overflowPunct w:val="0"/>
        <w:spacing w:line="348" w:lineRule="exact"/>
        <w:jc w:val="left"/>
        <w:rPr>
          <w:rFonts w:ascii="Times New Roman" w:hAnsi="Times New Roman" w:eastAsia="方正书宋简体" w:cs="Times New Roman"/>
          <w:b/>
          <w:bCs/>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36EA650B">
      <w:pPr>
        <w:pStyle w:val="2"/>
        <w:rPr>
          <w:b w:val="0"/>
          <w:bCs w:val="0"/>
          <w:color w:val="000000" w:themeColor="text1"/>
          <w:highlight w:val="none"/>
          <w14:textFill>
            <w14:solidFill>
              <w14:schemeClr w14:val="tx1"/>
            </w14:solidFill>
          </w14:textFill>
        </w:rPr>
      </w:pPr>
      <w:bookmarkStart w:id="241" w:name="_Toc37689894"/>
      <w:r>
        <w:rPr>
          <w:rFonts w:hint="eastAsia"/>
          <w:color w:val="000000" w:themeColor="text1"/>
          <w:highlight w:val="none"/>
          <w:u w:val="none"/>
          <w:lang w:val="en-US"/>
          <w14:textFill>
            <w14:solidFill>
              <w14:schemeClr w14:val="tx1"/>
            </w14:solidFill>
          </w14:textFill>
        </w:rPr>
        <w:t>13</w:t>
      </w:r>
      <w:r>
        <w:rPr>
          <w:color w:val="000000" w:themeColor="text1"/>
          <w:highlight w:val="none"/>
          <w14:textFill>
            <w14:solidFill>
              <w14:schemeClr w14:val="tx1"/>
            </w14:solidFill>
          </w14:textFill>
        </w:rPr>
        <w:t xml:space="preserve">  </w:t>
      </w:r>
      <w:r>
        <w:rPr>
          <w:b w:val="0"/>
          <w:bCs w:val="0"/>
          <w:color w:val="000000" w:themeColor="text1"/>
          <w:highlight w:val="none"/>
          <w14:textFill>
            <w14:solidFill>
              <w14:schemeClr w14:val="tx1"/>
            </w14:solidFill>
          </w14:textFill>
        </w:rPr>
        <w:t>工程质量验收与资料管理</w:t>
      </w:r>
      <w:bookmarkEnd w:id="241"/>
    </w:p>
    <w:p w14:paraId="6EFEF7EA">
      <w:pPr>
        <w:pStyle w:val="4"/>
        <w:spacing w:before="156" w:after="156"/>
        <w:rPr>
          <w:b/>
          <w:color w:val="000000" w:themeColor="text1"/>
          <w:highlight w:val="none"/>
          <w14:textFill>
            <w14:solidFill>
              <w14:schemeClr w14:val="tx1"/>
            </w14:solidFill>
          </w14:textFill>
        </w:rPr>
      </w:pPr>
      <w:bookmarkStart w:id="242" w:name="_Toc37689895"/>
      <w:r>
        <w:rPr>
          <w:b/>
          <w:bCs w:val="0"/>
          <w:color w:val="000000" w:themeColor="text1"/>
          <w:highlight w:val="none"/>
          <w14:textFill>
            <w14:solidFill>
              <w14:schemeClr w14:val="tx1"/>
            </w14:solidFill>
          </w14:textFill>
        </w:rPr>
        <w:t>1</w:t>
      </w:r>
      <w:r>
        <w:rPr>
          <w:rFonts w:hint="eastAsia"/>
          <w:b/>
          <w:bCs w:val="0"/>
          <w:color w:val="000000" w:themeColor="text1"/>
          <w:highlight w:val="none"/>
          <w14:textFill>
            <w14:solidFill>
              <w14:schemeClr w14:val="tx1"/>
            </w14:solidFill>
          </w14:textFill>
        </w:rPr>
        <w:t>3</w:t>
      </w:r>
      <w:r>
        <w:rPr>
          <w:b/>
          <w:bCs w:val="0"/>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w:t>
      </w:r>
      <w:bookmarkEnd w:id="242"/>
      <w:r>
        <w:rPr>
          <w:rFonts w:hint="eastAsia"/>
          <w:color w:val="000000" w:themeColor="text1"/>
          <w:highlight w:val="none"/>
          <w:lang w:val="en-US" w:eastAsia="zh-CN"/>
          <w14:textFill>
            <w14:solidFill>
              <w14:schemeClr w14:val="tx1"/>
            </w14:solidFill>
          </w14:textFill>
        </w:rPr>
        <w:t>质 量 验 收</w:t>
      </w:r>
      <w:r>
        <w:rPr>
          <w:color w:val="000000" w:themeColor="text1"/>
          <w:highlight w:val="none"/>
          <w14:textFill>
            <w14:solidFill>
              <w14:schemeClr w14:val="tx1"/>
            </w14:solidFill>
          </w14:textFill>
        </w:rPr>
        <w:t xml:space="preserve"> </w:t>
      </w:r>
    </w:p>
    <w:p w14:paraId="621B8C21">
      <w:pPr>
        <w:pStyle w:val="5"/>
        <w:rPr>
          <w:highlight w:val="none"/>
        </w:rPr>
      </w:pPr>
      <w:r>
        <w:rPr>
          <w:b/>
          <w:highlight w:val="none"/>
        </w:rPr>
        <w:t>1</w:t>
      </w:r>
      <w:r>
        <w:rPr>
          <w:rFonts w:hint="eastAsia"/>
          <w:b/>
          <w:highlight w:val="none"/>
        </w:rPr>
        <w:t>3</w:t>
      </w:r>
      <w:r>
        <w:rPr>
          <w:b/>
          <w:highlight w:val="none"/>
        </w:rPr>
        <w:t>.1.1</w:t>
      </w:r>
      <w:r>
        <w:rPr>
          <w:highlight w:val="none"/>
        </w:rPr>
        <w:t xml:space="preserve">  工程施工质量要体现过程控制的原则。施工现场应配齐相应的施工技术标准，包括国家标准、行业标准和企业标准；施工单位要有健全的质量管理体系，要建立必要的施工质量检验制度；施工准备工作要全面、到位。</w:t>
      </w:r>
    </w:p>
    <w:p w14:paraId="19573904">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前，监理单位要对施工单位所做的施工准备工作进行全面检查。这是对监理单位和施工单位两方提出的要求，是保证开工后顺利施工和保证工程质量的基础。一般情况下，每个单位工程应检查一次。施工现场质量管理检查记录由施工单位的现场负责人填写，由监理单位的总监理工程师（建设单位项目负责人）进行检查验收，做出合格或不合格及限期整改的结论。</w:t>
      </w:r>
    </w:p>
    <w:p w14:paraId="5DB99CFD">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现场质量管理制度应包括现场施工技术资料的管理制度在内。</w:t>
      </w:r>
    </w:p>
    <w:p w14:paraId="498AC05C">
      <w:pPr>
        <w:pStyle w:val="5"/>
        <w:rPr>
          <w:rFonts w:hint="default" w:eastAsia="方正书宋简体"/>
          <w:highlight w:val="none"/>
          <w:lang w:val="en-US" w:eastAsia="zh-CN"/>
        </w:rPr>
      </w:pPr>
      <w:r>
        <w:rPr>
          <w:b/>
          <w:highlight w:val="none"/>
        </w:rPr>
        <w:t>1</w:t>
      </w:r>
      <w:r>
        <w:rPr>
          <w:rFonts w:hint="eastAsia"/>
          <w:b/>
          <w:highlight w:val="none"/>
        </w:rPr>
        <w:t>3</w:t>
      </w:r>
      <w:r>
        <w:rPr>
          <w:b/>
          <w:highlight w:val="none"/>
        </w:rPr>
        <w:t>.</w:t>
      </w:r>
      <w:r>
        <w:rPr>
          <w:rFonts w:hint="eastAsia"/>
          <w:b/>
          <w:highlight w:val="none"/>
          <w:lang w:val="en-US" w:eastAsia="zh-CN"/>
        </w:rPr>
        <w:t>1</w:t>
      </w:r>
      <w:r>
        <w:rPr>
          <w:b/>
          <w:highlight w:val="none"/>
        </w:rPr>
        <w:t>.</w:t>
      </w:r>
      <w:r>
        <w:rPr>
          <w:rFonts w:hint="eastAsia"/>
          <w:b/>
          <w:highlight w:val="none"/>
          <w:lang w:val="en-US" w:eastAsia="zh-CN"/>
        </w:rPr>
        <w:t>3</w:t>
      </w:r>
      <w:r>
        <w:rPr>
          <w:highlight w:val="none"/>
        </w:rPr>
        <w:t xml:space="preserve">  </w:t>
      </w:r>
      <w:r>
        <w:rPr>
          <w:rFonts w:hint="eastAsia"/>
          <w:highlight w:val="none"/>
          <w:lang w:val="en-US" w:eastAsia="zh-CN"/>
        </w:rPr>
        <w:t>验收依据应符合下列规定：</w:t>
      </w:r>
    </w:p>
    <w:p w14:paraId="5ABAA1CB">
      <w:pPr>
        <w:pStyle w:val="5"/>
        <w:ind w:firstLine="422" w:firstLineChars="200"/>
        <w:rPr>
          <w:highlight w:val="none"/>
        </w:rPr>
      </w:pPr>
      <w:r>
        <w:rPr>
          <w:rFonts w:hint="eastAsia"/>
          <w:b/>
          <w:highlight w:val="none"/>
          <w:lang w:val="en-US" w:eastAsia="zh-CN"/>
        </w:rPr>
        <w:t xml:space="preserve">3  </w:t>
      </w:r>
      <w:r>
        <w:rPr>
          <w:rFonts w:hint="eastAsia"/>
          <w:color w:val="auto"/>
          <w:highlight w:val="none"/>
          <w:u w:val="none"/>
        </w:rPr>
        <w:t>天然气</w:t>
      </w:r>
      <w:r>
        <w:rPr>
          <w:highlight w:val="none"/>
        </w:rPr>
        <w:t>管道输送的天然气易燃易爆，是综合管廊内危险性极大的管道；污水管道内的污水消耗氧气、含有有毒气体，应视为危险管道；供热管道内介质温度高，一旦漏损严重或发生爆管事故，将在管廊内部形成高温高湿的空气环境，也是危险管道；入廊的给水管管径及压力均较大，施工质量不佳，一旦爆管发生，将造成管廊淹没，威胁运维人员、电力电缆及附属设施的安全运行；入廊敷设的电力电缆及通信光缆一般为市政主干或重要缆线，一旦出现故障，事故的影响范围较大，或造成较高的经济损失及人员伤亡。所以，这些管线应作为重点检查的项目。</w:t>
      </w:r>
    </w:p>
    <w:p w14:paraId="6A5AA917">
      <w:pPr>
        <w:pStyle w:val="4"/>
        <w:spacing w:before="156" w:after="156"/>
        <w:rPr>
          <w:b/>
          <w:color w:val="000000" w:themeColor="text1"/>
          <w:highlight w:val="none"/>
          <w14:textFill>
            <w14:solidFill>
              <w14:schemeClr w14:val="tx1"/>
            </w14:solidFill>
          </w14:textFill>
        </w:rPr>
      </w:pPr>
      <w:bookmarkStart w:id="243" w:name="_Toc37689899"/>
      <w:r>
        <w:rPr>
          <w:b/>
          <w:bCs w:val="0"/>
          <w:color w:val="000000" w:themeColor="text1"/>
          <w:highlight w:val="none"/>
          <w14:textFill>
            <w14:solidFill>
              <w14:schemeClr w14:val="tx1"/>
            </w14:solidFill>
          </w14:textFill>
        </w:rPr>
        <w:t>1</w:t>
      </w:r>
      <w:r>
        <w:rPr>
          <w:rFonts w:hint="eastAsia"/>
          <w:b/>
          <w:bCs w:val="0"/>
          <w:color w:val="000000" w:themeColor="text1"/>
          <w:highlight w:val="none"/>
          <w14:textFill>
            <w14:solidFill>
              <w14:schemeClr w14:val="tx1"/>
            </w14:solidFill>
          </w14:textFill>
        </w:rPr>
        <w:t>3</w:t>
      </w:r>
      <w:r>
        <w:rPr>
          <w:b/>
          <w:bCs w:val="0"/>
          <w:color w:val="000000" w:themeColor="text1"/>
          <w:highlight w:val="none"/>
          <w14:textFill>
            <w14:solidFill>
              <w14:schemeClr w14:val="tx1"/>
            </w14:solidFill>
          </w14:textFill>
        </w:rPr>
        <w:t>.</w:t>
      </w:r>
      <w:r>
        <w:rPr>
          <w:rFonts w:hint="eastAsia"/>
          <w:b/>
          <w:bCs w:val="0"/>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 xml:space="preserve">  资 料 管 理</w:t>
      </w:r>
      <w:bookmarkEnd w:id="243"/>
    </w:p>
    <w:p w14:paraId="210171E9">
      <w:pPr>
        <w:pStyle w:val="5"/>
        <w:rPr>
          <w:highlight w:val="none"/>
        </w:rPr>
      </w:pPr>
      <w:r>
        <w:rPr>
          <w:b/>
          <w:highlight w:val="none"/>
        </w:rPr>
        <w:t>1</w:t>
      </w:r>
      <w:r>
        <w:rPr>
          <w:rFonts w:hint="eastAsia"/>
          <w:b/>
          <w:highlight w:val="none"/>
        </w:rPr>
        <w:t>3</w:t>
      </w:r>
      <w:r>
        <w:rPr>
          <w:b/>
          <w:highlight w:val="none"/>
        </w:rPr>
        <w:t>.</w:t>
      </w:r>
      <w:r>
        <w:rPr>
          <w:rFonts w:hint="eastAsia"/>
          <w:b/>
          <w:highlight w:val="none"/>
          <w:lang w:val="en-US" w:eastAsia="zh-CN"/>
        </w:rPr>
        <w:t>2</w:t>
      </w:r>
      <w:r>
        <w:rPr>
          <w:b/>
          <w:highlight w:val="none"/>
        </w:rPr>
        <w:t>.1</w:t>
      </w:r>
      <w:r>
        <w:rPr>
          <w:highlight w:val="none"/>
        </w:rPr>
        <w:t xml:space="preserve">  工程资料是在工程建设过程中形成各种信息记录，是工程建设和验收的必备条件，也是对工程进行检查、验收、维护、管理和改建的原始依据，有依据、凭证的作用，一个好的建筑产品，不仅要求他的安全功能可靠，而且要求它的技术资料有真实性和完整性。</w:t>
      </w:r>
    </w:p>
    <w:p w14:paraId="07929A83">
      <w:pPr>
        <w:pStyle w:val="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资料中的质量资料是施工单位进行工程施工或安装期间实施质量控制活动的记录，还包括对这些质量控制活动的意见及施工单位对这些意见的答复。它详细地记录了工程施工阶段质量控制活动的全过程。因此，它不仅在工程施工期间对工程质量的控制有重要作用，而且在工程竣工和投入运行后，对于查询和了解工程建设的质量情况以及工程维修和管理提供大量有用的资料和信息。</w:t>
      </w:r>
    </w:p>
    <w:p w14:paraId="61291C26">
      <w:pPr>
        <w:pStyle w:val="5"/>
        <w:rPr>
          <w:highlight w:val="none"/>
        </w:rPr>
      </w:pPr>
      <w:r>
        <w:rPr>
          <w:b/>
          <w:highlight w:val="none"/>
        </w:rPr>
        <w:t>1</w:t>
      </w:r>
      <w:r>
        <w:rPr>
          <w:rFonts w:hint="eastAsia"/>
          <w:b/>
          <w:highlight w:val="none"/>
        </w:rPr>
        <w:t>3</w:t>
      </w:r>
      <w:r>
        <w:rPr>
          <w:b/>
          <w:highlight w:val="none"/>
        </w:rPr>
        <w:t>.</w:t>
      </w:r>
      <w:r>
        <w:rPr>
          <w:rFonts w:hint="eastAsia"/>
          <w:b/>
          <w:highlight w:val="none"/>
          <w:lang w:val="en-US" w:eastAsia="zh-CN"/>
        </w:rPr>
        <w:t>2</w:t>
      </w:r>
      <w:r>
        <w:rPr>
          <w:b/>
          <w:highlight w:val="none"/>
        </w:rPr>
        <w:t xml:space="preserve">.2 </w:t>
      </w:r>
      <w:r>
        <w:rPr>
          <w:highlight w:val="none"/>
        </w:rPr>
        <w:t xml:space="preserve"> 综合管廊建设模式多样，无论是由政府直接负责建设或由其他机构代为建设，在建设过程中形成的档案资料应完整移交给管理单位。</w:t>
      </w:r>
    </w:p>
    <w:p w14:paraId="4FDAFE59">
      <w:pPr>
        <w:pStyle w:val="2"/>
        <w:rPr>
          <w:b w:val="0"/>
          <w:bCs w:val="0"/>
          <w:color w:val="000000" w:themeColor="text1"/>
          <w:highlight w:val="none"/>
          <w14:textFill>
            <w14:solidFill>
              <w14:schemeClr w14:val="tx1"/>
            </w14:solidFill>
          </w14:textFill>
        </w:rPr>
      </w:pPr>
      <w:bookmarkStart w:id="244" w:name="_Toc37689891"/>
      <w:r>
        <w:rPr>
          <w:rFonts w:hint="eastAsia"/>
          <w:color w:val="000000" w:themeColor="text1"/>
          <w:highlight w:val="none"/>
          <w:u w:val="none"/>
          <w:lang w:val="en-US"/>
          <w14:textFill>
            <w14:solidFill>
              <w14:schemeClr w14:val="tx1"/>
            </w14:solidFill>
          </w14:textFill>
        </w:rPr>
        <w:t>14</w:t>
      </w:r>
      <w:r>
        <w:rPr>
          <w:color w:val="000000" w:themeColor="text1"/>
          <w:highlight w:val="none"/>
          <w:u w:val="none"/>
          <w14:textFill>
            <w14:solidFill>
              <w14:schemeClr w14:val="tx1"/>
            </w14:solidFill>
          </w14:textFill>
        </w:rPr>
        <w:t xml:space="preserve">  </w:t>
      </w:r>
      <w:r>
        <w:rPr>
          <w:b w:val="0"/>
          <w:bCs w:val="0"/>
          <w:color w:val="000000" w:themeColor="text1"/>
          <w:highlight w:val="none"/>
          <w14:textFill>
            <w14:solidFill>
              <w14:schemeClr w14:val="tx1"/>
            </w14:solidFill>
          </w14:textFill>
        </w:rPr>
        <w:t>安全与绿色施工</w:t>
      </w:r>
      <w:bookmarkEnd w:id="244"/>
    </w:p>
    <w:p w14:paraId="4F6CB754">
      <w:pPr>
        <w:pStyle w:val="4"/>
        <w:spacing w:before="156" w:after="156"/>
        <w:rPr>
          <w:b/>
          <w:color w:val="000000" w:themeColor="text1"/>
          <w:highlight w:val="none"/>
          <w14:textFill>
            <w14:solidFill>
              <w14:schemeClr w14:val="tx1"/>
            </w14:solidFill>
          </w14:textFill>
        </w:rPr>
      </w:pPr>
      <w:bookmarkStart w:id="245" w:name="_Toc37689892"/>
      <w:r>
        <w:rPr>
          <w:b/>
          <w:bCs w:val="0"/>
          <w:color w:val="000000" w:themeColor="text1"/>
          <w:highlight w:val="none"/>
          <w14:textFill>
            <w14:solidFill>
              <w14:schemeClr w14:val="tx1"/>
            </w14:solidFill>
          </w14:textFill>
        </w:rPr>
        <w:t>1</w:t>
      </w:r>
      <w:r>
        <w:rPr>
          <w:rFonts w:hint="eastAsia"/>
          <w:b/>
          <w:bCs w:val="0"/>
          <w:color w:val="000000" w:themeColor="text1"/>
          <w:highlight w:val="none"/>
          <w14:textFill>
            <w14:solidFill>
              <w14:schemeClr w14:val="tx1"/>
            </w14:solidFill>
          </w14:textFill>
        </w:rPr>
        <w:t>4</w:t>
      </w:r>
      <w:r>
        <w:rPr>
          <w:b/>
          <w:bCs w:val="0"/>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  安 全 施 工</w:t>
      </w:r>
      <w:bookmarkEnd w:id="245"/>
    </w:p>
    <w:p w14:paraId="38A52B89">
      <w:pPr>
        <w:pStyle w:val="5"/>
        <w:rPr>
          <w:highlight w:val="none"/>
        </w:rPr>
      </w:pPr>
      <w:r>
        <w:rPr>
          <w:b/>
          <w:highlight w:val="none"/>
        </w:rPr>
        <w:t>1</w:t>
      </w:r>
      <w:r>
        <w:rPr>
          <w:rFonts w:hint="eastAsia"/>
          <w:b/>
          <w:highlight w:val="none"/>
        </w:rPr>
        <w:t>4</w:t>
      </w:r>
      <w:r>
        <w:rPr>
          <w:b/>
          <w:highlight w:val="none"/>
        </w:rPr>
        <w:t>.1.3</w:t>
      </w:r>
      <w:r>
        <w:rPr>
          <w:highlight w:val="none"/>
        </w:rPr>
        <w:t xml:space="preserve">  城市综合管廊的建设，极大方便了电力、通信、</w:t>
      </w:r>
      <w:r>
        <w:rPr>
          <w:rFonts w:hint="eastAsia"/>
          <w:color w:val="auto"/>
          <w:highlight w:val="none"/>
          <w:u w:val="none"/>
        </w:rPr>
        <w:t>天然气</w:t>
      </w:r>
      <w:r>
        <w:rPr>
          <w:highlight w:val="none"/>
        </w:rPr>
        <w:t>、供排水等市政设施的维护和检修，但是施工中存在较多的交通安全、施工安全等问题。由于管廊是在道路上施工，交通管制，工期紧迫，相关安全措施不到位，导致一些基坑坍塌、路面塌陷、起重设备倒塌等安全事故的发生。综合管廊施工安全管理首先必须落实每个人的施工安全责任，结合在管廊施工中的特点加强施工安全防护措施，强化整个施工过程的安全监管，充分发挥施工安全管理的作用，从施工准备、管廊上施工主要风险识别、现场风险控制措施三个方面着手进行控制。</w:t>
      </w:r>
    </w:p>
    <w:p w14:paraId="6657DB07">
      <w:pPr>
        <w:pStyle w:val="5"/>
        <w:rPr>
          <w:highlight w:val="none"/>
        </w:rPr>
      </w:pPr>
      <w:bookmarkStart w:id="246" w:name="_Toc37689893"/>
      <w:r>
        <w:rPr>
          <w:b/>
          <w:highlight w:val="none"/>
        </w:rPr>
        <w:t>1</w:t>
      </w:r>
      <w:r>
        <w:rPr>
          <w:rFonts w:hint="eastAsia"/>
          <w:b/>
          <w:highlight w:val="none"/>
        </w:rPr>
        <w:t>4</w:t>
      </w:r>
      <w:r>
        <w:rPr>
          <w:b/>
          <w:highlight w:val="none"/>
        </w:rPr>
        <w:t>.1.11</w:t>
      </w:r>
      <w:r>
        <w:rPr>
          <w:highlight w:val="none"/>
        </w:rPr>
        <w:t xml:space="preserve">  深基坑施工是综合管廊工程的重点也是难点，基坑的支护围护可靠性，关系到整个工程的安全，是施工安全的重点防控风险源。做好基坑开挖前的地基加固、预降水作业，形成良好的土体固结效果，减少基坑开挖应力释放对基坑的影响。</w:t>
      </w:r>
    </w:p>
    <w:p w14:paraId="39519EFA">
      <w:pPr>
        <w:pStyle w:val="5"/>
        <w:rPr>
          <w:highlight w:val="none"/>
        </w:rPr>
      </w:pPr>
      <w:r>
        <w:rPr>
          <w:b/>
          <w:highlight w:val="none"/>
        </w:rPr>
        <w:t>1</w:t>
      </w:r>
      <w:r>
        <w:rPr>
          <w:rFonts w:hint="eastAsia"/>
          <w:b/>
          <w:highlight w:val="none"/>
        </w:rPr>
        <w:t>4</w:t>
      </w:r>
      <w:r>
        <w:rPr>
          <w:b/>
          <w:highlight w:val="none"/>
        </w:rPr>
        <w:t>.1.12</w:t>
      </w:r>
      <w:r>
        <w:rPr>
          <w:highlight w:val="none"/>
        </w:rPr>
        <w:t xml:space="preserve">  工程用电临时性强，用电负荷波动较大，工地所使用的电气设备绝大多数是感性负载，它们不但要吸收电源提供的有功功率，还要与电源之间进行无功功率的交换，造成电源功率因数较低，特别是轻载或空载时功率因数更低。如果能使用无功补偿，适当提高功率因数，不但可以充分发挥供电设备的生产能力，减少线路损失，改善供电质量，而且可以提高工地用电设备的工作效率，节约电能，降低施工成本。</w:t>
      </w:r>
    </w:p>
    <w:p w14:paraId="0694DE53">
      <w:pPr>
        <w:pStyle w:val="4"/>
        <w:spacing w:before="156" w:after="156"/>
        <w:rPr>
          <w:rFonts w:hint="eastAsia" w:eastAsia="方正黑体简体"/>
          <w:b/>
          <w:color w:val="000000" w:themeColor="text1"/>
          <w:highlight w:val="none"/>
          <w:lang w:eastAsia="zh-CN"/>
          <w14:textFill>
            <w14:solidFill>
              <w14:schemeClr w14:val="tx1"/>
            </w14:solidFill>
          </w14:textFill>
        </w:rPr>
      </w:pPr>
      <w:r>
        <w:rPr>
          <w:b/>
          <w:bCs w:val="0"/>
          <w:color w:val="000000" w:themeColor="text1"/>
          <w:highlight w:val="none"/>
          <w14:textFill>
            <w14:solidFill>
              <w14:schemeClr w14:val="tx1"/>
            </w14:solidFill>
          </w14:textFill>
        </w:rPr>
        <w:t>1</w:t>
      </w:r>
      <w:r>
        <w:rPr>
          <w:rFonts w:hint="eastAsia"/>
          <w:b/>
          <w:bCs w:val="0"/>
          <w:color w:val="000000" w:themeColor="text1"/>
          <w:highlight w:val="none"/>
          <w14:textFill>
            <w14:solidFill>
              <w14:schemeClr w14:val="tx1"/>
            </w14:solidFill>
          </w14:textFill>
        </w:rPr>
        <w:t>4</w:t>
      </w:r>
      <w:r>
        <w:rPr>
          <w:b/>
          <w:bCs w:val="0"/>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w:t>
      </w:r>
      <w:bookmarkEnd w:id="246"/>
      <w:r>
        <w:rPr>
          <w:color w:val="000000" w:themeColor="text1"/>
          <w:highlight w:val="none"/>
          <w14:textFill>
            <w14:solidFill>
              <w14:schemeClr w14:val="tx1"/>
            </w14:solidFill>
          </w14:textFill>
        </w:rPr>
        <w:t>绿</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色</w:t>
      </w:r>
      <w:r>
        <w:rPr>
          <w:rFonts w:hint="eastAsia"/>
          <w:color w:val="000000" w:themeColor="text1"/>
          <w:highlight w:val="none"/>
          <w:lang w:val="en-US" w:eastAsia="zh-CN"/>
          <w14:textFill>
            <w14:solidFill>
              <w14:schemeClr w14:val="tx1"/>
            </w14:solidFill>
          </w14:textFill>
        </w:rPr>
        <w:t xml:space="preserve"> 施 工</w:t>
      </w:r>
    </w:p>
    <w:p w14:paraId="2BFEC201">
      <w:pPr>
        <w:pStyle w:val="5"/>
        <w:rPr>
          <w:highlight w:val="none"/>
        </w:rPr>
      </w:pPr>
      <w:r>
        <w:rPr>
          <w:b/>
          <w:highlight w:val="none"/>
        </w:rPr>
        <w:t>1</w:t>
      </w:r>
      <w:r>
        <w:rPr>
          <w:rFonts w:hint="eastAsia"/>
          <w:b/>
          <w:highlight w:val="none"/>
        </w:rPr>
        <w:t>4</w:t>
      </w:r>
      <w:r>
        <w:rPr>
          <w:b/>
          <w:highlight w:val="none"/>
        </w:rPr>
        <w:t>.2.1</w:t>
      </w:r>
      <w:r>
        <w:rPr>
          <w:highlight w:val="none"/>
        </w:rPr>
        <w:t xml:space="preserve">  绿色施工是指工程建设中，在保证质量、安全等基本要求的前提下，通过科学管理和技术进步，最大限度地节约资源与减少对环境负面影响的施工活动，实现四节一环保（节能、节地、节水、节材和环境保护），通过“四节一环保”的措施，将施工对环境造成的影响降低到最低，实现良好的社会效益和经济效益。</w:t>
      </w:r>
    </w:p>
    <w:p w14:paraId="3A6ED268">
      <w:pPr>
        <w:pStyle w:val="5"/>
        <w:rPr>
          <w:highlight w:val="none"/>
        </w:rPr>
      </w:pPr>
      <w:r>
        <w:rPr>
          <w:b/>
          <w:highlight w:val="none"/>
        </w:rPr>
        <w:t>1</w:t>
      </w:r>
      <w:r>
        <w:rPr>
          <w:rFonts w:hint="eastAsia"/>
          <w:b/>
          <w:highlight w:val="none"/>
        </w:rPr>
        <w:t>4</w:t>
      </w:r>
      <w:r>
        <w:rPr>
          <w:b/>
          <w:highlight w:val="none"/>
        </w:rPr>
        <w:t>.2.6</w:t>
      </w:r>
      <w:r>
        <w:rPr>
          <w:highlight w:val="none"/>
        </w:rPr>
        <w:t xml:space="preserve">  施工期间交通导行方案设计是施工组织设计的重要组成部分，必须周密考虑各种因素，满足社会交通流量，保证高峰期的需求，选取最佳方案并制定有效的保护措施。交通导行方案要有利于施工组织和管理确保车辆行人安全顺利通过施工区域；使施工对人民群众、社会经济生活的影响降到最低；交通导行应纳入施工现场管理，交通导行应根据不同的施工阶段设计交通导行方案；交通导行图应与现场平面布置图协调一致。</w:t>
      </w:r>
    </w:p>
    <w:p w14:paraId="6FB4B54F">
      <w:pPr>
        <w:pStyle w:val="5"/>
        <w:rPr>
          <w:highlight w:val="none"/>
        </w:rPr>
      </w:pPr>
      <w:r>
        <w:rPr>
          <w:b/>
          <w:highlight w:val="none"/>
        </w:rPr>
        <w:t>1</w:t>
      </w:r>
      <w:r>
        <w:rPr>
          <w:rFonts w:hint="eastAsia"/>
          <w:b/>
          <w:highlight w:val="none"/>
        </w:rPr>
        <w:t>4</w:t>
      </w:r>
      <w:r>
        <w:rPr>
          <w:b/>
          <w:highlight w:val="none"/>
        </w:rPr>
        <w:t>.2.7-1</w:t>
      </w:r>
      <w:r>
        <w:rPr>
          <w:rFonts w:hint="eastAsia"/>
          <w:b/>
          <w:highlight w:val="none"/>
        </w:rPr>
        <w:t>4</w:t>
      </w:r>
      <w:r>
        <w:rPr>
          <w:b/>
          <w:highlight w:val="none"/>
        </w:rPr>
        <w:t>.2.11</w:t>
      </w:r>
      <w:r>
        <w:rPr>
          <w:highlight w:val="none"/>
        </w:rPr>
        <w:t xml:space="preserve">  建筑工地绿色施工和环保治理是践行绿色发展理念、推进生态文明建设的必然要求，是山西省深化开展大气污染防治行动、加快推进转型项目建设的重要举措，省住房</w:t>
      </w:r>
      <w:r>
        <w:rPr>
          <w:rFonts w:hint="eastAsia"/>
          <w:highlight w:val="none"/>
          <w:lang w:val="en-US" w:eastAsia="zh-CN"/>
        </w:rPr>
        <w:t>和</w:t>
      </w:r>
      <w:r>
        <w:rPr>
          <w:highlight w:val="none"/>
        </w:rPr>
        <w:t>城乡建设厅印发《关于实施绿色施工加快推进转型项目建设的通知》（晋建质字〔2018〕249号），通知要求：建设单位要在工程承包合同中明确施工扬尘和噪声污染防治责任，将施工扬尘治理的费用列入工程造价，单独列支并及时足额支付；施工单位要针对工程项目特点制定治理实施方案并严格组织实施；施工工地全面落实工地周边围挡、物料堆放覆盖、土方开挖湿法作业、路面硬化、出入车辆清洗、渣土车辆密闭运输“六个百分之百”要求；规模以上土石方建筑工地要全部安装在线监测和视频监控设备，并与当地住房城乡建设主管部门联网；在城市市区范围内，建筑施工过程中使用机械设备，可能产生环境噪声污染的，施工单位必须在工程开工十五日前向工程所在地县级以上环境保护主管部门申报；夜间施工因特殊需要必须连续作业的，必须有县级以上人民政府或者其有关主管部门的证明，并公告附近居民；监理单位加强全过程监理。</w:t>
      </w:r>
    </w:p>
    <w:p w14:paraId="43C7470D">
      <w:pPr>
        <w:overflowPunct w:val="0"/>
        <w:spacing w:line="348" w:lineRule="exact"/>
        <w:jc w:val="left"/>
        <w:rPr>
          <w:rFonts w:ascii="Times New Roman" w:hAnsi="Times New Roman" w:eastAsia="方正书宋简体" w:cs="Times New Roman"/>
          <w:color w:val="000000" w:themeColor="text1"/>
          <w:highlight w:val="none"/>
          <w14:textFill>
            <w14:solidFill>
              <w14:schemeClr w14:val="tx1"/>
            </w14:solidFill>
          </w14:textFill>
        </w:rPr>
      </w:pPr>
      <w:r>
        <w:rPr>
          <w:rFonts w:ascii="Times New Roman" w:hAnsi="Times New Roman" w:eastAsia="方正书宋简体" w:cs="Times New Roman"/>
          <w:color w:val="000000" w:themeColor="text1"/>
          <w:highlight w:val="none"/>
          <w14:textFill>
            <w14:solidFill>
              <w14:schemeClr w14:val="tx1"/>
            </w14:solidFill>
          </w14:textFill>
        </w:rPr>
        <w:br w:type="page"/>
      </w:r>
    </w:p>
    <w:p w14:paraId="7C810CFF">
      <w:pPr>
        <w:pStyle w:val="2"/>
        <w:rPr>
          <w:b w:val="0"/>
          <w:bCs w:val="0"/>
          <w:color w:val="000000" w:themeColor="text1"/>
          <w:highlight w:val="none"/>
          <w14:textFill>
            <w14:solidFill>
              <w14:schemeClr w14:val="tx1"/>
            </w14:solidFill>
          </w14:textFill>
        </w:rPr>
      </w:pPr>
      <w:bookmarkStart w:id="247" w:name="_Toc37689900"/>
      <w:r>
        <w:rPr>
          <w:color w:val="000000" w:themeColor="text1"/>
          <w:highlight w:val="none"/>
          <w14:textFill>
            <w14:solidFill>
              <w14:schemeClr w14:val="tx1"/>
            </w14:solidFill>
          </w14:textFill>
        </w:rPr>
        <w:t xml:space="preserve">15  </w:t>
      </w:r>
      <w:r>
        <w:rPr>
          <w:b w:val="0"/>
          <w:bCs w:val="0"/>
          <w:color w:val="000000" w:themeColor="text1"/>
          <w:highlight w:val="none"/>
          <w14:textFill>
            <w14:solidFill>
              <w14:schemeClr w14:val="tx1"/>
            </w14:solidFill>
          </w14:textFill>
        </w:rPr>
        <w:t>运</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营</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维</w:t>
      </w:r>
      <w:r>
        <w:rPr>
          <w:b w:val="0"/>
          <w:bCs w:val="0"/>
          <w:color w:val="000000" w:themeColor="text1"/>
          <w:highlight w:val="none"/>
          <w:lang w:val="en-US"/>
          <w14:textFill>
            <w14:solidFill>
              <w14:schemeClr w14:val="tx1"/>
            </w14:solidFill>
          </w14:textFill>
        </w:rPr>
        <w:t xml:space="preserve"> </w:t>
      </w:r>
      <w:r>
        <w:rPr>
          <w:b w:val="0"/>
          <w:bCs w:val="0"/>
          <w:color w:val="000000" w:themeColor="text1"/>
          <w:highlight w:val="none"/>
          <w14:textFill>
            <w14:solidFill>
              <w14:schemeClr w14:val="tx1"/>
            </w14:solidFill>
          </w14:textFill>
        </w:rPr>
        <w:t>护</w:t>
      </w:r>
      <w:bookmarkEnd w:id="247"/>
    </w:p>
    <w:p w14:paraId="1EA4232D">
      <w:pPr>
        <w:pStyle w:val="5"/>
        <w:rPr>
          <w:highlight w:val="none"/>
        </w:rPr>
      </w:pPr>
      <w:r>
        <w:rPr>
          <w:b/>
          <w:highlight w:val="none"/>
        </w:rPr>
        <w:t xml:space="preserve">15.0.1 </w:t>
      </w:r>
      <w:r>
        <w:rPr>
          <w:highlight w:val="none"/>
        </w:rPr>
        <w:t xml:space="preserve"> 根据“国务院办公厅关于推进城市地下综合管廊建设的指导意见”国办发〔2015〕61号，城市地下综合管廊运营管理单位要完善管理制度，与入廊管线单位签订协议，明确入廊管线种类、时间、费用和责权利等内容，确保地下综合管廊正常运行，地下综合管廊本体及附属设施管理由地下综合管廊建设运营单位负责，入廊管线的设施维护及日常管理由各管线单位负责，管廊建设运营单位与入廊管线单位要分工明确，各司其职，相互配合，做好突发事件处置和应急管理等工作。</w:t>
      </w:r>
    </w:p>
    <w:p w14:paraId="17675DC4">
      <w:pPr>
        <w:pStyle w:val="5"/>
        <w:rPr>
          <w:highlight w:val="none"/>
        </w:rPr>
      </w:pPr>
      <w:r>
        <w:rPr>
          <w:b/>
          <w:highlight w:val="none"/>
        </w:rPr>
        <w:t>15.0.3</w:t>
      </w:r>
      <w:r>
        <w:rPr>
          <w:highlight w:val="none"/>
        </w:rPr>
        <w:t xml:space="preserve">  管廊位于地面以下，内部又是半密封空间，可能聚集有害气体。管廊内管线密布，带电设备众多，所以巡查维护人员应采取安全防护措施。</w:t>
      </w:r>
    </w:p>
    <w:p w14:paraId="070A7BAB">
      <w:pPr>
        <w:pStyle w:val="5"/>
        <w:rPr>
          <w:highlight w:val="none"/>
        </w:rPr>
      </w:pPr>
      <w:r>
        <w:rPr>
          <w:b/>
          <w:highlight w:val="none"/>
        </w:rPr>
        <w:t>15.0.4</w:t>
      </w:r>
      <w:r>
        <w:rPr>
          <w:highlight w:val="none"/>
        </w:rPr>
        <w:t xml:space="preserve">  综合管廊的附属设施通常以机电设备为主，其供电、控制均具备系统性，因此，在检测及维护时以系统为单位有利于提高效率和质量。</w:t>
      </w:r>
    </w:p>
    <w:p w14:paraId="5B25FBDE">
      <w:pPr>
        <w:pStyle w:val="5"/>
        <w:rPr>
          <w:highlight w:val="none"/>
        </w:rPr>
      </w:pPr>
      <w:r>
        <w:rPr>
          <w:b/>
          <w:highlight w:val="none"/>
        </w:rPr>
        <w:t xml:space="preserve">15.0.5 </w:t>
      </w:r>
      <w:r>
        <w:rPr>
          <w:highlight w:val="none"/>
        </w:rPr>
        <w:t xml:space="preserve"> 综合管廊内管线的维护作业受维护作业空间、附属设施、同舱室其他管线的影响较大，在维护自身管线同时，还需要保护好相邻管线和管廊附属设施。</w:t>
      </w:r>
    </w:p>
    <w:p w14:paraId="4F20D710">
      <w:pPr>
        <w:pStyle w:val="5"/>
        <w:rPr>
          <w:highlight w:val="none"/>
        </w:rPr>
      </w:pPr>
      <w:r>
        <w:rPr>
          <w:b/>
          <w:highlight w:val="none"/>
        </w:rPr>
        <w:t>15.0.6</w:t>
      </w:r>
      <w:r>
        <w:rPr>
          <w:highlight w:val="none"/>
        </w:rPr>
        <w:t xml:space="preserve">  以BIM技术为基础，利用BIM技术的参数化、可视化模型等特点，建立运维管理系统，形成动态大数据平台，设备发生故障时，可利用“BM+GIS</w:t>
      </w:r>
      <w:r>
        <w:rPr>
          <w:rFonts w:hint="eastAsia"/>
          <w:highlight w:val="none"/>
          <w:u w:val="none"/>
        </w:rPr>
        <w:t>+loT（物联网）</w:t>
      </w:r>
      <w:r>
        <w:rPr>
          <w:highlight w:val="none"/>
        </w:rPr>
        <w:t>”技术，为运营单位提供廊体的查询、统计和分析服务，及时、准确的定位故障发生位置，调取发生故障管线的相关信息，引导维修人员确认故障发生位置，通过三维可视化的运维管理，提高维护工作单位的效率和水平。</w:t>
      </w:r>
    </w:p>
    <w:p w14:paraId="469FDE03">
      <w:pPr>
        <w:overflowPunct w:val="0"/>
        <w:spacing w:line="348" w:lineRule="exact"/>
        <w:rPr>
          <w:rFonts w:ascii="Times New Roman" w:hAnsi="Times New Roman" w:eastAsia="方正书宋简体" w:cs="Times New Roman"/>
          <w:color w:val="000000" w:themeColor="text1"/>
          <w:highlight w:val="none"/>
          <w14:textFill>
            <w14:solidFill>
              <w14:schemeClr w14:val="tx1"/>
            </w14:solidFill>
          </w14:textFill>
        </w:rPr>
      </w:pPr>
    </w:p>
    <w:sectPr>
      <w:pgSz w:w="7937" w:h="11509"/>
      <w:pgMar w:top="1020" w:right="907" w:bottom="1020" w:left="907" w:header="737" w:footer="737" w:gutter="0"/>
      <w:pgNumType w:fmt="decimal"/>
      <w:cols w:space="0" w:num="1"/>
      <w:docGrid w:type="linesAndChars" w:linePitch="312" w:charSpace="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7AA4B0-7697-4BD1-85E0-A4B8DEAB19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panose1 w:val="03000509000000000000"/>
    <w:charset w:val="86"/>
    <w:family w:val="script"/>
    <w:pitch w:val="default"/>
    <w:sig w:usb0="00000001" w:usb1="080E0000" w:usb2="00000000" w:usb3="00000000" w:csb0="00040000" w:csb1="00000000"/>
    <w:embedRegular r:id="rId2" w:fontKey="{078875C8-CDB7-4CA2-AF8B-F63489F6F2B7}"/>
  </w:font>
  <w:font w:name="方正书宋简体">
    <w:panose1 w:val="02000000000000000000"/>
    <w:charset w:val="86"/>
    <w:family w:val="auto"/>
    <w:pitch w:val="default"/>
    <w:sig w:usb0="A00002BF" w:usb1="184F6CFA" w:usb2="00000012" w:usb3="00000000" w:csb0="00040001" w:csb1="00000000"/>
    <w:embedRegular r:id="rId3" w:fontKey="{244D52E4-83D2-4098-B3C6-9597D54B739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4" w:fontKey="{5F9A645F-9EDC-4A04-B05E-A18F144BEF19}"/>
  </w:font>
  <w:font w:name="仿宋_GB2312">
    <w:panose1 w:val="02010609030101010101"/>
    <w:charset w:val="86"/>
    <w:family w:val="modern"/>
    <w:pitch w:val="default"/>
    <w:sig w:usb0="00000001" w:usb1="080E0000" w:usb2="00000000" w:usb3="00000000" w:csb0="00040000" w:csb1="00000000"/>
    <w:embedRegular r:id="rId5" w:fontKey="{40F7A305-C49F-4F23-9B0D-1E8410095B6D}"/>
  </w:font>
  <w:font w:name="Cambria Math">
    <w:panose1 w:val="02040503050406030204"/>
    <w:charset w:val="00"/>
    <w:family w:val="roman"/>
    <w:pitch w:val="default"/>
    <w:sig w:usb0="E00006FF" w:usb1="420024FF" w:usb2="02000000" w:usb3="00000000" w:csb0="2000019F" w:csb1="00000000"/>
    <w:embedRegular r:id="rId6" w:fontKey="{D8111C4E-2DD8-4496-8DBD-53FDCDF33378}"/>
  </w:font>
  <w:font w:name="WPSEMBED1">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64A6B">
    <w:pPr>
      <w:pStyle w:val="17"/>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A30AF">
                          <w:pPr>
                            <w:pStyle w:val="17"/>
                            <w:ind w:left="210" w:leftChars="100" w:right="210" w:rightChars="100"/>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 xml:space="preserve"> PAGE  \* MERGEFORMAT </w:instrText>
                          </w:r>
                          <w:r>
                            <w:rPr>
                              <w:rFonts w:ascii="Times New Roman" w:hAnsi="Times New Roman" w:cs="Times New Roman"/>
                              <w:i/>
                              <w:iCs/>
                              <w:sz w:val="21"/>
                              <w:szCs w:val="21"/>
                            </w:rPr>
                            <w:fldChar w:fldCharType="separate"/>
                          </w:r>
                          <w:r>
                            <w:rPr>
                              <w:rFonts w:ascii="Times New Roman" w:hAnsi="Times New Roman" w:cs="Times New Roman"/>
                              <w:i/>
                              <w:iCs/>
                              <w:sz w:val="21"/>
                              <w:szCs w:val="21"/>
                            </w:rPr>
                            <w:t>11</w:t>
                          </w:r>
                          <w:r>
                            <w:rPr>
                              <w:rFonts w:ascii="Times New Roman" w:hAnsi="Times New Roman" w:cs="Times New Roman"/>
                              <w:i/>
                              <w:iCs/>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48A30AF">
                    <w:pPr>
                      <w:pStyle w:val="17"/>
                      <w:ind w:left="210" w:leftChars="100" w:right="210" w:rightChars="100"/>
                      <w:rPr>
                        <w:rFonts w:ascii="Times New Roman" w:hAnsi="Times New Roman" w:cs="Times New Roman"/>
                        <w:i/>
                        <w:iCs/>
                        <w:sz w:val="21"/>
                        <w:szCs w:val="21"/>
                      </w:rPr>
                    </w:pPr>
                    <w:r>
                      <w:rPr>
                        <w:rFonts w:ascii="Times New Roman" w:hAnsi="Times New Roman" w:cs="Times New Roman"/>
                        <w:i/>
                        <w:iCs/>
                        <w:sz w:val="21"/>
                        <w:szCs w:val="21"/>
                      </w:rPr>
                      <w:fldChar w:fldCharType="begin"/>
                    </w:r>
                    <w:r>
                      <w:rPr>
                        <w:rFonts w:ascii="Times New Roman" w:hAnsi="Times New Roman" w:cs="Times New Roman"/>
                        <w:i/>
                        <w:iCs/>
                        <w:sz w:val="21"/>
                        <w:szCs w:val="21"/>
                      </w:rPr>
                      <w:instrText xml:space="preserve"> PAGE  \* MERGEFORMAT </w:instrText>
                    </w:r>
                    <w:r>
                      <w:rPr>
                        <w:rFonts w:ascii="Times New Roman" w:hAnsi="Times New Roman" w:cs="Times New Roman"/>
                        <w:i/>
                        <w:iCs/>
                        <w:sz w:val="21"/>
                        <w:szCs w:val="21"/>
                      </w:rPr>
                      <w:fldChar w:fldCharType="separate"/>
                    </w:r>
                    <w:r>
                      <w:rPr>
                        <w:rFonts w:ascii="Times New Roman" w:hAnsi="Times New Roman" w:cs="Times New Roman"/>
                        <w:i/>
                        <w:iCs/>
                        <w:sz w:val="21"/>
                        <w:szCs w:val="21"/>
                      </w:rPr>
                      <w:t>11</w:t>
                    </w:r>
                    <w:r>
                      <w:rPr>
                        <w:rFonts w:ascii="Times New Roman" w:hAnsi="Times New Roman" w:cs="Times New Roman"/>
                        <w:i/>
                        <w:iCs/>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246"/>
    </w:sdtPr>
    <w:sdtContent>
      <w:p w14:paraId="27F96392">
        <w:pPr>
          <w:pStyle w:val="17"/>
          <w:jc w:val="center"/>
        </w:pPr>
        <w:r>
          <w:fldChar w:fldCharType="begin"/>
        </w:r>
        <w:r>
          <w:instrText xml:space="preserve">PAGE   \* MERGEFORMAT</w:instrText>
        </w:r>
        <w:r>
          <w:fldChar w:fldCharType="separate"/>
        </w:r>
        <w:r>
          <w:rPr>
            <w:lang w:val="zh-CN"/>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500D">
    <w:pPr>
      <w:pStyle w:val="1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8323F">
                          <w:pPr>
                            <w:pStyle w:val="17"/>
                            <w:ind w:left="210" w:leftChars="100" w:right="210" w:rightChars="10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28</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448323F">
                    <w:pPr>
                      <w:pStyle w:val="17"/>
                      <w:ind w:left="210" w:leftChars="100" w:right="210" w:rightChars="10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28</w:t>
                    </w:r>
                    <w:r>
                      <w:rPr>
                        <w:rFonts w:ascii="Times New Roman" w:hAnsi="Times New Roman" w:cs="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904E3">
    <w:pPr>
      <w:pStyle w:val="1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D9A78">
                          <w:pPr>
                            <w:pStyle w:val="17"/>
                            <w:ind w:left="210" w:leftChars="100" w:right="210" w:rightChars="10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41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A0D9A78">
                    <w:pPr>
                      <w:pStyle w:val="17"/>
                      <w:ind w:left="210" w:leftChars="100" w:right="210" w:rightChars="10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41</w:t>
                    </w:r>
                    <w:r>
                      <w:rPr>
                        <w:rFonts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6A8AE">
    <w:pPr>
      <w:pStyle w:val="17"/>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E4193">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111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75E4193">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111</w:t>
                    </w:r>
                    <w:r>
                      <w:rPr>
                        <w:rFonts w:ascii="Times New Roman" w:hAnsi="Times New Roman" w:cs="Times New Roman"/>
                        <w:sz w:val="21"/>
                        <w:szCs w:val="21"/>
                      </w:rP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D5476">
    <w:pPr>
      <w:pStyle w:val="17"/>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0FA8F">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118</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8A0FA8F">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118</w:t>
                    </w:r>
                    <w:r>
                      <w:rPr>
                        <w:rFonts w:ascii="Times New Roman" w:hAnsi="Times New Roman" w:cs="Times New Roman"/>
                        <w:sz w:val="21"/>
                        <w:szCs w:val="21"/>
                      </w:rP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737F">
    <w:pPr>
      <w:pStyle w:val="17"/>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1C623">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2601C623">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v:textbox>
            </v:shape>
          </w:pict>
        </mc:Fallback>
      </mc:AlternateContent>
    </w:r>
    <w:r>
      <w:rPr>
        <w:rFonts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5D2D3">
    <w:pPr>
      <w:pStyle w:val="17"/>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05D17">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7F05D17">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v:textbox>
            </v:shape>
          </w:pict>
        </mc:Fallback>
      </mc:AlternateContent>
    </w:r>
    <w:r>
      <w:rPr>
        <w:rFonts w:hint="eastAsia"/>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E45B6">
    <w:pPr>
      <w:pStyle w:val="17"/>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86A71">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68986A71">
                    <w:pPr>
                      <w:pStyle w:val="17"/>
                      <w:ind w:left="210" w:leftChars="100" w:right="210" w:rightChars="100"/>
                      <w:jc w:val="right"/>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51</w:t>
                    </w:r>
                    <w:r>
                      <w:rPr>
                        <w:rFonts w:ascii="Times New Roman" w:hAnsi="Times New Roman" w:cs="Times New Roman"/>
                        <w:sz w:val="21"/>
                        <w:szCs w:val="21"/>
                      </w:rP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AB19">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8AFE6">
    <w:pPr>
      <w:pStyle w:val="1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documentProtection w:enforcement="0"/>
  <w:defaultTabStop w:val="420"/>
  <w:drawingGridHorizontalSpacing w:val="106"/>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5ZjRlYzI4YzdkYWEwNmFmNTQyOGM4ZGZlOTY4N2YifQ=="/>
  </w:docVars>
  <w:rsids>
    <w:rsidRoot w:val="004E60E6"/>
    <w:rsid w:val="000000BD"/>
    <w:rsid w:val="000006AA"/>
    <w:rsid w:val="00000A44"/>
    <w:rsid w:val="00002C2B"/>
    <w:rsid w:val="00002F47"/>
    <w:rsid w:val="00003286"/>
    <w:rsid w:val="0000520D"/>
    <w:rsid w:val="00005945"/>
    <w:rsid w:val="00006926"/>
    <w:rsid w:val="00006A26"/>
    <w:rsid w:val="000073D9"/>
    <w:rsid w:val="00007C17"/>
    <w:rsid w:val="000110A2"/>
    <w:rsid w:val="000119E0"/>
    <w:rsid w:val="00011D7D"/>
    <w:rsid w:val="0001302E"/>
    <w:rsid w:val="0001532B"/>
    <w:rsid w:val="00015CAA"/>
    <w:rsid w:val="00016D24"/>
    <w:rsid w:val="00016F08"/>
    <w:rsid w:val="00020E43"/>
    <w:rsid w:val="000240EC"/>
    <w:rsid w:val="00025944"/>
    <w:rsid w:val="000261A9"/>
    <w:rsid w:val="0002668D"/>
    <w:rsid w:val="000276CA"/>
    <w:rsid w:val="00030687"/>
    <w:rsid w:val="00030AAB"/>
    <w:rsid w:val="000313A5"/>
    <w:rsid w:val="00034599"/>
    <w:rsid w:val="000352EC"/>
    <w:rsid w:val="000353FB"/>
    <w:rsid w:val="000364C3"/>
    <w:rsid w:val="000369C7"/>
    <w:rsid w:val="0003789E"/>
    <w:rsid w:val="00040155"/>
    <w:rsid w:val="000414D3"/>
    <w:rsid w:val="00042055"/>
    <w:rsid w:val="00042548"/>
    <w:rsid w:val="0004321B"/>
    <w:rsid w:val="00043F0C"/>
    <w:rsid w:val="000453D8"/>
    <w:rsid w:val="00046900"/>
    <w:rsid w:val="00051945"/>
    <w:rsid w:val="00051C6A"/>
    <w:rsid w:val="00052284"/>
    <w:rsid w:val="00052610"/>
    <w:rsid w:val="00052681"/>
    <w:rsid w:val="0005321E"/>
    <w:rsid w:val="00054330"/>
    <w:rsid w:val="000546A9"/>
    <w:rsid w:val="00055583"/>
    <w:rsid w:val="000558C7"/>
    <w:rsid w:val="000577A5"/>
    <w:rsid w:val="00057945"/>
    <w:rsid w:val="00060433"/>
    <w:rsid w:val="000604AA"/>
    <w:rsid w:val="00060610"/>
    <w:rsid w:val="00060FF2"/>
    <w:rsid w:val="00061016"/>
    <w:rsid w:val="000620BD"/>
    <w:rsid w:val="00066632"/>
    <w:rsid w:val="00070220"/>
    <w:rsid w:val="00070AF3"/>
    <w:rsid w:val="00070E03"/>
    <w:rsid w:val="00070F5B"/>
    <w:rsid w:val="0007268E"/>
    <w:rsid w:val="00072A33"/>
    <w:rsid w:val="00073124"/>
    <w:rsid w:val="00073B4F"/>
    <w:rsid w:val="00074077"/>
    <w:rsid w:val="00074B2A"/>
    <w:rsid w:val="00075B70"/>
    <w:rsid w:val="00075CC0"/>
    <w:rsid w:val="0007674F"/>
    <w:rsid w:val="00076BB6"/>
    <w:rsid w:val="00076CCB"/>
    <w:rsid w:val="0007741C"/>
    <w:rsid w:val="00080482"/>
    <w:rsid w:val="00080CA1"/>
    <w:rsid w:val="00083DD9"/>
    <w:rsid w:val="000842F5"/>
    <w:rsid w:val="00085A43"/>
    <w:rsid w:val="00085B54"/>
    <w:rsid w:val="0008788D"/>
    <w:rsid w:val="00087D41"/>
    <w:rsid w:val="00091C54"/>
    <w:rsid w:val="0009222A"/>
    <w:rsid w:val="000925EB"/>
    <w:rsid w:val="000930A5"/>
    <w:rsid w:val="000938E1"/>
    <w:rsid w:val="00094CCE"/>
    <w:rsid w:val="00095B14"/>
    <w:rsid w:val="000966FD"/>
    <w:rsid w:val="00097776"/>
    <w:rsid w:val="000A027F"/>
    <w:rsid w:val="000A1988"/>
    <w:rsid w:val="000A19C1"/>
    <w:rsid w:val="000A1AB5"/>
    <w:rsid w:val="000A1D06"/>
    <w:rsid w:val="000A31E1"/>
    <w:rsid w:val="000A3746"/>
    <w:rsid w:val="000A5484"/>
    <w:rsid w:val="000A5A20"/>
    <w:rsid w:val="000A6021"/>
    <w:rsid w:val="000A6C71"/>
    <w:rsid w:val="000A7F53"/>
    <w:rsid w:val="000B0107"/>
    <w:rsid w:val="000B0989"/>
    <w:rsid w:val="000B1F68"/>
    <w:rsid w:val="000B1FE4"/>
    <w:rsid w:val="000B2521"/>
    <w:rsid w:val="000B3963"/>
    <w:rsid w:val="000B40C6"/>
    <w:rsid w:val="000B4C93"/>
    <w:rsid w:val="000B6ED7"/>
    <w:rsid w:val="000B7349"/>
    <w:rsid w:val="000C0200"/>
    <w:rsid w:val="000C08C5"/>
    <w:rsid w:val="000C2172"/>
    <w:rsid w:val="000C2679"/>
    <w:rsid w:val="000C27D6"/>
    <w:rsid w:val="000C3EA2"/>
    <w:rsid w:val="000C47DA"/>
    <w:rsid w:val="000C5AD5"/>
    <w:rsid w:val="000C697A"/>
    <w:rsid w:val="000C6C67"/>
    <w:rsid w:val="000C6E77"/>
    <w:rsid w:val="000D0C30"/>
    <w:rsid w:val="000D13F4"/>
    <w:rsid w:val="000D1A46"/>
    <w:rsid w:val="000D29C5"/>
    <w:rsid w:val="000D38BC"/>
    <w:rsid w:val="000D40F0"/>
    <w:rsid w:val="000D44EA"/>
    <w:rsid w:val="000D4C7E"/>
    <w:rsid w:val="000D6B1E"/>
    <w:rsid w:val="000D6C63"/>
    <w:rsid w:val="000D6ED0"/>
    <w:rsid w:val="000D75A4"/>
    <w:rsid w:val="000E089D"/>
    <w:rsid w:val="000E24AB"/>
    <w:rsid w:val="000E4718"/>
    <w:rsid w:val="000E4EA8"/>
    <w:rsid w:val="000E5512"/>
    <w:rsid w:val="000E5DEF"/>
    <w:rsid w:val="000E6991"/>
    <w:rsid w:val="000E6C74"/>
    <w:rsid w:val="000E77F4"/>
    <w:rsid w:val="000F0975"/>
    <w:rsid w:val="000F31FC"/>
    <w:rsid w:val="000F3A83"/>
    <w:rsid w:val="000F6962"/>
    <w:rsid w:val="000F7EA9"/>
    <w:rsid w:val="00100212"/>
    <w:rsid w:val="001004F1"/>
    <w:rsid w:val="00100EBE"/>
    <w:rsid w:val="00103E67"/>
    <w:rsid w:val="001049CF"/>
    <w:rsid w:val="0010695D"/>
    <w:rsid w:val="00106CC9"/>
    <w:rsid w:val="00106F15"/>
    <w:rsid w:val="00107894"/>
    <w:rsid w:val="00107C0F"/>
    <w:rsid w:val="00110795"/>
    <w:rsid w:val="0011094B"/>
    <w:rsid w:val="00113E43"/>
    <w:rsid w:val="00115D1D"/>
    <w:rsid w:val="001178C4"/>
    <w:rsid w:val="001179C8"/>
    <w:rsid w:val="00117EF0"/>
    <w:rsid w:val="001208B5"/>
    <w:rsid w:val="00121E25"/>
    <w:rsid w:val="00123460"/>
    <w:rsid w:val="001255BD"/>
    <w:rsid w:val="0012611E"/>
    <w:rsid w:val="00126EC6"/>
    <w:rsid w:val="0013069B"/>
    <w:rsid w:val="00130D4B"/>
    <w:rsid w:val="00132C49"/>
    <w:rsid w:val="00133895"/>
    <w:rsid w:val="0013399E"/>
    <w:rsid w:val="00133DB4"/>
    <w:rsid w:val="00133E2F"/>
    <w:rsid w:val="001341BF"/>
    <w:rsid w:val="00135A48"/>
    <w:rsid w:val="00135E56"/>
    <w:rsid w:val="00140034"/>
    <w:rsid w:val="001411A7"/>
    <w:rsid w:val="001412F4"/>
    <w:rsid w:val="0014136C"/>
    <w:rsid w:val="00141EC5"/>
    <w:rsid w:val="00142A71"/>
    <w:rsid w:val="00142BEE"/>
    <w:rsid w:val="0014402A"/>
    <w:rsid w:val="00145967"/>
    <w:rsid w:val="00147E7A"/>
    <w:rsid w:val="00150F8F"/>
    <w:rsid w:val="001526C3"/>
    <w:rsid w:val="00152DBA"/>
    <w:rsid w:val="001537CE"/>
    <w:rsid w:val="00153D44"/>
    <w:rsid w:val="0015418D"/>
    <w:rsid w:val="0015467F"/>
    <w:rsid w:val="00154CBF"/>
    <w:rsid w:val="00155137"/>
    <w:rsid w:val="00155224"/>
    <w:rsid w:val="001559C5"/>
    <w:rsid w:val="00155B40"/>
    <w:rsid w:val="00155E7E"/>
    <w:rsid w:val="00156242"/>
    <w:rsid w:val="00157F54"/>
    <w:rsid w:val="001604C1"/>
    <w:rsid w:val="00160971"/>
    <w:rsid w:val="00163F84"/>
    <w:rsid w:val="0016510A"/>
    <w:rsid w:val="001651A4"/>
    <w:rsid w:val="001667B3"/>
    <w:rsid w:val="0017012E"/>
    <w:rsid w:val="001702E3"/>
    <w:rsid w:val="00172D42"/>
    <w:rsid w:val="00173448"/>
    <w:rsid w:val="00174303"/>
    <w:rsid w:val="00174993"/>
    <w:rsid w:val="001751C1"/>
    <w:rsid w:val="0017568E"/>
    <w:rsid w:val="0017720F"/>
    <w:rsid w:val="0018139C"/>
    <w:rsid w:val="00181D52"/>
    <w:rsid w:val="00182D1D"/>
    <w:rsid w:val="00183335"/>
    <w:rsid w:val="00183C69"/>
    <w:rsid w:val="00185E35"/>
    <w:rsid w:val="00190FA0"/>
    <w:rsid w:val="00191A49"/>
    <w:rsid w:val="001921B7"/>
    <w:rsid w:val="00192F7A"/>
    <w:rsid w:val="00194BA0"/>
    <w:rsid w:val="00194FD0"/>
    <w:rsid w:val="001953B9"/>
    <w:rsid w:val="00197252"/>
    <w:rsid w:val="001A07DC"/>
    <w:rsid w:val="001A090C"/>
    <w:rsid w:val="001A117E"/>
    <w:rsid w:val="001A217F"/>
    <w:rsid w:val="001A22B0"/>
    <w:rsid w:val="001A23DE"/>
    <w:rsid w:val="001A2F73"/>
    <w:rsid w:val="001A35FD"/>
    <w:rsid w:val="001A4AF7"/>
    <w:rsid w:val="001A4D91"/>
    <w:rsid w:val="001A541C"/>
    <w:rsid w:val="001A5544"/>
    <w:rsid w:val="001A72F6"/>
    <w:rsid w:val="001A7AC4"/>
    <w:rsid w:val="001B07B1"/>
    <w:rsid w:val="001B114C"/>
    <w:rsid w:val="001B1437"/>
    <w:rsid w:val="001B1922"/>
    <w:rsid w:val="001B2728"/>
    <w:rsid w:val="001B2A2C"/>
    <w:rsid w:val="001B2ED9"/>
    <w:rsid w:val="001B3341"/>
    <w:rsid w:val="001B43A8"/>
    <w:rsid w:val="001B44E1"/>
    <w:rsid w:val="001B528A"/>
    <w:rsid w:val="001B52A4"/>
    <w:rsid w:val="001B586F"/>
    <w:rsid w:val="001B60B6"/>
    <w:rsid w:val="001B6FAA"/>
    <w:rsid w:val="001B7459"/>
    <w:rsid w:val="001C0149"/>
    <w:rsid w:val="001C03BE"/>
    <w:rsid w:val="001C3DF0"/>
    <w:rsid w:val="001C4127"/>
    <w:rsid w:val="001C4408"/>
    <w:rsid w:val="001C5FB9"/>
    <w:rsid w:val="001C61DD"/>
    <w:rsid w:val="001C6C41"/>
    <w:rsid w:val="001D08DD"/>
    <w:rsid w:val="001D1B37"/>
    <w:rsid w:val="001D1BA9"/>
    <w:rsid w:val="001D220F"/>
    <w:rsid w:val="001D6AC3"/>
    <w:rsid w:val="001D6C7D"/>
    <w:rsid w:val="001D754C"/>
    <w:rsid w:val="001D76E6"/>
    <w:rsid w:val="001E03E7"/>
    <w:rsid w:val="001E0EDC"/>
    <w:rsid w:val="001E1ACD"/>
    <w:rsid w:val="001E1D2C"/>
    <w:rsid w:val="001E237E"/>
    <w:rsid w:val="001E263F"/>
    <w:rsid w:val="001E3157"/>
    <w:rsid w:val="001E345E"/>
    <w:rsid w:val="001E3993"/>
    <w:rsid w:val="001E3D02"/>
    <w:rsid w:val="001E6B42"/>
    <w:rsid w:val="001E6DB6"/>
    <w:rsid w:val="001E73BA"/>
    <w:rsid w:val="001F017F"/>
    <w:rsid w:val="001F1AA0"/>
    <w:rsid w:val="001F3E73"/>
    <w:rsid w:val="001F4731"/>
    <w:rsid w:val="001F5359"/>
    <w:rsid w:val="001F6FBB"/>
    <w:rsid w:val="00200E63"/>
    <w:rsid w:val="00202C91"/>
    <w:rsid w:val="0020380D"/>
    <w:rsid w:val="002049DC"/>
    <w:rsid w:val="0020542C"/>
    <w:rsid w:val="002074F6"/>
    <w:rsid w:val="00207880"/>
    <w:rsid w:val="00207B56"/>
    <w:rsid w:val="00207D65"/>
    <w:rsid w:val="002101A7"/>
    <w:rsid w:val="0021124A"/>
    <w:rsid w:val="00211C17"/>
    <w:rsid w:val="002125EE"/>
    <w:rsid w:val="00213161"/>
    <w:rsid w:val="00213A9B"/>
    <w:rsid w:val="00214793"/>
    <w:rsid w:val="00216233"/>
    <w:rsid w:val="00216F75"/>
    <w:rsid w:val="002170C8"/>
    <w:rsid w:val="00217D56"/>
    <w:rsid w:val="00220A77"/>
    <w:rsid w:val="0022203F"/>
    <w:rsid w:val="00222821"/>
    <w:rsid w:val="002249F7"/>
    <w:rsid w:val="00225B15"/>
    <w:rsid w:val="00225C4B"/>
    <w:rsid w:val="002262C2"/>
    <w:rsid w:val="00226448"/>
    <w:rsid w:val="0022663A"/>
    <w:rsid w:val="00227AAF"/>
    <w:rsid w:val="00227F20"/>
    <w:rsid w:val="00230333"/>
    <w:rsid w:val="0023072D"/>
    <w:rsid w:val="0023090A"/>
    <w:rsid w:val="00231512"/>
    <w:rsid w:val="002354B9"/>
    <w:rsid w:val="002355BD"/>
    <w:rsid w:val="00235780"/>
    <w:rsid w:val="00240F3F"/>
    <w:rsid w:val="00241A9A"/>
    <w:rsid w:val="00241E62"/>
    <w:rsid w:val="0024347D"/>
    <w:rsid w:val="00243E80"/>
    <w:rsid w:val="002453C0"/>
    <w:rsid w:val="00245D4E"/>
    <w:rsid w:val="0024636F"/>
    <w:rsid w:val="00246B9C"/>
    <w:rsid w:val="00246C3B"/>
    <w:rsid w:val="0024719A"/>
    <w:rsid w:val="0024778D"/>
    <w:rsid w:val="00250716"/>
    <w:rsid w:val="00251F5E"/>
    <w:rsid w:val="00253449"/>
    <w:rsid w:val="00253A11"/>
    <w:rsid w:val="0025423A"/>
    <w:rsid w:val="00254A3A"/>
    <w:rsid w:val="00254E52"/>
    <w:rsid w:val="002551EE"/>
    <w:rsid w:val="002552CB"/>
    <w:rsid w:val="00255C0F"/>
    <w:rsid w:val="002568A8"/>
    <w:rsid w:val="00256D36"/>
    <w:rsid w:val="0025788D"/>
    <w:rsid w:val="00257BDC"/>
    <w:rsid w:val="00260683"/>
    <w:rsid w:val="00261542"/>
    <w:rsid w:val="00261F38"/>
    <w:rsid w:val="00262929"/>
    <w:rsid w:val="0026472D"/>
    <w:rsid w:val="0026554B"/>
    <w:rsid w:val="00266DFC"/>
    <w:rsid w:val="00266EB9"/>
    <w:rsid w:val="00266F19"/>
    <w:rsid w:val="00267CDB"/>
    <w:rsid w:val="00267E51"/>
    <w:rsid w:val="00270896"/>
    <w:rsid w:val="0027184A"/>
    <w:rsid w:val="00271AB7"/>
    <w:rsid w:val="00272B1C"/>
    <w:rsid w:val="002750C8"/>
    <w:rsid w:val="00275BFF"/>
    <w:rsid w:val="00277763"/>
    <w:rsid w:val="002815F7"/>
    <w:rsid w:val="0028193E"/>
    <w:rsid w:val="002822A1"/>
    <w:rsid w:val="00282A2C"/>
    <w:rsid w:val="00282BD5"/>
    <w:rsid w:val="00283B54"/>
    <w:rsid w:val="002841C9"/>
    <w:rsid w:val="00285D19"/>
    <w:rsid w:val="0028611A"/>
    <w:rsid w:val="002873AB"/>
    <w:rsid w:val="002901FD"/>
    <w:rsid w:val="00290F72"/>
    <w:rsid w:val="00291483"/>
    <w:rsid w:val="00292EEE"/>
    <w:rsid w:val="00293D26"/>
    <w:rsid w:val="002947B3"/>
    <w:rsid w:val="0029488A"/>
    <w:rsid w:val="00295204"/>
    <w:rsid w:val="00295564"/>
    <w:rsid w:val="002979D6"/>
    <w:rsid w:val="002A0F13"/>
    <w:rsid w:val="002A154C"/>
    <w:rsid w:val="002A184A"/>
    <w:rsid w:val="002A317A"/>
    <w:rsid w:val="002A386A"/>
    <w:rsid w:val="002A5CB0"/>
    <w:rsid w:val="002A6818"/>
    <w:rsid w:val="002A6A41"/>
    <w:rsid w:val="002A6AFF"/>
    <w:rsid w:val="002A6D75"/>
    <w:rsid w:val="002A7591"/>
    <w:rsid w:val="002B00B4"/>
    <w:rsid w:val="002B0CDF"/>
    <w:rsid w:val="002B1037"/>
    <w:rsid w:val="002B1BEC"/>
    <w:rsid w:val="002B2DD7"/>
    <w:rsid w:val="002B4253"/>
    <w:rsid w:val="002B43EA"/>
    <w:rsid w:val="002B468C"/>
    <w:rsid w:val="002B4B11"/>
    <w:rsid w:val="002B5C2B"/>
    <w:rsid w:val="002B5FC2"/>
    <w:rsid w:val="002B6E27"/>
    <w:rsid w:val="002C0040"/>
    <w:rsid w:val="002C26C5"/>
    <w:rsid w:val="002C38D8"/>
    <w:rsid w:val="002C3F98"/>
    <w:rsid w:val="002C43EC"/>
    <w:rsid w:val="002C5754"/>
    <w:rsid w:val="002C6936"/>
    <w:rsid w:val="002C7F64"/>
    <w:rsid w:val="002D0539"/>
    <w:rsid w:val="002D0551"/>
    <w:rsid w:val="002D1793"/>
    <w:rsid w:val="002D2B30"/>
    <w:rsid w:val="002D39DD"/>
    <w:rsid w:val="002D3F9B"/>
    <w:rsid w:val="002D4794"/>
    <w:rsid w:val="002D516E"/>
    <w:rsid w:val="002D6092"/>
    <w:rsid w:val="002D6DCE"/>
    <w:rsid w:val="002E0B37"/>
    <w:rsid w:val="002E0D0C"/>
    <w:rsid w:val="002E295F"/>
    <w:rsid w:val="002E3AD6"/>
    <w:rsid w:val="002E3D05"/>
    <w:rsid w:val="002E44EE"/>
    <w:rsid w:val="002E74D6"/>
    <w:rsid w:val="002F0D62"/>
    <w:rsid w:val="002F10AF"/>
    <w:rsid w:val="002F1E5B"/>
    <w:rsid w:val="002F1E90"/>
    <w:rsid w:val="002F2848"/>
    <w:rsid w:val="002F2B41"/>
    <w:rsid w:val="002F2ED1"/>
    <w:rsid w:val="002F3010"/>
    <w:rsid w:val="002F3D44"/>
    <w:rsid w:val="002F4578"/>
    <w:rsid w:val="002F5193"/>
    <w:rsid w:val="002F5293"/>
    <w:rsid w:val="002F6E00"/>
    <w:rsid w:val="003010B9"/>
    <w:rsid w:val="003010F5"/>
    <w:rsid w:val="00301870"/>
    <w:rsid w:val="00302089"/>
    <w:rsid w:val="003020F0"/>
    <w:rsid w:val="003022BB"/>
    <w:rsid w:val="00303394"/>
    <w:rsid w:val="00304677"/>
    <w:rsid w:val="0030483B"/>
    <w:rsid w:val="00304A70"/>
    <w:rsid w:val="00307659"/>
    <w:rsid w:val="00307BE0"/>
    <w:rsid w:val="00310C3A"/>
    <w:rsid w:val="00310F5E"/>
    <w:rsid w:val="00311A7F"/>
    <w:rsid w:val="00312912"/>
    <w:rsid w:val="00314361"/>
    <w:rsid w:val="00314826"/>
    <w:rsid w:val="00315AF9"/>
    <w:rsid w:val="00315D29"/>
    <w:rsid w:val="00316539"/>
    <w:rsid w:val="00321025"/>
    <w:rsid w:val="00321801"/>
    <w:rsid w:val="00322DF1"/>
    <w:rsid w:val="00323F37"/>
    <w:rsid w:val="00323FE8"/>
    <w:rsid w:val="00324587"/>
    <w:rsid w:val="00325563"/>
    <w:rsid w:val="00325A88"/>
    <w:rsid w:val="00325FF0"/>
    <w:rsid w:val="0032692D"/>
    <w:rsid w:val="00326EAC"/>
    <w:rsid w:val="0033109A"/>
    <w:rsid w:val="003317B9"/>
    <w:rsid w:val="00331B7E"/>
    <w:rsid w:val="00333439"/>
    <w:rsid w:val="0033464C"/>
    <w:rsid w:val="00334F12"/>
    <w:rsid w:val="00335EBD"/>
    <w:rsid w:val="00336BA9"/>
    <w:rsid w:val="00340053"/>
    <w:rsid w:val="003408ED"/>
    <w:rsid w:val="00342D01"/>
    <w:rsid w:val="00342EA5"/>
    <w:rsid w:val="00344355"/>
    <w:rsid w:val="003459DE"/>
    <w:rsid w:val="00345E3F"/>
    <w:rsid w:val="003468B9"/>
    <w:rsid w:val="003472C8"/>
    <w:rsid w:val="00347859"/>
    <w:rsid w:val="00351822"/>
    <w:rsid w:val="00352591"/>
    <w:rsid w:val="0035306B"/>
    <w:rsid w:val="003544E8"/>
    <w:rsid w:val="003545D2"/>
    <w:rsid w:val="003606C2"/>
    <w:rsid w:val="00361071"/>
    <w:rsid w:val="003629F9"/>
    <w:rsid w:val="00362F4D"/>
    <w:rsid w:val="00363646"/>
    <w:rsid w:val="00366037"/>
    <w:rsid w:val="003660F2"/>
    <w:rsid w:val="00366148"/>
    <w:rsid w:val="003665AA"/>
    <w:rsid w:val="00366C49"/>
    <w:rsid w:val="00366EAE"/>
    <w:rsid w:val="003671D4"/>
    <w:rsid w:val="00367697"/>
    <w:rsid w:val="0037068A"/>
    <w:rsid w:val="0037079B"/>
    <w:rsid w:val="00370FCE"/>
    <w:rsid w:val="00370FE5"/>
    <w:rsid w:val="003714EA"/>
    <w:rsid w:val="0037443E"/>
    <w:rsid w:val="003746A4"/>
    <w:rsid w:val="00374EEF"/>
    <w:rsid w:val="0037513D"/>
    <w:rsid w:val="00375575"/>
    <w:rsid w:val="00375EF1"/>
    <w:rsid w:val="003772C0"/>
    <w:rsid w:val="00380B79"/>
    <w:rsid w:val="00381EC0"/>
    <w:rsid w:val="00382037"/>
    <w:rsid w:val="0038221D"/>
    <w:rsid w:val="00383683"/>
    <w:rsid w:val="003840D6"/>
    <w:rsid w:val="00384488"/>
    <w:rsid w:val="003854C8"/>
    <w:rsid w:val="0038587A"/>
    <w:rsid w:val="0038618A"/>
    <w:rsid w:val="00386CDB"/>
    <w:rsid w:val="00387201"/>
    <w:rsid w:val="00387A80"/>
    <w:rsid w:val="0039251B"/>
    <w:rsid w:val="003926D9"/>
    <w:rsid w:val="00392EB1"/>
    <w:rsid w:val="00394219"/>
    <w:rsid w:val="0039458A"/>
    <w:rsid w:val="00395E89"/>
    <w:rsid w:val="003961B7"/>
    <w:rsid w:val="003A2003"/>
    <w:rsid w:val="003A210D"/>
    <w:rsid w:val="003A3824"/>
    <w:rsid w:val="003A39C4"/>
    <w:rsid w:val="003A4706"/>
    <w:rsid w:val="003A48BD"/>
    <w:rsid w:val="003A7096"/>
    <w:rsid w:val="003A7619"/>
    <w:rsid w:val="003A77D7"/>
    <w:rsid w:val="003B02A8"/>
    <w:rsid w:val="003B162D"/>
    <w:rsid w:val="003B1E98"/>
    <w:rsid w:val="003B2F69"/>
    <w:rsid w:val="003B478B"/>
    <w:rsid w:val="003B486C"/>
    <w:rsid w:val="003B4950"/>
    <w:rsid w:val="003B5329"/>
    <w:rsid w:val="003B6094"/>
    <w:rsid w:val="003C10F2"/>
    <w:rsid w:val="003C4FB4"/>
    <w:rsid w:val="003C5717"/>
    <w:rsid w:val="003C6DC0"/>
    <w:rsid w:val="003D010F"/>
    <w:rsid w:val="003D032A"/>
    <w:rsid w:val="003D192F"/>
    <w:rsid w:val="003D3F36"/>
    <w:rsid w:val="003D4DC1"/>
    <w:rsid w:val="003D5C8A"/>
    <w:rsid w:val="003D695B"/>
    <w:rsid w:val="003D6D31"/>
    <w:rsid w:val="003D7898"/>
    <w:rsid w:val="003E0A3C"/>
    <w:rsid w:val="003E216B"/>
    <w:rsid w:val="003E2737"/>
    <w:rsid w:val="003E2CFC"/>
    <w:rsid w:val="003E3A70"/>
    <w:rsid w:val="003E3E25"/>
    <w:rsid w:val="003E3F8A"/>
    <w:rsid w:val="003E5AB8"/>
    <w:rsid w:val="003E5F98"/>
    <w:rsid w:val="003F060B"/>
    <w:rsid w:val="003F0AC3"/>
    <w:rsid w:val="003F1AC1"/>
    <w:rsid w:val="003F2121"/>
    <w:rsid w:val="003F22DE"/>
    <w:rsid w:val="003F244D"/>
    <w:rsid w:val="003F3CB6"/>
    <w:rsid w:val="003F3E0B"/>
    <w:rsid w:val="003F4D2A"/>
    <w:rsid w:val="003F6760"/>
    <w:rsid w:val="003F6AFC"/>
    <w:rsid w:val="003F7088"/>
    <w:rsid w:val="003F77CD"/>
    <w:rsid w:val="003F7B0F"/>
    <w:rsid w:val="00401C0B"/>
    <w:rsid w:val="004025E1"/>
    <w:rsid w:val="0040300A"/>
    <w:rsid w:val="00404CBF"/>
    <w:rsid w:val="004063A5"/>
    <w:rsid w:val="00407736"/>
    <w:rsid w:val="00410960"/>
    <w:rsid w:val="00410B19"/>
    <w:rsid w:val="00411B6A"/>
    <w:rsid w:val="00413929"/>
    <w:rsid w:val="00413EC8"/>
    <w:rsid w:val="00414B5E"/>
    <w:rsid w:val="0041505A"/>
    <w:rsid w:val="004157F2"/>
    <w:rsid w:val="00415B2C"/>
    <w:rsid w:val="004167A1"/>
    <w:rsid w:val="0041709B"/>
    <w:rsid w:val="00417F1D"/>
    <w:rsid w:val="00421CC6"/>
    <w:rsid w:val="004233C4"/>
    <w:rsid w:val="0042487B"/>
    <w:rsid w:val="00430716"/>
    <w:rsid w:val="0043154D"/>
    <w:rsid w:val="0043303B"/>
    <w:rsid w:val="00433D61"/>
    <w:rsid w:val="00434016"/>
    <w:rsid w:val="0043472A"/>
    <w:rsid w:val="00434C4E"/>
    <w:rsid w:val="00437613"/>
    <w:rsid w:val="0043770B"/>
    <w:rsid w:val="00437BDC"/>
    <w:rsid w:val="00440200"/>
    <w:rsid w:val="004412EB"/>
    <w:rsid w:val="00441D1D"/>
    <w:rsid w:val="00442F4D"/>
    <w:rsid w:val="004440CB"/>
    <w:rsid w:val="00444E64"/>
    <w:rsid w:val="004461F1"/>
    <w:rsid w:val="00446607"/>
    <w:rsid w:val="00446622"/>
    <w:rsid w:val="004466A6"/>
    <w:rsid w:val="004467DD"/>
    <w:rsid w:val="00450E3F"/>
    <w:rsid w:val="00452C08"/>
    <w:rsid w:val="00452F22"/>
    <w:rsid w:val="004534C9"/>
    <w:rsid w:val="004546C7"/>
    <w:rsid w:val="00454B8E"/>
    <w:rsid w:val="00455447"/>
    <w:rsid w:val="00455E68"/>
    <w:rsid w:val="00456F47"/>
    <w:rsid w:val="004576C2"/>
    <w:rsid w:val="00457E07"/>
    <w:rsid w:val="00460D57"/>
    <w:rsid w:val="00461575"/>
    <w:rsid w:val="00461A10"/>
    <w:rsid w:val="00462E79"/>
    <w:rsid w:val="0046475D"/>
    <w:rsid w:val="00466627"/>
    <w:rsid w:val="00466BB8"/>
    <w:rsid w:val="00470E78"/>
    <w:rsid w:val="0047234B"/>
    <w:rsid w:val="004728AF"/>
    <w:rsid w:val="004729E2"/>
    <w:rsid w:val="00472B8F"/>
    <w:rsid w:val="004740D9"/>
    <w:rsid w:val="00475199"/>
    <w:rsid w:val="00476638"/>
    <w:rsid w:val="00476C3B"/>
    <w:rsid w:val="0047760E"/>
    <w:rsid w:val="0048115D"/>
    <w:rsid w:val="0048144F"/>
    <w:rsid w:val="00483AEF"/>
    <w:rsid w:val="00484F4F"/>
    <w:rsid w:val="004850FA"/>
    <w:rsid w:val="00486212"/>
    <w:rsid w:val="00486E22"/>
    <w:rsid w:val="00487D37"/>
    <w:rsid w:val="00487F7B"/>
    <w:rsid w:val="004900C3"/>
    <w:rsid w:val="00490B57"/>
    <w:rsid w:val="00490DC0"/>
    <w:rsid w:val="00491DB7"/>
    <w:rsid w:val="00492663"/>
    <w:rsid w:val="004937BB"/>
    <w:rsid w:val="00493AE6"/>
    <w:rsid w:val="004942D3"/>
    <w:rsid w:val="00495CE0"/>
    <w:rsid w:val="00496C51"/>
    <w:rsid w:val="00497776"/>
    <w:rsid w:val="004A2FC8"/>
    <w:rsid w:val="004A4B7A"/>
    <w:rsid w:val="004A4D08"/>
    <w:rsid w:val="004A5D8A"/>
    <w:rsid w:val="004A6F40"/>
    <w:rsid w:val="004A7020"/>
    <w:rsid w:val="004B03D0"/>
    <w:rsid w:val="004B0EE1"/>
    <w:rsid w:val="004B10E2"/>
    <w:rsid w:val="004B1222"/>
    <w:rsid w:val="004B2383"/>
    <w:rsid w:val="004B2B3D"/>
    <w:rsid w:val="004B2C8C"/>
    <w:rsid w:val="004B33C5"/>
    <w:rsid w:val="004B4F53"/>
    <w:rsid w:val="004B5686"/>
    <w:rsid w:val="004B782C"/>
    <w:rsid w:val="004B79F1"/>
    <w:rsid w:val="004B7E8E"/>
    <w:rsid w:val="004C05D5"/>
    <w:rsid w:val="004C0A32"/>
    <w:rsid w:val="004C1409"/>
    <w:rsid w:val="004C16CC"/>
    <w:rsid w:val="004C1EB7"/>
    <w:rsid w:val="004C30AC"/>
    <w:rsid w:val="004C5A8C"/>
    <w:rsid w:val="004C5B51"/>
    <w:rsid w:val="004C6D70"/>
    <w:rsid w:val="004C734C"/>
    <w:rsid w:val="004D2F94"/>
    <w:rsid w:val="004D76E9"/>
    <w:rsid w:val="004D7739"/>
    <w:rsid w:val="004D7812"/>
    <w:rsid w:val="004E0B1B"/>
    <w:rsid w:val="004E15D5"/>
    <w:rsid w:val="004E29BA"/>
    <w:rsid w:val="004E3132"/>
    <w:rsid w:val="004E3B67"/>
    <w:rsid w:val="004E5B11"/>
    <w:rsid w:val="004E605A"/>
    <w:rsid w:val="004E60E6"/>
    <w:rsid w:val="004E63BB"/>
    <w:rsid w:val="004E668E"/>
    <w:rsid w:val="004E6B65"/>
    <w:rsid w:val="004E6E58"/>
    <w:rsid w:val="004E793A"/>
    <w:rsid w:val="004F0444"/>
    <w:rsid w:val="004F051D"/>
    <w:rsid w:val="004F1CB7"/>
    <w:rsid w:val="004F1FF5"/>
    <w:rsid w:val="004F202A"/>
    <w:rsid w:val="004F2672"/>
    <w:rsid w:val="004F2EF2"/>
    <w:rsid w:val="004F5BC7"/>
    <w:rsid w:val="004F7295"/>
    <w:rsid w:val="005008AC"/>
    <w:rsid w:val="00500915"/>
    <w:rsid w:val="00500C1F"/>
    <w:rsid w:val="00501130"/>
    <w:rsid w:val="00503DC9"/>
    <w:rsid w:val="005041A0"/>
    <w:rsid w:val="0050575D"/>
    <w:rsid w:val="0050656C"/>
    <w:rsid w:val="00506816"/>
    <w:rsid w:val="00511D46"/>
    <w:rsid w:val="00511F27"/>
    <w:rsid w:val="00513FED"/>
    <w:rsid w:val="00514489"/>
    <w:rsid w:val="0051482B"/>
    <w:rsid w:val="00514F25"/>
    <w:rsid w:val="00515121"/>
    <w:rsid w:val="005155ED"/>
    <w:rsid w:val="0051790F"/>
    <w:rsid w:val="00517EEE"/>
    <w:rsid w:val="0052082B"/>
    <w:rsid w:val="005210C7"/>
    <w:rsid w:val="005212D2"/>
    <w:rsid w:val="00522707"/>
    <w:rsid w:val="0052271B"/>
    <w:rsid w:val="0052284C"/>
    <w:rsid w:val="00522974"/>
    <w:rsid w:val="00524A61"/>
    <w:rsid w:val="00526015"/>
    <w:rsid w:val="005263AE"/>
    <w:rsid w:val="00531EFE"/>
    <w:rsid w:val="00533887"/>
    <w:rsid w:val="00534B55"/>
    <w:rsid w:val="00535D33"/>
    <w:rsid w:val="00536629"/>
    <w:rsid w:val="00536AB0"/>
    <w:rsid w:val="00536F65"/>
    <w:rsid w:val="00537430"/>
    <w:rsid w:val="005379AE"/>
    <w:rsid w:val="00540AD4"/>
    <w:rsid w:val="005416D3"/>
    <w:rsid w:val="00542CF8"/>
    <w:rsid w:val="005431B6"/>
    <w:rsid w:val="00543AA7"/>
    <w:rsid w:val="00545AF2"/>
    <w:rsid w:val="00545D72"/>
    <w:rsid w:val="00547577"/>
    <w:rsid w:val="005502C7"/>
    <w:rsid w:val="005518B6"/>
    <w:rsid w:val="005521F9"/>
    <w:rsid w:val="005529C7"/>
    <w:rsid w:val="00553E41"/>
    <w:rsid w:val="005555E7"/>
    <w:rsid w:val="0055602E"/>
    <w:rsid w:val="005565B0"/>
    <w:rsid w:val="00556749"/>
    <w:rsid w:val="0055715D"/>
    <w:rsid w:val="00560108"/>
    <w:rsid w:val="0056071C"/>
    <w:rsid w:val="005619C1"/>
    <w:rsid w:val="00561E0E"/>
    <w:rsid w:val="00562151"/>
    <w:rsid w:val="00564652"/>
    <w:rsid w:val="00565486"/>
    <w:rsid w:val="0056730F"/>
    <w:rsid w:val="00567504"/>
    <w:rsid w:val="005678DC"/>
    <w:rsid w:val="00567A55"/>
    <w:rsid w:val="00570142"/>
    <w:rsid w:val="00571B05"/>
    <w:rsid w:val="00571B67"/>
    <w:rsid w:val="005730C4"/>
    <w:rsid w:val="005732FA"/>
    <w:rsid w:val="005737AC"/>
    <w:rsid w:val="005738FE"/>
    <w:rsid w:val="00574C34"/>
    <w:rsid w:val="00575CA7"/>
    <w:rsid w:val="00575D57"/>
    <w:rsid w:val="0057716E"/>
    <w:rsid w:val="005772F1"/>
    <w:rsid w:val="0058042F"/>
    <w:rsid w:val="005809F1"/>
    <w:rsid w:val="005814C4"/>
    <w:rsid w:val="005822C5"/>
    <w:rsid w:val="00582497"/>
    <w:rsid w:val="00582A17"/>
    <w:rsid w:val="0058622E"/>
    <w:rsid w:val="005868BB"/>
    <w:rsid w:val="00587B51"/>
    <w:rsid w:val="005904D0"/>
    <w:rsid w:val="00590665"/>
    <w:rsid w:val="00591781"/>
    <w:rsid w:val="00592073"/>
    <w:rsid w:val="00592EA4"/>
    <w:rsid w:val="005932DC"/>
    <w:rsid w:val="00593B10"/>
    <w:rsid w:val="00594132"/>
    <w:rsid w:val="00595D21"/>
    <w:rsid w:val="00597CCB"/>
    <w:rsid w:val="00597D7D"/>
    <w:rsid w:val="00597E5E"/>
    <w:rsid w:val="005A0E15"/>
    <w:rsid w:val="005A0E78"/>
    <w:rsid w:val="005A1223"/>
    <w:rsid w:val="005A1ECE"/>
    <w:rsid w:val="005A2150"/>
    <w:rsid w:val="005A2AD3"/>
    <w:rsid w:val="005A6747"/>
    <w:rsid w:val="005B04BF"/>
    <w:rsid w:val="005B0B3A"/>
    <w:rsid w:val="005B14D5"/>
    <w:rsid w:val="005B1780"/>
    <w:rsid w:val="005B1846"/>
    <w:rsid w:val="005B24B7"/>
    <w:rsid w:val="005B3461"/>
    <w:rsid w:val="005B3E6B"/>
    <w:rsid w:val="005B5F10"/>
    <w:rsid w:val="005B6426"/>
    <w:rsid w:val="005C05A7"/>
    <w:rsid w:val="005C1175"/>
    <w:rsid w:val="005C1B43"/>
    <w:rsid w:val="005C1C0B"/>
    <w:rsid w:val="005C27F3"/>
    <w:rsid w:val="005C3423"/>
    <w:rsid w:val="005C49FC"/>
    <w:rsid w:val="005C5DB6"/>
    <w:rsid w:val="005C6B04"/>
    <w:rsid w:val="005C770A"/>
    <w:rsid w:val="005C7885"/>
    <w:rsid w:val="005C7B3B"/>
    <w:rsid w:val="005D063D"/>
    <w:rsid w:val="005D0C18"/>
    <w:rsid w:val="005D192E"/>
    <w:rsid w:val="005D2280"/>
    <w:rsid w:val="005D34AF"/>
    <w:rsid w:val="005D34C3"/>
    <w:rsid w:val="005D34D0"/>
    <w:rsid w:val="005D3BD0"/>
    <w:rsid w:val="005D4E49"/>
    <w:rsid w:val="005D621E"/>
    <w:rsid w:val="005E0D9A"/>
    <w:rsid w:val="005E0DAD"/>
    <w:rsid w:val="005E0DFE"/>
    <w:rsid w:val="005E1906"/>
    <w:rsid w:val="005E2E1A"/>
    <w:rsid w:val="005E30BD"/>
    <w:rsid w:val="005E31EA"/>
    <w:rsid w:val="005E4BAA"/>
    <w:rsid w:val="005E5B19"/>
    <w:rsid w:val="005E69FB"/>
    <w:rsid w:val="005E6CD4"/>
    <w:rsid w:val="005F05D0"/>
    <w:rsid w:val="005F0FBA"/>
    <w:rsid w:val="005F1476"/>
    <w:rsid w:val="005F24A8"/>
    <w:rsid w:val="005F2692"/>
    <w:rsid w:val="005F2750"/>
    <w:rsid w:val="005F3DD8"/>
    <w:rsid w:val="005F6304"/>
    <w:rsid w:val="005F64B3"/>
    <w:rsid w:val="005F64EF"/>
    <w:rsid w:val="005F65F1"/>
    <w:rsid w:val="005F786B"/>
    <w:rsid w:val="005F7EA6"/>
    <w:rsid w:val="0060021F"/>
    <w:rsid w:val="00600EC3"/>
    <w:rsid w:val="00602224"/>
    <w:rsid w:val="00604066"/>
    <w:rsid w:val="006044E6"/>
    <w:rsid w:val="00605A6F"/>
    <w:rsid w:val="00605E22"/>
    <w:rsid w:val="00606321"/>
    <w:rsid w:val="006064F7"/>
    <w:rsid w:val="006119C6"/>
    <w:rsid w:val="00611A06"/>
    <w:rsid w:val="00614B16"/>
    <w:rsid w:val="00616B7F"/>
    <w:rsid w:val="0061776D"/>
    <w:rsid w:val="00621391"/>
    <w:rsid w:val="006220FA"/>
    <w:rsid w:val="006221C1"/>
    <w:rsid w:val="00623410"/>
    <w:rsid w:val="0062386A"/>
    <w:rsid w:val="00623F1C"/>
    <w:rsid w:val="006249CF"/>
    <w:rsid w:val="00624D6B"/>
    <w:rsid w:val="00624DB8"/>
    <w:rsid w:val="00625256"/>
    <w:rsid w:val="00630DA0"/>
    <w:rsid w:val="006318E0"/>
    <w:rsid w:val="00631935"/>
    <w:rsid w:val="00631D71"/>
    <w:rsid w:val="006322B3"/>
    <w:rsid w:val="006324C7"/>
    <w:rsid w:val="00634B07"/>
    <w:rsid w:val="0063522C"/>
    <w:rsid w:val="006353F1"/>
    <w:rsid w:val="006356E9"/>
    <w:rsid w:val="00636874"/>
    <w:rsid w:val="006402C8"/>
    <w:rsid w:val="006426E1"/>
    <w:rsid w:val="00642FAA"/>
    <w:rsid w:val="00646593"/>
    <w:rsid w:val="00647690"/>
    <w:rsid w:val="00650536"/>
    <w:rsid w:val="00652484"/>
    <w:rsid w:val="00654126"/>
    <w:rsid w:val="00654D94"/>
    <w:rsid w:val="00656D95"/>
    <w:rsid w:val="00657102"/>
    <w:rsid w:val="00657D43"/>
    <w:rsid w:val="00660A6D"/>
    <w:rsid w:val="00661056"/>
    <w:rsid w:val="00661B6F"/>
    <w:rsid w:val="00662C0E"/>
    <w:rsid w:val="00663E74"/>
    <w:rsid w:val="00665096"/>
    <w:rsid w:val="00665DEF"/>
    <w:rsid w:val="00666139"/>
    <w:rsid w:val="0066766E"/>
    <w:rsid w:val="006702C3"/>
    <w:rsid w:val="0067094F"/>
    <w:rsid w:val="00671A27"/>
    <w:rsid w:val="00671D61"/>
    <w:rsid w:val="006720C9"/>
    <w:rsid w:val="00672595"/>
    <w:rsid w:val="006735BD"/>
    <w:rsid w:val="00673F4A"/>
    <w:rsid w:val="006745E4"/>
    <w:rsid w:val="006747E9"/>
    <w:rsid w:val="00674CC5"/>
    <w:rsid w:val="006753AF"/>
    <w:rsid w:val="006774AB"/>
    <w:rsid w:val="00680245"/>
    <w:rsid w:val="006806A2"/>
    <w:rsid w:val="006812D2"/>
    <w:rsid w:val="00686141"/>
    <w:rsid w:val="00686377"/>
    <w:rsid w:val="0068674C"/>
    <w:rsid w:val="00690FA4"/>
    <w:rsid w:val="0069140E"/>
    <w:rsid w:val="006918FC"/>
    <w:rsid w:val="00692402"/>
    <w:rsid w:val="0069457E"/>
    <w:rsid w:val="00696CEA"/>
    <w:rsid w:val="006A03A5"/>
    <w:rsid w:val="006A09FF"/>
    <w:rsid w:val="006A21E8"/>
    <w:rsid w:val="006A358A"/>
    <w:rsid w:val="006A3AB9"/>
    <w:rsid w:val="006A3EF0"/>
    <w:rsid w:val="006A4D73"/>
    <w:rsid w:val="006A54FF"/>
    <w:rsid w:val="006B15D2"/>
    <w:rsid w:val="006B1E6F"/>
    <w:rsid w:val="006B38C7"/>
    <w:rsid w:val="006B3F61"/>
    <w:rsid w:val="006B40DF"/>
    <w:rsid w:val="006B576B"/>
    <w:rsid w:val="006B5FD8"/>
    <w:rsid w:val="006B61F5"/>
    <w:rsid w:val="006B62F5"/>
    <w:rsid w:val="006B662A"/>
    <w:rsid w:val="006B6C5E"/>
    <w:rsid w:val="006B741E"/>
    <w:rsid w:val="006C202D"/>
    <w:rsid w:val="006C5526"/>
    <w:rsid w:val="006C5DBF"/>
    <w:rsid w:val="006C5E7C"/>
    <w:rsid w:val="006C5E96"/>
    <w:rsid w:val="006C6218"/>
    <w:rsid w:val="006C6E15"/>
    <w:rsid w:val="006D1917"/>
    <w:rsid w:val="006D55D6"/>
    <w:rsid w:val="006D6290"/>
    <w:rsid w:val="006D6B2D"/>
    <w:rsid w:val="006D6EDE"/>
    <w:rsid w:val="006E0EFC"/>
    <w:rsid w:val="006E1158"/>
    <w:rsid w:val="006E163B"/>
    <w:rsid w:val="006E38C1"/>
    <w:rsid w:val="006E430D"/>
    <w:rsid w:val="006E4740"/>
    <w:rsid w:val="006E4B11"/>
    <w:rsid w:val="006E6811"/>
    <w:rsid w:val="006E68EC"/>
    <w:rsid w:val="006E7BAD"/>
    <w:rsid w:val="006E7C86"/>
    <w:rsid w:val="006F0B2C"/>
    <w:rsid w:val="006F18F0"/>
    <w:rsid w:val="006F2AA6"/>
    <w:rsid w:val="006F4C8F"/>
    <w:rsid w:val="006F4E99"/>
    <w:rsid w:val="006F59AD"/>
    <w:rsid w:val="006F6927"/>
    <w:rsid w:val="006F6B10"/>
    <w:rsid w:val="006F6DD4"/>
    <w:rsid w:val="006F71D9"/>
    <w:rsid w:val="00700685"/>
    <w:rsid w:val="007006F5"/>
    <w:rsid w:val="007026D6"/>
    <w:rsid w:val="00703395"/>
    <w:rsid w:val="00704BF0"/>
    <w:rsid w:val="00704C86"/>
    <w:rsid w:val="00705C16"/>
    <w:rsid w:val="00706159"/>
    <w:rsid w:val="00706D6A"/>
    <w:rsid w:val="00707F25"/>
    <w:rsid w:val="00710B20"/>
    <w:rsid w:val="0071144E"/>
    <w:rsid w:val="007129BF"/>
    <w:rsid w:val="00712A4F"/>
    <w:rsid w:val="00712F2B"/>
    <w:rsid w:val="007146BD"/>
    <w:rsid w:val="00715610"/>
    <w:rsid w:val="0071647C"/>
    <w:rsid w:val="00716548"/>
    <w:rsid w:val="00716AAE"/>
    <w:rsid w:val="00716C6F"/>
    <w:rsid w:val="0072081F"/>
    <w:rsid w:val="00720FA8"/>
    <w:rsid w:val="00721ABF"/>
    <w:rsid w:val="0072299B"/>
    <w:rsid w:val="00722A4B"/>
    <w:rsid w:val="00722D4F"/>
    <w:rsid w:val="0072313B"/>
    <w:rsid w:val="00723623"/>
    <w:rsid w:val="007237EE"/>
    <w:rsid w:val="0072447D"/>
    <w:rsid w:val="00726826"/>
    <w:rsid w:val="0072790B"/>
    <w:rsid w:val="00727DFD"/>
    <w:rsid w:val="007310B7"/>
    <w:rsid w:val="007340DA"/>
    <w:rsid w:val="007347AA"/>
    <w:rsid w:val="00734CC6"/>
    <w:rsid w:val="00734DD6"/>
    <w:rsid w:val="00735097"/>
    <w:rsid w:val="00735EE0"/>
    <w:rsid w:val="00740163"/>
    <w:rsid w:val="00742801"/>
    <w:rsid w:val="00743BD7"/>
    <w:rsid w:val="0074415F"/>
    <w:rsid w:val="00744970"/>
    <w:rsid w:val="007451A6"/>
    <w:rsid w:val="00745703"/>
    <w:rsid w:val="0074627A"/>
    <w:rsid w:val="00746859"/>
    <w:rsid w:val="007472BD"/>
    <w:rsid w:val="00747530"/>
    <w:rsid w:val="00747B5E"/>
    <w:rsid w:val="00747D2F"/>
    <w:rsid w:val="0075108E"/>
    <w:rsid w:val="007527B1"/>
    <w:rsid w:val="0075281D"/>
    <w:rsid w:val="0075317D"/>
    <w:rsid w:val="0076174E"/>
    <w:rsid w:val="0076390A"/>
    <w:rsid w:val="007645D7"/>
    <w:rsid w:val="0076528D"/>
    <w:rsid w:val="00766AAC"/>
    <w:rsid w:val="007671FD"/>
    <w:rsid w:val="007673DA"/>
    <w:rsid w:val="0077189D"/>
    <w:rsid w:val="00771BF4"/>
    <w:rsid w:val="007726E2"/>
    <w:rsid w:val="007731A4"/>
    <w:rsid w:val="00773EB8"/>
    <w:rsid w:val="00774681"/>
    <w:rsid w:val="00775D8F"/>
    <w:rsid w:val="00776D43"/>
    <w:rsid w:val="00777EBB"/>
    <w:rsid w:val="0078071A"/>
    <w:rsid w:val="00780A13"/>
    <w:rsid w:val="00781278"/>
    <w:rsid w:val="00782E36"/>
    <w:rsid w:val="00783741"/>
    <w:rsid w:val="0078482B"/>
    <w:rsid w:val="00785368"/>
    <w:rsid w:val="00785824"/>
    <w:rsid w:val="007860BC"/>
    <w:rsid w:val="007862C9"/>
    <w:rsid w:val="007865C2"/>
    <w:rsid w:val="00786E86"/>
    <w:rsid w:val="00787FB9"/>
    <w:rsid w:val="00790663"/>
    <w:rsid w:val="00791B47"/>
    <w:rsid w:val="007923B7"/>
    <w:rsid w:val="007927EA"/>
    <w:rsid w:val="0079463D"/>
    <w:rsid w:val="00794A3D"/>
    <w:rsid w:val="00794D4E"/>
    <w:rsid w:val="007964B3"/>
    <w:rsid w:val="00797B88"/>
    <w:rsid w:val="007A0ED6"/>
    <w:rsid w:val="007A2826"/>
    <w:rsid w:val="007A46BA"/>
    <w:rsid w:val="007A495D"/>
    <w:rsid w:val="007A5141"/>
    <w:rsid w:val="007A6B03"/>
    <w:rsid w:val="007A767A"/>
    <w:rsid w:val="007B022E"/>
    <w:rsid w:val="007B04C0"/>
    <w:rsid w:val="007B08F5"/>
    <w:rsid w:val="007B20E4"/>
    <w:rsid w:val="007B2F52"/>
    <w:rsid w:val="007B3DB1"/>
    <w:rsid w:val="007B4898"/>
    <w:rsid w:val="007B5C4D"/>
    <w:rsid w:val="007B5E3E"/>
    <w:rsid w:val="007B6B21"/>
    <w:rsid w:val="007B75A8"/>
    <w:rsid w:val="007B7AC2"/>
    <w:rsid w:val="007C1E63"/>
    <w:rsid w:val="007C4677"/>
    <w:rsid w:val="007C57DE"/>
    <w:rsid w:val="007C623E"/>
    <w:rsid w:val="007D01EE"/>
    <w:rsid w:val="007D1C36"/>
    <w:rsid w:val="007D1F51"/>
    <w:rsid w:val="007D20AF"/>
    <w:rsid w:val="007D257D"/>
    <w:rsid w:val="007D2997"/>
    <w:rsid w:val="007D2DD3"/>
    <w:rsid w:val="007D42F0"/>
    <w:rsid w:val="007D47B2"/>
    <w:rsid w:val="007D56DF"/>
    <w:rsid w:val="007D756A"/>
    <w:rsid w:val="007E07D0"/>
    <w:rsid w:val="007E0FB8"/>
    <w:rsid w:val="007E1735"/>
    <w:rsid w:val="007E1A27"/>
    <w:rsid w:val="007E4475"/>
    <w:rsid w:val="007E54AC"/>
    <w:rsid w:val="007E54E3"/>
    <w:rsid w:val="007E5A0A"/>
    <w:rsid w:val="007E6F27"/>
    <w:rsid w:val="007E7341"/>
    <w:rsid w:val="007F0D3B"/>
    <w:rsid w:val="007F1B3F"/>
    <w:rsid w:val="007F2932"/>
    <w:rsid w:val="007F2BDE"/>
    <w:rsid w:val="007F3145"/>
    <w:rsid w:val="007F3984"/>
    <w:rsid w:val="007F43F9"/>
    <w:rsid w:val="007F4D63"/>
    <w:rsid w:val="007F4D85"/>
    <w:rsid w:val="007F4EF4"/>
    <w:rsid w:val="007F571F"/>
    <w:rsid w:val="007F672B"/>
    <w:rsid w:val="007F7903"/>
    <w:rsid w:val="008011C3"/>
    <w:rsid w:val="008011F1"/>
    <w:rsid w:val="00802208"/>
    <w:rsid w:val="00802BF3"/>
    <w:rsid w:val="0080320A"/>
    <w:rsid w:val="00805165"/>
    <w:rsid w:val="00807052"/>
    <w:rsid w:val="008071C6"/>
    <w:rsid w:val="00807417"/>
    <w:rsid w:val="008077A2"/>
    <w:rsid w:val="00810B24"/>
    <w:rsid w:val="008113B2"/>
    <w:rsid w:val="00811F97"/>
    <w:rsid w:val="008124E2"/>
    <w:rsid w:val="00813032"/>
    <w:rsid w:val="0081355C"/>
    <w:rsid w:val="008137A8"/>
    <w:rsid w:val="008139CF"/>
    <w:rsid w:val="00814CAC"/>
    <w:rsid w:val="00815C88"/>
    <w:rsid w:val="008167F8"/>
    <w:rsid w:val="00817A5A"/>
    <w:rsid w:val="008200C9"/>
    <w:rsid w:val="0082018E"/>
    <w:rsid w:val="00820802"/>
    <w:rsid w:val="00821200"/>
    <w:rsid w:val="0082134D"/>
    <w:rsid w:val="008213DE"/>
    <w:rsid w:val="0082145A"/>
    <w:rsid w:val="00822832"/>
    <w:rsid w:val="00822B1B"/>
    <w:rsid w:val="008251D4"/>
    <w:rsid w:val="00826881"/>
    <w:rsid w:val="00827D27"/>
    <w:rsid w:val="00831ACD"/>
    <w:rsid w:val="00831CAE"/>
    <w:rsid w:val="0083202C"/>
    <w:rsid w:val="008323D8"/>
    <w:rsid w:val="00832B18"/>
    <w:rsid w:val="00833521"/>
    <w:rsid w:val="00834C5E"/>
    <w:rsid w:val="00834C5F"/>
    <w:rsid w:val="00834E0D"/>
    <w:rsid w:val="0083603F"/>
    <w:rsid w:val="00837E64"/>
    <w:rsid w:val="008402DB"/>
    <w:rsid w:val="00840637"/>
    <w:rsid w:val="00841007"/>
    <w:rsid w:val="008412EA"/>
    <w:rsid w:val="0084165C"/>
    <w:rsid w:val="00841A39"/>
    <w:rsid w:val="008428DC"/>
    <w:rsid w:val="00844B3B"/>
    <w:rsid w:val="008464B7"/>
    <w:rsid w:val="008470EF"/>
    <w:rsid w:val="00847521"/>
    <w:rsid w:val="008476C4"/>
    <w:rsid w:val="00847B37"/>
    <w:rsid w:val="008533EE"/>
    <w:rsid w:val="008542ED"/>
    <w:rsid w:val="0085449D"/>
    <w:rsid w:val="00854F9A"/>
    <w:rsid w:val="00856167"/>
    <w:rsid w:val="008564D5"/>
    <w:rsid w:val="00856A19"/>
    <w:rsid w:val="00856F22"/>
    <w:rsid w:val="00857C77"/>
    <w:rsid w:val="00860CA3"/>
    <w:rsid w:val="00861872"/>
    <w:rsid w:val="00861D47"/>
    <w:rsid w:val="008623BB"/>
    <w:rsid w:val="008628A1"/>
    <w:rsid w:val="008643EF"/>
    <w:rsid w:val="00865490"/>
    <w:rsid w:val="008656FF"/>
    <w:rsid w:val="00866A95"/>
    <w:rsid w:val="0087290D"/>
    <w:rsid w:val="008732D0"/>
    <w:rsid w:val="0087468E"/>
    <w:rsid w:val="00876694"/>
    <w:rsid w:val="00876790"/>
    <w:rsid w:val="0087687C"/>
    <w:rsid w:val="00876E8A"/>
    <w:rsid w:val="00877540"/>
    <w:rsid w:val="00877B66"/>
    <w:rsid w:val="00877DE8"/>
    <w:rsid w:val="008833CB"/>
    <w:rsid w:val="00883C57"/>
    <w:rsid w:val="00884FCF"/>
    <w:rsid w:val="008860EC"/>
    <w:rsid w:val="008874BB"/>
    <w:rsid w:val="00887786"/>
    <w:rsid w:val="00887B5E"/>
    <w:rsid w:val="00887DFD"/>
    <w:rsid w:val="00892378"/>
    <w:rsid w:val="0089261A"/>
    <w:rsid w:val="008927AC"/>
    <w:rsid w:val="00893045"/>
    <w:rsid w:val="008935BB"/>
    <w:rsid w:val="00894B85"/>
    <w:rsid w:val="008957DD"/>
    <w:rsid w:val="008967E8"/>
    <w:rsid w:val="00897919"/>
    <w:rsid w:val="008A0C3A"/>
    <w:rsid w:val="008A1554"/>
    <w:rsid w:val="008A2576"/>
    <w:rsid w:val="008A2A0C"/>
    <w:rsid w:val="008A555A"/>
    <w:rsid w:val="008A6607"/>
    <w:rsid w:val="008A687B"/>
    <w:rsid w:val="008A701B"/>
    <w:rsid w:val="008A7245"/>
    <w:rsid w:val="008A72EF"/>
    <w:rsid w:val="008A7437"/>
    <w:rsid w:val="008A793A"/>
    <w:rsid w:val="008A7AF5"/>
    <w:rsid w:val="008A7CBE"/>
    <w:rsid w:val="008B0AA1"/>
    <w:rsid w:val="008B2CA8"/>
    <w:rsid w:val="008B3C1A"/>
    <w:rsid w:val="008B4ED6"/>
    <w:rsid w:val="008B57F6"/>
    <w:rsid w:val="008B57F8"/>
    <w:rsid w:val="008C083E"/>
    <w:rsid w:val="008C1900"/>
    <w:rsid w:val="008C29C1"/>
    <w:rsid w:val="008C3EC5"/>
    <w:rsid w:val="008C457B"/>
    <w:rsid w:val="008C5538"/>
    <w:rsid w:val="008C6531"/>
    <w:rsid w:val="008C6B1A"/>
    <w:rsid w:val="008C7CD3"/>
    <w:rsid w:val="008D09F5"/>
    <w:rsid w:val="008D181A"/>
    <w:rsid w:val="008D2EEC"/>
    <w:rsid w:val="008D424C"/>
    <w:rsid w:val="008D6B93"/>
    <w:rsid w:val="008D6C0A"/>
    <w:rsid w:val="008D6D7B"/>
    <w:rsid w:val="008E2804"/>
    <w:rsid w:val="008E2FD9"/>
    <w:rsid w:val="008E3734"/>
    <w:rsid w:val="008E3B25"/>
    <w:rsid w:val="008E3C15"/>
    <w:rsid w:val="008E540B"/>
    <w:rsid w:val="008E5ECB"/>
    <w:rsid w:val="008E752E"/>
    <w:rsid w:val="008E7DDC"/>
    <w:rsid w:val="008F096A"/>
    <w:rsid w:val="008F0AFB"/>
    <w:rsid w:val="008F172C"/>
    <w:rsid w:val="008F2043"/>
    <w:rsid w:val="008F26BA"/>
    <w:rsid w:val="008F544D"/>
    <w:rsid w:val="008F6313"/>
    <w:rsid w:val="0090391E"/>
    <w:rsid w:val="009048E5"/>
    <w:rsid w:val="00904E14"/>
    <w:rsid w:val="00904EFB"/>
    <w:rsid w:val="0090541D"/>
    <w:rsid w:val="00905C4E"/>
    <w:rsid w:val="00906868"/>
    <w:rsid w:val="00906BA2"/>
    <w:rsid w:val="00910255"/>
    <w:rsid w:val="00910791"/>
    <w:rsid w:val="009139EB"/>
    <w:rsid w:val="00916A0C"/>
    <w:rsid w:val="00920003"/>
    <w:rsid w:val="009202DC"/>
    <w:rsid w:val="00920B29"/>
    <w:rsid w:val="00921E34"/>
    <w:rsid w:val="00921E35"/>
    <w:rsid w:val="0092238B"/>
    <w:rsid w:val="00922CF0"/>
    <w:rsid w:val="00922EDE"/>
    <w:rsid w:val="00924E7D"/>
    <w:rsid w:val="00925789"/>
    <w:rsid w:val="009257E2"/>
    <w:rsid w:val="00925934"/>
    <w:rsid w:val="009263E5"/>
    <w:rsid w:val="009276C1"/>
    <w:rsid w:val="00927733"/>
    <w:rsid w:val="0093154F"/>
    <w:rsid w:val="0093690C"/>
    <w:rsid w:val="00936DFC"/>
    <w:rsid w:val="009375AF"/>
    <w:rsid w:val="00941640"/>
    <w:rsid w:val="009417C9"/>
    <w:rsid w:val="00942590"/>
    <w:rsid w:val="00942A46"/>
    <w:rsid w:val="00942B95"/>
    <w:rsid w:val="00943931"/>
    <w:rsid w:val="00943AC8"/>
    <w:rsid w:val="00944494"/>
    <w:rsid w:val="009473B2"/>
    <w:rsid w:val="0094794F"/>
    <w:rsid w:val="00947A2E"/>
    <w:rsid w:val="00951BB7"/>
    <w:rsid w:val="00956194"/>
    <w:rsid w:val="00956823"/>
    <w:rsid w:val="00956845"/>
    <w:rsid w:val="009568C4"/>
    <w:rsid w:val="0095754B"/>
    <w:rsid w:val="00957E8E"/>
    <w:rsid w:val="009609E2"/>
    <w:rsid w:val="00962140"/>
    <w:rsid w:val="00962D2C"/>
    <w:rsid w:val="00962DB7"/>
    <w:rsid w:val="00964597"/>
    <w:rsid w:val="00965316"/>
    <w:rsid w:val="009662EE"/>
    <w:rsid w:val="009667E9"/>
    <w:rsid w:val="00967884"/>
    <w:rsid w:val="00967A2E"/>
    <w:rsid w:val="00971D5E"/>
    <w:rsid w:val="009720F5"/>
    <w:rsid w:val="00972298"/>
    <w:rsid w:val="00973DD0"/>
    <w:rsid w:val="00974E35"/>
    <w:rsid w:val="00975BD4"/>
    <w:rsid w:val="00975EC9"/>
    <w:rsid w:val="00975F49"/>
    <w:rsid w:val="00976E70"/>
    <w:rsid w:val="0097731B"/>
    <w:rsid w:val="009839F8"/>
    <w:rsid w:val="009849EB"/>
    <w:rsid w:val="00985995"/>
    <w:rsid w:val="00985B30"/>
    <w:rsid w:val="00987480"/>
    <w:rsid w:val="0099018F"/>
    <w:rsid w:val="00990453"/>
    <w:rsid w:val="00990536"/>
    <w:rsid w:val="00990A44"/>
    <w:rsid w:val="00991374"/>
    <w:rsid w:val="00991760"/>
    <w:rsid w:val="009926A6"/>
    <w:rsid w:val="00992C2B"/>
    <w:rsid w:val="00994054"/>
    <w:rsid w:val="00994401"/>
    <w:rsid w:val="0099446F"/>
    <w:rsid w:val="009958DD"/>
    <w:rsid w:val="00995D87"/>
    <w:rsid w:val="00995F51"/>
    <w:rsid w:val="009A0280"/>
    <w:rsid w:val="009A063D"/>
    <w:rsid w:val="009A0949"/>
    <w:rsid w:val="009A1F64"/>
    <w:rsid w:val="009A3130"/>
    <w:rsid w:val="009A3795"/>
    <w:rsid w:val="009A3913"/>
    <w:rsid w:val="009A4B89"/>
    <w:rsid w:val="009A7258"/>
    <w:rsid w:val="009A75DA"/>
    <w:rsid w:val="009A7E63"/>
    <w:rsid w:val="009B0975"/>
    <w:rsid w:val="009B219C"/>
    <w:rsid w:val="009B28E4"/>
    <w:rsid w:val="009B2AFC"/>
    <w:rsid w:val="009B2E2C"/>
    <w:rsid w:val="009B3EB0"/>
    <w:rsid w:val="009B42BF"/>
    <w:rsid w:val="009B49F4"/>
    <w:rsid w:val="009B4BDD"/>
    <w:rsid w:val="009B4EA5"/>
    <w:rsid w:val="009B579F"/>
    <w:rsid w:val="009B59C2"/>
    <w:rsid w:val="009B6C34"/>
    <w:rsid w:val="009B761B"/>
    <w:rsid w:val="009C0AD0"/>
    <w:rsid w:val="009C104D"/>
    <w:rsid w:val="009C1B6B"/>
    <w:rsid w:val="009C1C2C"/>
    <w:rsid w:val="009C3461"/>
    <w:rsid w:val="009C3E38"/>
    <w:rsid w:val="009C48DC"/>
    <w:rsid w:val="009C60FF"/>
    <w:rsid w:val="009C62F8"/>
    <w:rsid w:val="009D04BF"/>
    <w:rsid w:val="009D0D92"/>
    <w:rsid w:val="009D0EC6"/>
    <w:rsid w:val="009D20E2"/>
    <w:rsid w:val="009D50B8"/>
    <w:rsid w:val="009D5350"/>
    <w:rsid w:val="009D721C"/>
    <w:rsid w:val="009D7E38"/>
    <w:rsid w:val="009D7E60"/>
    <w:rsid w:val="009E0DF5"/>
    <w:rsid w:val="009E1D2E"/>
    <w:rsid w:val="009E2A3D"/>
    <w:rsid w:val="009E2D05"/>
    <w:rsid w:val="009E3856"/>
    <w:rsid w:val="009E4181"/>
    <w:rsid w:val="009E46E4"/>
    <w:rsid w:val="009E5176"/>
    <w:rsid w:val="009E528D"/>
    <w:rsid w:val="009E77B3"/>
    <w:rsid w:val="009E77DF"/>
    <w:rsid w:val="009E7F7F"/>
    <w:rsid w:val="009F13FA"/>
    <w:rsid w:val="009F181F"/>
    <w:rsid w:val="009F25D2"/>
    <w:rsid w:val="009F2ACD"/>
    <w:rsid w:val="009F2EB0"/>
    <w:rsid w:val="009F32E1"/>
    <w:rsid w:val="009F5E6E"/>
    <w:rsid w:val="009F5FC5"/>
    <w:rsid w:val="009F6791"/>
    <w:rsid w:val="009F6C6C"/>
    <w:rsid w:val="009F6D0C"/>
    <w:rsid w:val="00A0068A"/>
    <w:rsid w:val="00A016BE"/>
    <w:rsid w:val="00A020C3"/>
    <w:rsid w:val="00A02B8C"/>
    <w:rsid w:val="00A06220"/>
    <w:rsid w:val="00A06C57"/>
    <w:rsid w:val="00A11D9E"/>
    <w:rsid w:val="00A12A2E"/>
    <w:rsid w:val="00A131DC"/>
    <w:rsid w:val="00A147B2"/>
    <w:rsid w:val="00A15B39"/>
    <w:rsid w:val="00A17D4A"/>
    <w:rsid w:val="00A20835"/>
    <w:rsid w:val="00A211A5"/>
    <w:rsid w:val="00A22248"/>
    <w:rsid w:val="00A23F8C"/>
    <w:rsid w:val="00A24525"/>
    <w:rsid w:val="00A25911"/>
    <w:rsid w:val="00A26C18"/>
    <w:rsid w:val="00A30E3B"/>
    <w:rsid w:val="00A320FC"/>
    <w:rsid w:val="00A32D21"/>
    <w:rsid w:val="00A340A3"/>
    <w:rsid w:val="00A352B1"/>
    <w:rsid w:val="00A35678"/>
    <w:rsid w:val="00A36896"/>
    <w:rsid w:val="00A3762B"/>
    <w:rsid w:val="00A37A2A"/>
    <w:rsid w:val="00A410B1"/>
    <w:rsid w:val="00A42924"/>
    <w:rsid w:val="00A42C42"/>
    <w:rsid w:val="00A43032"/>
    <w:rsid w:val="00A44498"/>
    <w:rsid w:val="00A44A04"/>
    <w:rsid w:val="00A44C80"/>
    <w:rsid w:val="00A45F89"/>
    <w:rsid w:val="00A47078"/>
    <w:rsid w:val="00A50E69"/>
    <w:rsid w:val="00A51C7A"/>
    <w:rsid w:val="00A55161"/>
    <w:rsid w:val="00A56FD9"/>
    <w:rsid w:val="00A573E5"/>
    <w:rsid w:val="00A57B1F"/>
    <w:rsid w:val="00A606B0"/>
    <w:rsid w:val="00A60AD8"/>
    <w:rsid w:val="00A64E31"/>
    <w:rsid w:val="00A667DA"/>
    <w:rsid w:val="00A715F1"/>
    <w:rsid w:val="00A71DE6"/>
    <w:rsid w:val="00A71FDE"/>
    <w:rsid w:val="00A72779"/>
    <w:rsid w:val="00A72F09"/>
    <w:rsid w:val="00A75EFC"/>
    <w:rsid w:val="00A776A0"/>
    <w:rsid w:val="00A77772"/>
    <w:rsid w:val="00A8142A"/>
    <w:rsid w:val="00A8144F"/>
    <w:rsid w:val="00A818CC"/>
    <w:rsid w:val="00A81E9A"/>
    <w:rsid w:val="00A822C0"/>
    <w:rsid w:val="00A85015"/>
    <w:rsid w:val="00A850C4"/>
    <w:rsid w:val="00A85950"/>
    <w:rsid w:val="00A85FB0"/>
    <w:rsid w:val="00A866A1"/>
    <w:rsid w:val="00A87987"/>
    <w:rsid w:val="00A91C09"/>
    <w:rsid w:val="00A92C46"/>
    <w:rsid w:val="00A93C62"/>
    <w:rsid w:val="00A95951"/>
    <w:rsid w:val="00A96850"/>
    <w:rsid w:val="00A96B36"/>
    <w:rsid w:val="00A97CEE"/>
    <w:rsid w:val="00AA07C5"/>
    <w:rsid w:val="00AA0CDF"/>
    <w:rsid w:val="00AA0F56"/>
    <w:rsid w:val="00AA0F5E"/>
    <w:rsid w:val="00AA10B8"/>
    <w:rsid w:val="00AA4E4E"/>
    <w:rsid w:val="00AA55E6"/>
    <w:rsid w:val="00AA6A5F"/>
    <w:rsid w:val="00AA6F26"/>
    <w:rsid w:val="00AB0A0A"/>
    <w:rsid w:val="00AB158F"/>
    <w:rsid w:val="00AB16D2"/>
    <w:rsid w:val="00AB2382"/>
    <w:rsid w:val="00AB31FD"/>
    <w:rsid w:val="00AB355E"/>
    <w:rsid w:val="00AB4334"/>
    <w:rsid w:val="00AB4424"/>
    <w:rsid w:val="00AB5484"/>
    <w:rsid w:val="00AB55C9"/>
    <w:rsid w:val="00AB78CA"/>
    <w:rsid w:val="00AB7DE6"/>
    <w:rsid w:val="00AC01DE"/>
    <w:rsid w:val="00AC1A60"/>
    <w:rsid w:val="00AC2131"/>
    <w:rsid w:val="00AC4244"/>
    <w:rsid w:val="00AC4BB1"/>
    <w:rsid w:val="00AC5755"/>
    <w:rsid w:val="00AC5E5B"/>
    <w:rsid w:val="00AC7616"/>
    <w:rsid w:val="00AD02C4"/>
    <w:rsid w:val="00AD061F"/>
    <w:rsid w:val="00AD0626"/>
    <w:rsid w:val="00AD0F72"/>
    <w:rsid w:val="00AD2712"/>
    <w:rsid w:val="00AD3D0A"/>
    <w:rsid w:val="00AD4FAC"/>
    <w:rsid w:val="00AD72F3"/>
    <w:rsid w:val="00AE2B9E"/>
    <w:rsid w:val="00AE2D05"/>
    <w:rsid w:val="00AE38B9"/>
    <w:rsid w:val="00AE3CD2"/>
    <w:rsid w:val="00AE46BA"/>
    <w:rsid w:val="00AE4F4C"/>
    <w:rsid w:val="00AE6BAC"/>
    <w:rsid w:val="00AF0ABB"/>
    <w:rsid w:val="00AF1523"/>
    <w:rsid w:val="00AF1C0C"/>
    <w:rsid w:val="00AF2CD3"/>
    <w:rsid w:val="00AF2FAD"/>
    <w:rsid w:val="00AF3684"/>
    <w:rsid w:val="00AF3AE5"/>
    <w:rsid w:val="00AF47B3"/>
    <w:rsid w:val="00AF4A6B"/>
    <w:rsid w:val="00AF5FDA"/>
    <w:rsid w:val="00B0024F"/>
    <w:rsid w:val="00B01530"/>
    <w:rsid w:val="00B022B2"/>
    <w:rsid w:val="00B0290C"/>
    <w:rsid w:val="00B031EC"/>
    <w:rsid w:val="00B03F1D"/>
    <w:rsid w:val="00B040D2"/>
    <w:rsid w:val="00B05AA2"/>
    <w:rsid w:val="00B05CA9"/>
    <w:rsid w:val="00B05F03"/>
    <w:rsid w:val="00B07840"/>
    <w:rsid w:val="00B07A2A"/>
    <w:rsid w:val="00B1066B"/>
    <w:rsid w:val="00B1086E"/>
    <w:rsid w:val="00B10A73"/>
    <w:rsid w:val="00B1173B"/>
    <w:rsid w:val="00B126BA"/>
    <w:rsid w:val="00B128F5"/>
    <w:rsid w:val="00B1315D"/>
    <w:rsid w:val="00B13545"/>
    <w:rsid w:val="00B13F32"/>
    <w:rsid w:val="00B14757"/>
    <w:rsid w:val="00B179E9"/>
    <w:rsid w:val="00B202E0"/>
    <w:rsid w:val="00B20318"/>
    <w:rsid w:val="00B21201"/>
    <w:rsid w:val="00B21678"/>
    <w:rsid w:val="00B2238B"/>
    <w:rsid w:val="00B22E79"/>
    <w:rsid w:val="00B233D6"/>
    <w:rsid w:val="00B2462F"/>
    <w:rsid w:val="00B24A81"/>
    <w:rsid w:val="00B24C97"/>
    <w:rsid w:val="00B255ED"/>
    <w:rsid w:val="00B25A88"/>
    <w:rsid w:val="00B27864"/>
    <w:rsid w:val="00B3120D"/>
    <w:rsid w:val="00B312B5"/>
    <w:rsid w:val="00B31393"/>
    <w:rsid w:val="00B322F7"/>
    <w:rsid w:val="00B33E48"/>
    <w:rsid w:val="00B349E5"/>
    <w:rsid w:val="00B364E3"/>
    <w:rsid w:val="00B36A38"/>
    <w:rsid w:val="00B37001"/>
    <w:rsid w:val="00B418FC"/>
    <w:rsid w:val="00B43947"/>
    <w:rsid w:val="00B44E68"/>
    <w:rsid w:val="00B47022"/>
    <w:rsid w:val="00B50055"/>
    <w:rsid w:val="00B5017B"/>
    <w:rsid w:val="00B5131C"/>
    <w:rsid w:val="00B51495"/>
    <w:rsid w:val="00B52A91"/>
    <w:rsid w:val="00B530BC"/>
    <w:rsid w:val="00B53CB1"/>
    <w:rsid w:val="00B560A6"/>
    <w:rsid w:val="00B566FC"/>
    <w:rsid w:val="00B567A1"/>
    <w:rsid w:val="00B56EDB"/>
    <w:rsid w:val="00B60B3D"/>
    <w:rsid w:val="00B624F5"/>
    <w:rsid w:val="00B638C9"/>
    <w:rsid w:val="00B63E12"/>
    <w:rsid w:val="00B64983"/>
    <w:rsid w:val="00B657BF"/>
    <w:rsid w:val="00B70BCB"/>
    <w:rsid w:val="00B70EFB"/>
    <w:rsid w:val="00B70F54"/>
    <w:rsid w:val="00B70FE6"/>
    <w:rsid w:val="00B72364"/>
    <w:rsid w:val="00B7311A"/>
    <w:rsid w:val="00B75DCE"/>
    <w:rsid w:val="00B7610B"/>
    <w:rsid w:val="00B761C6"/>
    <w:rsid w:val="00B771E8"/>
    <w:rsid w:val="00B806AB"/>
    <w:rsid w:val="00B80E30"/>
    <w:rsid w:val="00B817FA"/>
    <w:rsid w:val="00B81BC8"/>
    <w:rsid w:val="00B827C5"/>
    <w:rsid w:val="00B827CE"/>
    <w:rsid w:val="00B82AB6"/>
    <w:rsid w:val="00B83AA8"/>
    <w:rsid w:val="00B84531"/>
    <w:rsid w:val="00B84B97"/>
    <w:rsid w:val="00B85180"/>
    <w:rsid w:val="00B853ED"/>
    <w:rsid w:val="00B8584C"/>
    <w:rsid w:val="00B872C3"/>
    <w:rsid w:val="00B87B65"/>
    <w:rsid w:val="00B902E8"/>
    <w:rsid w:val="00B947B2"/>
    <w:rsid w:val="00B96DEA"/>
    <w:rsid w:val="00BA1543"/>
    <w:rsid w:val="00BA1947"/>
    <w:rsid w:val="00BA20E2"/>
    <w:rsid w:val="00BA2553"/>
    <w:rsid w:val="00BA263F"/>
    <w:rsid w:val="00BA6E06"/>
    <w:rsid w:val="00BB4A12"/>
    <w:rsid w:val="00BC02EB"/>
    <w:rsid w:val="00BC1171"/>
    <w:rsid w:val="00BC2A47"/>
    <w:rsid w:val="00BC2D15"/>
    <w:rsid w:val="00BC32C1"/>
    <w:rsid w:val="00BC377A"/>
    <w:rsid w:val="00BC5FED"/>
    <w:rsid w:val="00BC68C3"/>
    <w:rsid w:val="00BD1F6E"/>
    <w:rsid w:val="00BD24D2"/>
    <w:rsid w:val="00BD254C"/>
    <w:rsid w:val="00BD34BF"/>
    <w:rsid w:val="00BD4530"/>
    <w:rsid w:val="00BD483F"/>
    <w:rsid w:val="00BD4B09"/>
    <w:rsid w:val="00BD4D80"/>
    <w:rsid w:val="00BD50D1"/>
    <w:rsid w:val="00BD63F1"/>
    <w:rsid w:val="00BD6A48"/>
    <w:rsid w:val="00BD75E6"/>
    <w:rsid w:val="00BD78C1"/>
    <w:rsid w:val="00BE0B1F"/>
    <w:rsid w:val="00BE249B"/>
    <w:rsid w:val="00BE395D"/>
    <w:rsid w:val="00BE4C51"/>
    <w:rsid w:val="00BE5DCC"/>
    <w:rsid w:val="00BE68F2"/>
    <w:rsid w:val="00BF0400"/>
    <w:rsid w:val="00BF3C9D"/>
    <w:rsid w:val="00BF3CC4"/>
    <w:rsid w:val="00BF3F97"/>
    <w:rsid w:val="00BF4AEB"/>
    <w:rsid w:val="00BF5513"/>
    <w:rsid w:val="00BF57AB"/>
    <w:rsid w:val="00BF65F5"/>
    <w:rsid w:val="00C01F1B"/>
    <w:rsid w:val="00C02E31"/>
    <w:rsid w:val="00C03A98"/>
    <w:rsid w:val="00C054B2"/>
    <w:rsid w:val="00C054DE"/>
    <w:rsid w:val="00C05AD0"/>
    <w:rsid w:val="00C05B4F"/>
    <w:rsid w:val="00C061C1"/>
    <w:rsid w:val="00C073A2"/>
    <w:rsid w:val="00C10B6F"/>
    <w:rsid w:val="00C10CA5"/>
    <w:rsid w:val="00C10EC2"/>
    <w:rsid w:val="00C1219F"/>
    <w:rsid w:val="00C121BA"/>
    <w:rsid w:val="00C12BC0"/>
    <w:rsid w:val="00C138BE"/>
    <w:rsid w:val="00C16819"/>
    <w:rsid w:val="00C17ABA"/>
    <w:rsid w:val="00C20A7E"/>
    <w:rsid w:val="00C21458"/>
    <w:rsid w:val="00C229CB"/>
    <w:rsid w:val="00C23F76"/>
    <w:rsid w:val="00C25147"/>
    <w:rsid w:val="00C268E1"/>
    <w:rsid w:val="00C273D2"/>
    <w:rsid w:val="00C27CCD"/>
    <w:rsid w:val="00C303DA"/>
    <w:rsid w:val="00C30C5D"/>
    <w:rsid w:val="00C3193C"/>
    <w:rsid w:val="00C32120"/>
    <w:rsid w:val="00C32531"/>
    <w:rsid w:val="00C33270"/>
    <w:rsid w:val="00C33A6B"/>
    <w:rsid w:val="00C33C47"/>
    <w:rsid w:val="00C37ACC"/>
    <w:rsid w:val="00C40433"/>
    <w:rsid w:val="00C409E0"/>
    <w:rsid w:val="00C419F2"/>
    <w:rsid w:val="00C41EA0"/>
    <w:rsid w:val="00C42850"/>
    <w:rsid w:val="00C42892"/>
    <w:rsid w:val="00C42DBF"/>
    <w:rsid w:val="00C4469D"/>
    <w:rsid w:val="00C44A84"/>
    <w:rsid w:val="00C457D3"/>
    <w:rsid w:val="00C462E4"/>
    <w:rsid w:val="00C47345"/>
    <w:rsid w:val="00C50C6E"/>
    <w:rsid w:val="00C521E1"/>
    <w:rsid w:val="00C55DCE"/>
    <w:rsid w:val="00C563D5"/>
    <w:rsid w:val="00C56B19"/>
    <w:rsid w:val="00C56C50"/>
    <w:rsid w:val="00C56E27"/>
    <w:rsid w:val="00C607C0"/>
    <w:rsid w:val="00C60A8D"/>
    <w:rsid w:val="00C60E65"/>
    <w:rsid w:val="00C61D38"/>
    <w:rsid w:val="00C624A4"/>
    <w:rsid w:val="00C62665"/>
    <w:rsid w:val="00C668EC"/>
    <w:rsid w:val="00C669D0"/>
    <w:rsid w:val="00C675C0"/>
    <w:rsid w:val="00C7018C"/>
    <w:rsid w:val="00C722E4"/>
    <w:rsid w:val="00C72E7F"/>
    <w:rsid w:val="00C737E0"/>
    <w:rsid w:val="00C73F5A"/>
    <w:rsid w:val="00C74921"/>
    <w:rsid w:val="00C7551B"/>
    <w:rsid w:val="00C7589C"/>
    <w:rsid w:val="00C77256"/>
    <w:rsid w:val="00C77C40"/>
    <w:rsid w:val="00C77E63"/>
    <w:rsid w:val="00C77F21"/>
    <w:rsid w:val="00C800FF"/>
    <w:rsid w:val="00C82257"/>
    <w:rsid w:val="00C82B2E"/>
    <w:rsid w:val="00C82B39"/>
    <w:rsid w:val="00C82C15"/>
    <w:rsid w:val="00C85473"/>
    <w:rsid w:val="00C85B59"/>
    <w:rsid w:val="00C86E67"/>
    <w:rsid w:val="00C87BD6"/>
    <w:rsid w:val="00C87ECE"/>
    <w:rsid w:val="00C87F37"/>
    <w:rsid w:val="00C91741"/>
    <w:rsid w:val="00C92888"/>
    <w:rsid w:val="00C92BF7"/>
    <w:rsid w:val="00C94F1E"/>
    <w:rsid w:val="00C95F3E"/>
    <w:rsid w:val="00C967E0"/>
    <w:rsid w:val="00C9687C"/>
    <w:rsid w:val="00C97734"/>
    <w:rsid w:val="00CA0242"/>
    <w:rsid w:val="00CA1FCA"/>
    <w:rsid w:val="00CA2E9A"/>
    <w:rsid w:val="00CA403A"/>
    <w:rsid w:val="00CA4BEF"/>
    <w:rsid w:val="00CA618E"/>
    <w:rsid w:val="00CA6504"/>
    <w:rsid w:val="00CA6FE6"/>
    <w:rsid w:val="00CA740F"/>
    <w:rsid w:val="00CA7B66"/>
    <w:rsid w:val="00CB0264"/>
    <w:rsid w:val="00CB0699"/>
    <w:rsid w:val="00CB11DC"/>
    <w:rsid w:val="00CB3003"/>
    <w:rsid w:val="00CB3062"/>
    <w:rsid w:val="00CB44B9"/>
    <w:rsid w:val="00CB4824"/>
    <w:rsid w:val="00CB5119"/>
    <w:rsid w:val="00CB5727"/>
    <w:rsid w:val="00CB59E0"/>
    <w:rsid w:val="00CB7418"/>
    <w:rsid w:val="00CB74A0"/>
    <w:rsid w:val="00CB77FE"/>
    <w:rsid w:val="00CC013C"/>
    <w:rsid w:val="00CC04E0"/>
    <w:rsid w:val="00CC0D8D"/>
    <w:rsid w:val="00CC0FDE"/>
    <w:rsid w:val="00CC428E"/>
    <w:rsid w:val="00CC474D"/>
    <w:rsid w:val="00CC4979"/>
    <w:rsid w:val="00CC51C2"/>
    <w:rsid w:val="00CC52BA"/>
    <w:rsid w:val="00CC5518"/>
    <w:rsid w:val="00CC5737"/>
    <w:rsid w:val="00CC5D8D"/>
    <w:rsid w:val="00CC64C6"/>
    <w:rsid w:val="00CC746E"/>
    <w:rsid w:val="00CD02C6"/>
    <w:rsid w:val="00CD0C21"/>
    <w:rsid w:val="00CD135A"/>
    <w:rsid w:val="00CD1535"/>
    <w:rsid w:val="00CD21CC"/>
    <w:rsid w:val="00CD2F06"/>
    <w:rsid w:val="00CD43E7"/>
    <w:rsid w:val="00CD4874"/>
    <w:rsid w:val="00CD4B7C"/>
    <w:rsid w:val="00CD5923"/>
    <w:rsid w:val="00CD64E6"/>
    <w:rsid w:val="00CD6DB0"/>
    <w:rsid w:val="00CD6ED7"/>
    <w:rsid w:val="00CD7074"/>
    <w:rsid w:val="00CD7A6E"/>
    <w:rsid w:val="00CE0DC5"/>
    <w:rsid w:val="00CE0FE5"/>
    <w:rsid w:val="00CE14F6"/>
    <w:rsid w:val="00CE1B63"/>
    <w:rsid w:val="00CE1C2F"/>
    <w:rsid w:val="00CE3B13"/>
    <w:rsid w:val="00CE3B84"/>
    <w:rsid w:val="00CE4619"/>
    <w:rsid w:val="00CE4968"/>
    <w:rsid w:val="00CE58BD"/>
    <w:rsid w:val="00CE5C1A"/>
    <w:rsid w:val="00CE6C18"/>
    <w:rsid w:val="00CF005E"/>
    <w:rsid w:val="00CF0440"/>
    <w:rsid w:val="00CF182E"/>
    <w:rsid w:val="00CF2A6C"/>
    <w:rsid w:val="00CF3584"/>
    <w:rsid w:val="00CF3748"/>
    <w:rsid w:val="00CF413F"/>
    <w:rsid w:val="00CF5259"/>
    <w:rsid w:val="00CF5675"/>
    <w:rsid w:val="00CF61AA"/>
    <w:rsid w:val="00CF72E4"/>
    <w:rsid w:val="00CF73C0"/>
    <w:rsid w:val="00D00C6D"/>
    <w:rsid w:val="00D019CC"/>
    <w:rsid w:val="00D02B1B"/>
    <w:rsid w:val="00D03056"/>
    <w:rsid w:val="00D119AA"/>
    <w:rsid w:val="00D11C75"/>
    <w:rsid w:val="00D133B4"/>
    <w:rsid w:val="00D153A3"/>
    <w:rsid w:val="00D16ACE"/>
    <w:rsid w:val="00D1760A"/>
    <w:rsid w:val="00D17B30"/>
    <w:rsid w:val="00D20049"/>
    <w:rsid w:val="00D20D9D"/>
    <w:rsid w:val="00D22343"/>
    <w:rsid w:val="00D225B5"/>
    <w:rsid w:val="00D22F31"/>
    <w:rsid w:val="00D23870"/>
    <w:rsid w:val="00D24C9F"/>
    <w:rsid w:val="00D24E61"/>
    <w:rsid w:val="00D26829"/>
    <w:rsid w:val="00D268F2"/>
    <w:rsid w:val="00D270DB"/>
    <w:rsid w:val="00D27CAB"/>
    <w:rsid w:val="00D30F50"/>
    <w:rsid w:val="00D319F2"/>
    <w:rsid w:val="00D32101"/>
    <w:rsid w:val="00D32392"/>
    <w:rsid w:val="00D32B6D"/>
    <w:rsid w:val="00D33D74"/>
    <w:rsid w:val="00D3451F"/>
    <w:rsid w:val="00D34704"/>
    <w:rsid w:val="00D356D0"/>
    <w:rsid w:val="00D368DE"/>
    <w:rsid w:val="00D36CEC"/>
    <w:rsid w:val="00D40182"/>
    <w:rsid w:val="00D40936"/>
    <w:rsid w:val="00D40F2A"/>
    <w:rsid w:val="00D41CCE"/>
    <w:rsid w:val="00D435C3"/>
    <w:rsid w:val="00D44BE1"/>
    <w:rsid w:val="00D4586F"/>
    <w:rsid w:val="00D4613F"/>
    <w:rsid w:val="00D50680"/>
    <w:rsid w:val="00D51190"/>
    <w:rsid w:val="00D5175D"/>
    <w:rsid w:val="00D52740"/>
    <w:rsid w:val="00D5279B"/>
    <w:rsid w:val="00D53100"/>
    <w:rsid w:val="00D572D3"/>
    <w:rsid w:val="00D57625"/>
    <w:rsid w:val="00D57CDA"/>
    <w:rsid w:val="00D60156"/>
    <w:rsid w:val="00D6019D"/>
    <w:rsid w:val="00D61535"/>
    <w:rsid w:val="00D61801"/>
    <w:rsid w:val="00D61ADA"/>
    <w:rsid w:val="00D62235"/>
    <w:rsid w:val="00D63A04"/>
    <w:rsid w:val="00D656C9"/>
    <w:rsid w:val="00D661FF"/>
    <w:rsid w:val="00D67218"/>
    <w:rsid w:val="00D679FA"/>
    <w:rsid w:val="00D701C0"/>
    <w:rsid w:val="00D705B6"/>
    <w:rsid w:val="00D7133E"/>
    <w:rsid w:val="00D720A1"/>
    <w:rsid w:val="00D72172"/>
    <w:rsid w:val="00D72910"/>
    <w:rsid w:val="00D72A42"/>
    <w:rsid w:val="00D72F0E"/>
    <w:rsid w:val="00D735A5"/>
    <w:rsid w:val="00D74118"/>
    <w:rsid w:val="00D74600"/>
    <w:rsid w:val="00D74DF9"/>
    <w:rsid w:val="00D75ABA"/>
    <w:rsid w:val="00D75FD8"/>
    <w:rsid w:val="00D774BC"/>
    <w:rsid w:val="00D77A8E"/>
    <w:rsid w:val="00D80E87"/>
    <w:rsid w:val="00D81A96"/>
    <w:rsid w:val="00D81CC8"/>
    <w:rsid w:val="00D82945"/>
    <w:rsid w:val="00D83E38"/>
    <w:rsid w:val="00D84CA0"/>
    <w:rsid w:val="00D861B7"/>
    <w:rsid w:val="00D86B6E"/>
    <w:rsid w:val="00D8709C"/>
    <w:rsid w:val="00D875E8"/>
    <w:rsid w:val="00D876F0"/>
    <w:rsid w:val="00D927CB"/>
    <w:rsid w:val="00D9294A"/>
    <w:rsid w:val="00D92AC8"/>
    <w:rsid w:val="00D93C80"/>
    <w:rsid w:val="00D93D1D"/>
    <w:rsid w:val="00D9574D"/>
    <w:rsid w:val="00D9583E"/>
    <w:rsid w:val="00D9609E"/>
    <w:rsid w:val="00D96A63"/>
    <w:rsid w:val="00D970AF"/>
    <w:rsid w:val="00D970FA"/>
    <w:rsid w:val="00DA0BEA"/>
    <w:rsid w:val="00DA1069"/>
    <w:rsid w:val="00DA1CAF"/>
    <w:rsid w:val="00DA3E7C"/>
    <w:rsid w:val="00DA4AE8"/>
    <w:rsid w:val="00DA544B"/>
    <w:rsid w:val="00DA6197"/>
    <w:rsid w:val="00DA61B5"/>
    <w:rsid w:val="00DB163B"/>
    <w:rsid w:val="00DB1E2D"/>
    <w:rsid w:val="00DB2791"/>
    <w:rsid w:val="00DB39F0"/>
    <w:rsid w:val="00DB4350"/>
    <w:rsid w:val="00DB4451"/>
    <w:rsid w:val="00DB5D51"/>
    <w:rsid w:val="00DB6AA8"/>
    <w:rsid w:val="00DB714C"/>
    <w:rsid w:val="00DB73BF"/>
    <w:rsid w:val="00DC0CE4"/>
    <w:rsid w:val="00DC20CB"/>
    <w:rsid w:val="00DC2169"/>
    <w:rsid w:val="00DC2506"/>
    <w:rsid w:val="00DC30C9"/>
    <w:rsid w:val="00DC339E"/>
    <w:rsid w:val="00DC3AA9"/>
    <w:rsid w:val="00DC47F0"/>
    <w:rsid w:val="00DC486F"/>
    <w:rsid w:val="00DC4993"/>
    <w:rsid w:val="00DC4C85"/>
    <w:rsid w:val="00DC64EF"/>
    <w:rsid w:val="00DC6820"/>
    <w:rsid w:val="00DC7B79"/>
    <w:rsid w:val="00DD1398"/>
    <w:rsid w:val="00DD1E96"/>
    <w:rsid w:val="00DD4674"/>
    <w:rsid w:val="00DD4F1A"/>
    <w:rsid w:val="00DD67AE"/>
    <w:rsid w:val="00DD7297"/>
    <w:rsid w:val="00DE2AC1"/>
    <w:rsid w:val="00DE35F8"/>
    <w:rsid w:val="00DE3E07"/>
    <w:rsid w:val="00DE41F6"/>
    <w:rsid w:val="00DE61E4"/>
    <w:rsid w:val="00DE6536"/>
    <w:rsid w:val="00DE7213"/>
    <w:rsid w:val="00DF0904"/>
    <w:rsid w:val="00DF0D34"/>
    <w:rsid w:val="00DF1879"/>
    <w:rsid w:val="00DF3023"/>
    <w:rsid w:val="00DF4957"/>
    <w:rsid w:val="00DF5ABD"/>
    <w:rsid w:val="00E0007E"/>
    <w:rsid w:val="00E00296"/>
    <w:rsid w:val="00E0096A"/>
    <w:rsid w:val="00E014DB"/>
    <w:rsid w:val="00E026BB"/>
    <w:rsid w:val="00E031AD"/>
    <w:rsid w:val="00E06BAA"/>
    <w:rsid w:val="00E07D86"/>
    <w:rsid w:val="00E11E29"/>
    <w:rsid w:val="00E12CC6"/>
    <w:rsid w:val="00E142D9"/>
    <w:rsid w:val="00E1528D"/>
    <w:rsid w:val="00E15B4A"/>
    <w:rsid w:val="00E16025"/>
    <w:rsid w:val="00E16965"/>
    <w:rsid w:val="00E16BA3"/>
    <w:rsid w:val="00E200FB"/>
    <w:rsid w:val="00E202F8"/>
    <w:rsid w:val="00E20F86"/>
    <w:rsid w:val="00E20FF2"/>
    <w:rsid w:val="00E22825"/>
    <w:rsid w:val="00E23A2F"/>
    <w:rsid w:val="00E24712"/>
    <w:rsid w:val="00E250F2"/>
    <w:rsid w:val="00E260F5"/>
    <w:rsid w:val="00E27A83"/>
    <w:rsid w:val="00E334E0"/>
    <w:rsid w:val="00E33CA6"/>
    <w:rsid w:val="00E3500B"/>
    <w:rsid w:val="00E36512"/>
    <w:rsid w:val="00E36677"/>
    <w:rsid w:val="00E37B19"/>
    <w:rsid w:val="00E37C36"/>
    <w:rsid w:val="00E4218F"/>
    <w:rsid w:val="00E42EEE"/>
    <w:rsid w:val="00E43C41"/>
    <w:rsid w:val="00E44364"/>
    <w:rsid w:val="00E44714"/>
    <w:rsid w:val="00E450FE"/>
    <w:rsid w:val="00E46058"/>
    <w:rsid w:val="00E46209"/>
    <w:rsid w:val="00E46CEA"/>
    <w:rsid w:val="00E471D6"/>
    <w:rsid w:val="00E47850"/>
    <w:rsid w:val="00E47CA9"/>
    <w:rsid w:val="00E50222"/>
    <w:rsid w:val="00E50790"/>
    <w:rsid w:val="00E5113E"/>
    <w:rsid w:val="00E5281C"/>
    <w:rsid w:val="00E52B2A"/>
    <w:rsid w:val="00E5336D"/>
    <w:rsid w:val="00E53B29"/>
    <w:rsid w:val="00E5420C"/>
    <w:rsid w:val="00E54660"/>
    <w:rsid w:val="00E54C2B"/>
    <w:rsid w:val="00E569B3"/>
    <w:rsid w:val="00E571C1"/>
    <w:rsid w:val="00E57816"/>
    <w:rsid w:val="00E61682"/>
    <w:rsid w:val="00E61CC8"/>
    <w:rsid w:val="00E6320B"/>
    <w:rsid w:val="00E6354E"/>
    <w:rsid w:val="00E655F8"/>
    <w:rsid w:val="00E66E3B"/>
    <w:rsid w:val="00E6738B"/>
    <w:rsid w:val="00E678AF"/>
    <w:rsid w:val="00E6794B"/>
    <w:rsid w:val="00E7216A"/>
    <w:rsid w:val="00E722CD"/>
    <w:rsid w:val="00E72427"/>
    <w:rsid w:val="00E7291A"/>
    <w:rsid w:val="00E7353C"/>
    <w:rsid w:val="00E7389C"/>
    <w:rsid w:val="00E7409E"/>
    <w:rsid w:val="00E744EA"/>
    <w:rsid w:val="00E74802"/>
    <w:rsid w:val="00E7532B"/>
    <w:rsid w:val="00E7700D"/>
    <w:rsid w:val="00E77BFA"/>
    <w:rsid w:val="00E80188"/>
    <w:rsid w:val="00E803F8"/>
    <w:rsid w:val="00E8196E"/>
    <w:rsid w:val="00E8272F"/>
    <w:rsid w:val="00E830B9"/>
    <w:rsid w:val="00E833B2"/>
    <w:rsid w:val="00E84FCA"/>
    <w:rsid w:val="00E85B57"/>
    <w:rsid w:val="00E86205"/>
    <w:rsid w:val="00E872AF"/>
    <w:rsid w:val="00E9110E"/>
    <w:rsid w:val="00E9120E"/>
    <w:rsid w:val="00E919AF"/>
    <w:rsid w:val="00E9226C"/>
    <w:rsid w:val="00E93AF2"/>
    <w:rsid w:val="00E956AA"/>
    <w:rsid w:val="00E95785"/>
    <w:rsid w:val="00E96C75"/>
    <w:rsid w:val="00E96F7C"/>
    <w:rsid w:val="00EA00C6"/>
    <w:rsid w:val="00EA0E5D"/>
    <w:rsid w:val="00EA1176"/>
    <w:rsid w:val="00EA2C0D"/>
    <w:rsid w:val="00EA3522"/>
    <w:rsid w:val="00EA4D2D"/>
    <w:rsid w:val="00EA5509"/>
    <w:rsid w:val="00EA5F84"/>
    <w:rsid w:val="00EA6E96"/>
    <w:rsid w:val="00EA751A"/>
    <w:rsid w:val="00EA7556"/>
    <w:rsid w:val="00EA76AF"/>
    <w:rsid w:val="00EB19C8"/>
    <w:rsid w:val="00EB30D1"/>
    <w:rsid w:val="00EB62C1"/>
    <w:rsid w:val="00EB6D24"/>
    <w:rsid w:val="00EB770A"/>
    <w:rsid w:val="00EC0934"/>
    <w:rsid w:val="00EC15E2"/>
    <w:rsid w:val="00EC207F"/>
    <w:rsid w:val="00EC24A7"/>
    <w:rsid w:val="00EC3275"/>
    <w:rsid w:val="00EC4AF4"/>
    <w:rsid w:val="00EC5935"/>
    <w:rsid w:val="00EC71F6"/>
    <w:rsid w:val="00EC7E9F"/>
    <w:rsid w:val="00ED0461"/>
    <w:rsid w:val="00ED0A2B"/>
    <w:rsid w:val="00ED1599"/>
    <w:rsid w:val="00ED286E"/>
    <w:rsid w:val="00ED2D38"/>
    <w:rsid w:val="00ED3E7C"/>
    <w:rsid w:val="00ED4136"/>
    <w:rsid w:val="00ED4579"/>
    <w:rsid w:val="00ED4BBB"/>
    <w:rsid w:val="00ED5493"/>
    <w:rsid w:val="00ED6078"/>
    <w:rsid w:val="00ED707B"/>
    <w:rsid w:val="00ED7706"/>
    <w:rsid w:val="00ED7C23"/>
    <w:rsid w:val="00EE0C2B"/>
    <w:rsid w:val="00EE0CCB"/>
    <w:rsid w:val="00EE114D"/>
    <w:rsid w:val="00EE2374"/>
    <w:rsid w:val="00EE2933"/>
    <w:rsid w:val="00EE2D79"/>
    <w:rsid w:val="00EE4738"/>
    <w:rsid w:val="00EE57DA"/>
    <w:rsid w:val="00EE629D"/>
    <w:rsid w:val="00EE683A"/>
    <w:rsid w:val="00EE7D56"/>
    <w:rsid w:val="00EF1086"/>
    <w:rsid w:val="00EF2CA9"/>
    <w:rsid w:val="00EF3639"/>
    <w:rsid w:val="00EF3A80"/>
    <w:rsid w:val="00EF3DEC"/>
    <w:rsid w:val="00EF443A"/>
    <w:rsid w:val="00EF78B2"/>
    <w:rsid w:val="00F01E85"/>
    <w:rsid w:val="00F04BFA"/>
    <w:rsid w:val="00F06057"/>
    <w:rsid w:val="00F0724E"/>
    <w:rsid w:val="00F1081A"/>
    <w:rsid w:val="00F11C62"/>
    <w:rsid w:val="00F11F97"/>
    <w:rsid w:val="00F126E7"/>
    <w:rsid w:val="00F12B32"/>
    <w:rsid w:val="00F130BA"/>
    <w:rsid w:val="00F14796"/>
    <w:rsid w:val="00F14A28"/>
    <w:rsid w:val="00F15004"/>
    <w:rsid w:val="00F167C7"/>
    <w:rsid w:val="00F2074A"/>
    <w:rsid w:val="00F261D6"/>
    <w:rsid w:val="00F2652C"/>
    <w:rsid w:val="00F26F52"/>
    <w:rsid w:val="00F27C93"/>
    <w:rsid w:val="00F3063F"/>
    <w:rsid w:val="00F30DD0"/>
    <w:rsid w:val="00F31C67"/>
    <w:rsid w:val="00F32064"/>
    <w:rsid w:val="00F321C3"/>
    <w:rsid w:val="00F33634"/>
    <w:rsid w:val="00F3391E"/>
    <w:rsid w:val="00F33BA3"/>
    <w:rsid w:val="00F33FAD"/>
    <w:rsid w:val="00F3436F"/>
    <w:rsid w:val="00F34BEA"/>
    <w:rsid w:val="00F35A44"/>
    <w:rsid w:val="00F35D67"/>
    <w:rsid w:val="00F3605A"/>
    <w:rsid w:val="00F36F17"/>
    <w:rsid w:val="00F3793E"/>
    <w:rsid w:val="00F37C90"/>
    <w:rsid w:val="00F40189"/>
    <w:rsid w:val="00F41020"/>
    <w:rsid w:val="00F423BE"/>
    <w:rsid w:val="00F42E4D"/>
    <w:rsid w:val="00F43DC5"/>
    <w:rsid w:val="00F43E7D"/>
    <w:rsid w:val="00F44CAE"/>
    <w:rsid w:val="00F44DB2"/>
    <w:rsid w:val="00F45F26"/>
    <w:rsid w:val="00F466DF"/>
    <w:rsid w:val="00F46BAC"/>
    <w:rsid w:val="00F47CCE"/>
    <w:rsid w:val="00F50278"/>
    <w:rsid w:val="00F50353"/>
    <w:rsid w:val="00F50E9A"/>
    <w:rsid w:val="00F51041"/>
    <w:rsid w:val="00F522A8"/>
    <w:rsid w:val="00F5322E"/>
    <w:rsid w:val="00F5362B"/>
    <w:rsid w:val="00F53F33"/>
    <w:rsid w:val="00F548B0"/>
    <w:rsid w:val="00F54CDA"/>
    <w:rsid w:val="00F600A7"/>
    <w:rsid w:val="00F605B3"/>
    <w:rsid w:val="00F60B5F"/>
    <w:rsid w:val="00F61100"/>
    <w:rsid w:val="00F63957"/>
    <w:rsid w:val="00F63AC9"/>
    <w:rsid w:val="00F647C5"/>
    <w:rsid w:val="00F65EAE"/>
    <w:rsid w:val="00F70D12"/>
    <w:rsid w:val="00F72061"/>
    <w:rsid w:val="00F72127"/>
    <w:rsid w:val="00F75B31"/>
    <w:rsid w:val="00F7729F"/>
    <w:rsid w:val="00F77329"/>
    <w:rsid w:val="00F7737C"/>
    <w:rsid w:val="00F80361"/>
    <w:rsid w:val="00F81C0A"/>
    <w:rsid w:val="00F83468"/>
    <w:rsid w:val="00F8374D"/>
    <w:rsid w:val="00F847A1"/>
    <w:rsid w:val="00F871BC"/>
    <w:rsid w:val="00F90583"/>
    <w:rsid w:val="00F906C1"/>
    <w:rsid w:val="00F906C4"/>
    <w:rsid w:val="00F92018"/>
    <w:rsid w:val="00F929B7"/>
    <w:rsid w:val="00F938D3"/>
    <w:rsid w:val="00F95328"/>
    <w:rsid w:val="00F958E4"/>
    <w:rsid w:val="00F95FC8"/>
    <w:rsid w:val="00F9781B"/>
    <w:rsid w:val="00FA0A38"/>
    <w:rsid w:val="00FA4029"/>
    <w:rsid w:val="00FA45EE"/>
    <w:rsid w:val="00FA4F12"/>
    <w:rsid w:val="00FA634F"/>
    <w:rsid w:val="00FA68AB"/>
    <w:rsid w:val="00FA7613"/>
    <w:rsid w:val="00FB05A8"/>
    <w:rsid w:val="00FB0E55"/>
    <w:rsid w:val="00FB1618"/>
    <w:rsid w:val="00FB16F6"/>
    <w:rsid w:val="00FB2053"/>
    <w:rsid w:val="00FB260A"/>
    <w:rsid w:val="00FB2C97"/>
    <w:rsid w:val="00FB3E6A"/>
    <w:rsid w:val="00FB4E22"/>
    <w:rsid w:val="00FB5EC1"/>
    <w:rsid w:val="00FB751C"/>
    <w:rsid w:val="00FC027E"/>
    <w:rsid w:val="00FC0923"/>
    <w:rsid w:val="00FC11C6"/>
    <w:rsid w:val="00FC1F61"/>
    <w:rsid w:val="00FC20FD"/>
    <w:rsid w:val="00FC3652"/>
    <w:rsid w:val="00FC4704"/>
    <w:rsid w:val="00FC4757"/>
    <w:rsid w:val="00FC5B8A"/>
    <w:rsid w:val="00FC6816"/>
    <w:rsid w:val="00FC7BAE"/>
    <w:rsid w:val="00FD0679"/>
    <w:rsid w:val="00FD0CA9"/>
    <w:rsid w:val="00FD26FE"/>
    <w:rsid w:val="00FD2C75"/>
    <w:rsid w:val="00FD3B19"/>
    <w:rsid w:val="00FD42F4"/>
    <w:rsid w:val="00FD5434"/>
    <w:rsid w:val="00FD638A"/>
    <w:rsid w:val="00FE1018"/>
    <w:rsid w:val="00FE25C3"/>
    <w:rsid w:val="00FE5F32"/>
    <w:rsid w:val="00FF00C7"/>
    <w:rsid w:val="00FF06C4"/>
    <w:rsid w:val="00FF176B"/>
    <w:rsid w:val="00FF2C3D"/>
    <w:rsid w:val="00FF3F15"/>
    <w:rsid w:val="00FF45F6"/>
    <w:rsid w:val="00FF4C4E"/>
    <w:rsid w:val="00FF51B7"/>
    <w:rsid w:val="00FF5B94"/>
    <w:rsid w:val="00FF5F59"/>
    <w:rsid w:val="00FF60E8"/>
    <w:rsid w:val="00FF62CC"/>
    <w:rsid w:val="00FF6461"/>
    <w:rsid w:val="00FF7F81"/>
    <w:rsid w:val="00FF7FD2"/>
    <w:rsid w:val="01260E98"/>
    <w:rsid w:val="016645CC"/>
    <w:rsid w:val="016C2D4F"/>
    <w:rsid w:val="01D81AF4"/>
    <w:rsid w:val="02217FDE"/>
    <w:rsid w:val="023E4917"/>
    <w:rsid w:val="0241242E"/>
    <w:rsid w:val="025C30E2"/>
    <w:rsid w:val="026B74AB"/>
    <w:rsid w:val="02897931"/>
    <w:rsid w:val="029F0F02"/>
    <w:rsid w:val="02E35069"/>
    <w:rsid w:val="02E90A19"/>
    <w:rsid w:val="02FA2695"/>
    <w:rsid w:val="031B7C43"/>
    <w:rsid w:val="03451AAA"/>
    <w:rsid w:val="03A50EE2"/>
    <w:rsid w:val="03CA6453"/>
    <w:rsid w:val="03D2472D"/>
    <w:rsid w:val="03E31959"/>
    <w:rsid w:val="03FF235A"/>
    <w:rsid w:val="041D6583"/>
    <w:rsid w:val="043D741E"/>
    <w:rsid w:val="0440035F"/>
    <w:rsid w:val="045D6A08"/>
    <w:rsid w:val="047734EF"/>
    <w:rsid w:val="049A4077"/>
    <w:rsid w:val="04AC12A9"/>
    <w:rsid w:val="04D255BF"/>
    <w:rsid w:val="050242AD"/>
    <w:rsid w:val="05160A69"/>
    <w:rsid w:val="05324944"/>
    <w:rsid w:val="05467D5B"/>
    <w:rsid w:val="057228FE"/>
    <w:rsid w:val="05B2719F"/>
    <w:rsid w:val="05C375FE"/>
    <w:rsid w:val="06023C82"/>
    <w:rsid w:val="061E4834"/>
    <w:rsid w:val="06350552"/>
    <w:rsid w:val="067C4D9F"/>
    <w:rsid w:val="067F52D3"/>
    <w:rsid w:val="069B740A"/>
    <w:rsid w:val="06B156A8"/>
    <w:rsid w:val="07126147"/>
    <w:rsid w:val="07177643"/>
    <w:rsid w:val="072C7501"/>
    <w:rsid w:val="075A7AEE"/>
    <w:rsid w:val="077438E7"/>
    <w:rsid w:val="07DC6755"/>
    <w:rsid w:val="084F5179"/>
    <w:rsid w:val="08587DBF"/>
    <w:rsid w:val="08D061C5"/>
    <w:rsid w:val="08D37B58"/>
    <w:rsid w:val="08E73603"/>
    <w:rsid w:val="090B351C"/>
    <w:rsid w:val="09263E2D"/>
    <w:rsid w:val="092E4D8E"/>
    <w:rsid w:val="095347F5"/>
    <w:rsid w:val="09B63701"/>
    <w:rsid w:val="09BE30C1"/>
    <w:rsid w:val="09DC6FED"/>
    <w:rsid w:val="0B0B16BC"/>
    <w:rsid w:val="0B3C188E"/>
    <w:rsid w:val="0B444D3D"/>
    <w:rsid w:val="0B662F05"/>
    <w:rsid w:val="0BB1312B"/>
    <w:rsid w:val="0BBC2B25"/>
    <w:rsid w:val="0BCB4B16"/>
    <w:rsid w:val="0BCF2858"/>
    <w:rsid w:val="0C741652"/>
    <w:rsid w:val="0C970E9C"/>
    <w:rsid w:val="0C9A388A"/>
    <w:rsid w:val="0CAC7F34"/>
    <w:rsid w:val="0CE560AB"/>
    <w:rsid w:val="0D020A0B"/>
    <w:rsid w:val="0D0B7C97"/>
    <w:rsid w:val="0D450E61"/>
    <w:rsid w:val="0D4A5F0F"/>
    <w:rsid w:val="0D765DC2"/>
    <w:rsid w:val="0D9C676A"/>
    <w:rsid w:val="0D9D24E2"/>
    <w:rsid w:val="0DC161D1"/>
    <w:rsid w:val="0DE36DCE"/>
    <w:rsid w:val="0DE6032D"/>
    <w:rsid w:val="0DED346A"/>
    <w:rsid w:val="0DFF319D"/>
    <w:rsid w:val="0E616A25"/>
    <w:rsid w:val="0E835B7C"/>
    <w:rsid w:val="0E9658AF"/>
    <w:rsid w:val="0F376EAB"/>
    <w:rsid w:val="0F4258B2"/>
    <w:rsid w:val="0F4E7F38"/>
    <w:rsid w:val="0F672DA8"/>
    <w:rsid w:val="0F68332B"/>
    <w:rsid w:val="0FC65D20"/>
    <w:rsid w:val="10090F42"/>
    <w:rsid w:val="102D2243"/>
    <w:rsid w:val="10534F50"/>
    <w:rsid w:val="10654DD5"/>
    <w:rsid w:val="108C64EF"/>
    <w:rsid w:val="10BB49DC"/>
    <w:rsid w:val="10F949C9"/>
    <w:rsid w:val="11496C09"/>
    <w:rsid w:val="11673533"/>
    <w:rsid w:val="11CE5105"/>
    <w:rsid w:val="11F875C4"/>
    <w:rsid w:val="11FD77C2"/>
    <w:rsid w:val="121508D8"/>
    <w:rsid w:val="121E7D9B"/>
    <w:rsid w:val="122300CA"/>
    <w:rsid w:val="123163E3"/>
    <w:rsid w:val="12887C05"/>
    <w:rsid w:val="128F5FC0"/>
    <w:rsid w:val="12977E48"/>
    <w:rsid w:val="131F55C7"/>
    <w:rsid w:val="133C6A1A"/>
    <w:rsid w:val="134E49AB"/>
    <w:rsid w:val="136715C8"/>
    <w:rsid w:val="137C3678"/>
    <w:rsid w:val="137D5290"/>
    <w:rsid w:val="13E86DB5"/>
    <w:rsid w:val="141D437D"/>
    <w:rsid w:val="14223741"/>
    <w:rsid w:val="1441006B"/>
    <w:rsid w:val="14636234"/>
    <w:rsid w:val="148A7C64"/>
    <w:rsid w:val="148F7029"/>
    <w:rsid w:val="14C67AFB"/>
    <w:rsid w:val="154D52E9"/>
    <w:rsid w:val="156404B5"/>
    <w:rsid w:val="157E0A1F"/>
    <w:rsid w:val="164E5475"/>
    <w:rsid w:val="167308AC"/>
    <w:rsid w:val="169A5605"/>
    <w:rsid w:val="16B34552"/>
    <w:rsid w:val="16C46D32"/>
    <w:rsid w:val="16DE7DF3"/>
    <w:rsid w:val="16E41182"/>
    <w:rsid w:val="17330DB1"/>
    <w:rsid w:val="175F45F2"/>
    <w:rsid w:val="17AA5F28"/>
    <w:rsid w:val="17EB2DCD"/>
    <w:rsid w:val="17F17FFA"/>
    <w:rsid w:val="18481DFF"/>
    <w:rsid w:val="18551B19"/>
    <w:rsid w:val="18736C61"/>
    <w:rsid w:val="18745595"/>
    <w:rsid w:val="188B3FAB"/>
    <w:rsid w:val="18A03852"/>
    <w:rsid w:val="18C33745"/>
    <w:rsid w:val="195018F9"/>
    <w:rsid w:val="196B7938"/>
    <w:rsid w:val="19742C91"/>
    <w:rsid w:val="19C332D1"/>
    <w:rsid w:val="19D63004"/>
    <w:rsid w:val="19DB7A29"/>
    <w:rsid w:val="19E2528E"/>
    <w:rsid w:val="19FF1F98"/>
    <w:rsid w:val="1A100136"/>
    <w:rsid w:val="1A2024D1"/>
    <w:rsid w:val="1A3B730B"/>
    <w:rsid w:val="1A5E3E22"/>
    <w:rsid w:val="1A6D78D8"/>
    <w:rsid w:val="1AA82DF1"/>
    <w:rsid w:val="1AE94FB9"/>
    <w:rsid w:val="1B1A7868"/>
    <w:rsid w:val="1B2F4438"/>
    <w:rsid w:val="1BA50EE0"/>
    <w:rsid w:val="1BB16193"/>
    <w:rsid w:val="1BB95800"/>
    <w:rsid w:val="1BD92F23"/>
    <w:rsid w:val="1BE07C49"/>
    <w:rsid w:val="1C033F3A"/>
    <w:rsid w:val="1CD74CF8"/>
    <w:rsid w:val="1D28626C"/>
    <w:rsid w:val="1D33076D"/>
    <w:rsid w:val="1D400F14"/>
    <w:rsid w:val="1D557AE9"/>
    <w:rsid w:val="1DE71C83"/>
    <w:rsid w:val="1DFB5EDE"/>
    <w:rsid w:val="1E1467F1"/>
    <w:rsid w:val="1E2F6166"/>
    <w:rsid w:val="1E850F93"/>
    <w:rsid w:val="1EB83620"/>
    <w:rsid w:val="1ECB4CCF"/>
    <w:rsid w:val="1F6B41EE"/>
    <w:rsid w:val="1F6C3EBE"/>
    <w:rsid w:val="1F7E03C6"/>
    <w:rsid w:val="1FD44489"/>
    <w:rsid w:val="1FFE79E6"/>
    <w:rsid w:val="20285761"/>
    <w:rsid w:val="20491D4B"/>
    <w:rsid w:val="20801F1B"/>
    <w:rsid w:val="20972A85"/>
    <w:rsid w:val="20B90ECD"/>
    <w:rsid w:val="20EE50D7"/>
    <w:rsid w:val="217C37D5"/>
    <w:rsid w:val="21B97996"/>
    <w:rsid w:val="21BB6802"/>
    <w:rsid w:val="21D17E6F"/>
    <w:rsid w:val="21DD6EFA"/>
    <w:rsid w:val="220F6D57"/>
    <w:rsid w:val="22192627"/>
    <w:rsid w:val="22910410"/>
    <w:rsid w:val="22A82894"/>
    <w:rsid w:val="22FD3CF7"/>
    <w:rsid w:val="22FD7853"/>
    <w:rsid w:val="23061008"/>
    <w:rsid w:val="234125D4"/>
    <w:rsid w:val="234B4A63"/>
    <w:rsid w:val="23765481"/>
    <w:rsid w:val="239874A9"/>
    <w:rsid w:val="239F6B5C"/>
    <w:rsid w:val="23A3664D"/>
    <w:rsid w:val="23EF1510"/>
    <w:rsid w:val="245C4A4D"/>
    <w:rsid w:val="24A501A2"/>
    <w:rsid w:val="24A94D22"/>
    <w:rsid w:val="24D9609E"/>
    <w:rsid w:val="24E52C95"/>
    <w:rsid w:val="24E567F1"/>
    <w:rsid w:val="24F5089A"/>
    <w:rsid w:val="2503311B"/>
    <w:rsid w:val="25105A94"/>
    <w:rsid w:val="251B0465"/>
    <w:rsid w:val="25496D80"/>
    <w:rsid w:val="25755DC7"/>
    <w:rsid w:val="25E44CFA"/>
    <w:rsid w:val="26211AAB"/>
    <w:rsid w:val="266D2DC9"/>
    <w:rsid w:val="269C55D5"/>
    <w:rsid w:val="26AC3A6A"/>
    <w:rsid w:val="26D566DD"/>
    <w:rsid w:val="27392E24"/>
    <w:rsid w:val="27466BE7"/>
    <w:rsid w:val="274C0DA9"/>
    <w:rsid w:val="275B723E"/>
    <w:rsid w:val="275D09DC"/>
    <w:rsid w:val="27970774"/>
    <w:rsid w:val="27B2672B"/>
    <w:rsid w:val="27C63B21"/>
    <w:rsid w:val="27E50A60"/>
    <w:rsid w:val="27F60D15"/>
    <w:rsid w:val="281F64BE"/>
    <w:rsid w:val="28665E9B"/>
    <w:rsid w:val="288D39BF"/>
    <w:rsid w:val="28902E1F"/>
    <w:rsid w:val="291D29FD"/>
    <w:rsid w:val="29712D49"/>
    <w:rsid w:val="29754338"/>
    <w:rsid w:val="29A62C82"/>
    <w:rsid w:val="29A8408B"/>
    <w:rsid w:val="2A307D13"/>
    <w:rsid w:val="2A3F0751"/>
    <w:rsid w:val="2A79144D"/>
    <w:rsid w:val="2A866380"/>
    <w:rsid w:val="2ACC5DB9"/>
    <w:rsid w:val="2B5B6A8B"/>
    <w:rsid w:val="2B6E2F5E"/>
    <w:rsid w:val="2BEF7F55"/>
    <w:rsid w:val="2C2B2413"/>
    <w:rsid w:val="2C6B6503"/>
    <w:rsid w:val="2C90798A"/>
    <w:rsid w:val="2CDA6E57"/>
    <w:rsid w:val="2CE10D2D"/>
    <w:rsid w:val="2D002B75"/>
    <w:rsid w:val="2D0068BE"/>
    <w:rsid w:val="2D2233D4"/>
    <w:rsid w:val="2D287BC3"/>
    <w:rsid w:val="2D4542D1"/>
    <w:rsid w:val="2D541FE4"/>
    <w:rsid w:val="2D6D7CCB"/>
    <w:rsid w:val="2D880661"/>
    <w:rsid w:val="2D914083"/>
    <w:rsid w:val="2DB0326E"/>
    <w:rsid w:val="2DD438A6"/>
    <w:rsid w:val="2E5C7C15"/>
    <w:rsid w:val="2E7B1F74"/>
    <w:rsid w:val="2E9A4AF0"/>
    <w:rsid w:val="2EAE40F8"/>
    <w:rsid w:val="2EC851B9"/>
    <w:rsid w:val="2ED74F49"/>
    <w:rsid w:val="2F0B779C"/>
    <w:rsid w:val="2F1A178D"/>
    <w:rsid w:val="2F302D5E"/>
    <w:rsid w:val="2F3960B7"/>
    <w:rsid w:val="2F4C28B1"/>
    <w:rsid w:val="2F8A7334"/>
    <w:rsid w:val="2F8D694B"/>
    <w:rsid w:val="2F9645A2"/>
    <w:rsid w:val="2FC33BD3"/>
    <w:rsid w:val="30093CDB"/>
    <w:rsid w:val="300D2D58"/>
    <w:rsid w:val="3049232A"/>
    <w:rsid w:val="305111DE"/>
    <w:rsid w:val="30913CD1"/>
    <w:rsid w:val="31224929"/>
    <w:rsid w:val="315F16D9"/>
    <w:rsid w:val="319475D5"/>
    <w:rsid w:val="319C5D86"/>
    <w:rsid w:val="31AF3F03"/>
    <w:rsid w:val="31C5592A"/>
    <w:rsid w:val="31D245A1"/>
    <w:rsid w:val="31F369F1"/>
    <w:rsid w:val="32285192"/>
    <w:rsid w:val="32A83BE9"/>
    <w:rsid w:val="32AC17C5"/>
    <w:rsid w:val="33501C21"/>
    <w:rsid w:val="33576B0C"/>
    <w:rsid w:val="33937169"/>
    <w:rsid w:val="33B3571B"/>
    <w:rsid w:val="33E902D9"/>
    <w:rsid w:val="34126ED7"/>
    <w:rsid w:val="342015F4"/>
    <w:rsid w:val="34243109"/>
    <w:rsid w:val="346E39A3"/>
    <w:rsid w:val="34CF0271"/>
    <w:rsid w:val="34EC597A"/>
    <w:rsid w:val="3512281F"/>
    <w:rsid w:val="3538296D"/>
    <w:rsid w:val="354B08F2"/>
    <w:rsid w:val="3569521C"/>
    <w:rsid w:val="358D6F3C"/>
    <w:rsid w:val="35C366DA"/>
    <w:rsid w:val="35F05BDE"/>
    <w:rsid w:val="36031DE7"/>
    <w:rsid w:val="360C3B38"/>
    <w:rsid w:val="363C0481"/>
    <w:rsid w:val="366859E7"/>
    <w:rsid w:val="36890E8C"/>
    <w:rsid w:val="368F0CB2"/>
    <w:rsid w:val="36B3674F"/>
    <w:rsid w:val="37086105"/>
    <w:rsid w:val="375A6BCB"/>
    <w:rsid w:val="37996756"/>
    <w:rsid w:val="37A70CCC"/>
    <w:rsid w:val="37CF154C"/>
    <w:rsid w:val="37F4686F"/>
    <w:rsid w:val="37F52D97"/>
    <w:rsid w:val="380F5C07"/>
    <w:rsid w:val="38131F8D"/>
    <w:rsid w:val="385C5D8D"/>
    <w:rsid w:val="38961E84"/>
    <w:rsid w:val="38B45E97"/>
    <w:rsid w:val="39644C69"/>
    <w:rsid w:val="396771A5"/>
    <w:rsid w:val="39B66FC1"/>
    <w:rsid w:val="39C91764"/>
    <w:rsid w:val="39D92970"/>
    <w:rsid w:val="3A1E0383"/>
    <w:rsid w:val="3A1E2E22"/>
    <w:rsid w:val="3A305611"/>
    <w:rsid w:val="3ACC4283"/>
    <w:rsid w:val="3AEE244B"/>
    <w:rsid w:val="3B0C4680"/>
    <w:rsid w:val="3B422CC3"/>
    <w:rsid w:val="3B456D61"/>
    <w:rsid w:val="3B4E0C94"/>
    <w:rsid w:val="3B883ED9"/>
    <w:rsid w:val="3BF84C04"/>
    <w:rsid w:val="3BF85CB6"/>
    <w:rsid w:val="3C1001A0"/>
    <w:rsid w:val="3C215F09"/>
    <w:rsid w:val="3C61318A"/>
    <w:rsid w:val="3C6F3118"/>
    <w:rsid w:val="3C8A7F52"/>
    <w:rsid w:val="3CA50ACD"/>
    <w:rsid w:val="3CB90837"/>
    <w:rsid w:val="3CD216D4"/>
    <w:rsid w:val="3CDC4526"/>
    <w:rsid w:val="3D2A703F"/>
    <w:rsid w:val="3D7F1816"/>
    <w:rsid w:val="3DF00289"/>
    <w:rsid w:val="3DF758E6"/>
    <w:rsid w:val="3E135D25"/>
    <w:rsid w:val="3EDE4585"/>
    <w:rsid w:val="3F0A537A"/>
    <w:rsid w:val="3F1955BD"/>
    <w:rsid w:val="3F316A74"/>
    <w:rsid w:val="3F62124E"/>
    <w:rsid w:val="3FB157F6"/>
    <w:rsid w:val="40330901"/>
    <w:rsid w:val="40B732E0"/>
    <w:rsid w:val="40BA4B7E"/>
    <w:rsid w:val="40C63523"/>
    <w:rsid w:val="41086BB5"/>
    <w:rsid w:val="41272213"/>
    <w:rsid w:val="41EE2D31"/>
    <w:rsid w:val="42096F4A"/>
    <w:rsid w:val="42133C34"/>
    <w:rsid w:val="429E112B"/>
    <w:rsid w:val="42B960EA"/>
    <w:rsid w:val="42BA5395"/>
    <w:rsid w:val="42E810F4"/>
    <w:rsid w:val="42ED2FE9"/>
    <w:rsid w:val="439121B5"/>
    <w:rsid w:val="43C53F65"/>
    <w:rsid w:val="43CF6B92"/>
    <w:rsid w:val="43F87E97"/>
    <w:rsid w:val="44021776"/>
    <w:rsid w:val="44027E20"/>
    <w:rsid w:val="44627A06"/>
    <w:rsid w:val="44870630"/>
    <w:rsid w:val="448E7BAF"/>
    <w:rsid w:val="449924D3"/>
    <w:rsid w:val="450665E4"/>
    <w:rsid w:val="457E617A"/>
    <w:rsid w:val="45A427E4"/>
    <w:rsid w:val="46441D9E"/>
    <w:rsid w:val="4695585D"/>
    <w:rsid w:val="46B81B60"/>
    <w:rsid w:val="473F7B8B"/>
    <w:rsid w:val="47631ACB"/>
    <w:rsid w:val="478B6B0E"/>
    <w:rsid w:val="47B440D5"/>
    <w:rsid w:val="47BA5463"/>
    <w:rsid w:val="47F41D83"/>
    <w:rsid w:val="489B34E7"/>
    <w:rsid w:val="489E7DD6"/>
    <w:rsid w:val="48B8194D"/>
    <w:rsid w:val="48E24C72"/>
    <w:rsid w:val="494D5435"/>
    <w:rsid w:val="49C36851"/>
    <w:rsid w:val="49FC7FB5"/>
    <w:rsid w:val="4A0A4518"/>
    <w:rsid w:val="4A65539B"/>
    <w:rsid w:val="4ABF170F"/>
    <w:rsid w:val="4B0215FB"/>
    <w:rsid w:val="4B233262"/>
    <w:rsid w:val="4B46598C"/>
    <w:rsid w:val="4B5A31E5"/>
    <w:rsid w:val="4B6A37B8"/>
    <w:rsid w:val="4B921705"/>
    <w:rsid w:val="4BAB57EF"/>
    <w:rsid w:val="4BCD1C09"/>
    <w:rsid w:val="4C177328"/>
    <w:rsid w:val="4C235CCD"/>
    <w:rsid w:val="4C4C5224"/>
    <w:rsid w:val="4C6F2CC0"/>
    <w:rsid w:val="4CCB47A4"/>
    <w:rsid w:val="4D69111B"/>
    <w:rsid w:val="4D7E765F"/>
    <w:rsid w:val="4D7F5185"/>
    <w:rsid w:val="4DDA23BB"/>
    <w:rsid w:val="4DE2647A"/>
    <w:rsid w:val="4E0B6A19"/>
    <w:rsid w:val="4E437F61"/>
    <w:rsid w:val="4E704ACE"/>
    <w:rsid w:val="4E886474"/>
    <w:rsid w:val="4E932D8D"/>
    <w:rsid w:val="4EB64BD7"/>
    <w:rsid w:val="4EB877FB"/>
    <w:rsid w:val="4F8D1DDB"/>
    <w:rsid w:val="4FBE28EB"/>
    <w:rsid w:val="4FE70DC0"/>
    <w:rsid w:val="50357D7D"/>
    <w:rsid w:val="50827466"/>
    <w:rsid w:val="508B3E41"/>
    <w:rsid w:val="50D715FA"/>
    <w:rsid w:val="50F814D6"/>
    <w:rsid w:val="51583D23"/>
    <w:rsid w:val="518E1E3B"/>
    <w:rsid w:val="519F4057"/>
    <w:rsid w:val="51A21442"/>
    <w:rsid w:val="51BA752F"/>
    <w:rsid w:val="51F83758"/>
    <w:rsid w:val="52097713"/>
    <w:rsid w:val="52955DB2"/>
    <w:rsid w:val="52A66D10"/>
    <w:rsid w:val="52B61851"/>
    <w:rsid w:val="5314011E"/>
    <w:rsid w:val="531E2D4A"/>
    <w:rsid w:val="534529CD"/>
    <w:rsid w:val="53AC65A8"/>
    <w:rsid w:val="53BA0CC5"/>
    <w:rsid w:val="53E80510"/>
    <w:rsid w:val="54216F96"/>
    <w:rsid w:val="54297BF9"/>
    <w:rsid w:val="5459595F"/>
    <w:rsid w:val="548B440F"/>
    <w:rsid w:val="54B25E40"/>
    <w:rsid w:val="558C61FC"/>
    <w:rsid w:val="55AF2380"/>
    <w:rsid w:val="55BB0D24"/>
    <w:rsid w:val="55E47297"/>
    <w:rsid w:val="56002FFA"/>
    <w:rsid w:val="56192636"/>
    <w:rsid w:val="562C39D0"/>
    <w:rsid w:val="567A0BDF"/>
    <w:rsid w:val="569577C7"/>
    <w:rsid w:val="56B0015D"/>
    <w:rsid w:val="56BA0FDC"/>
    <w:rsid w:val="56FA60FC"/>
    <w:rsid w:val="572D682E"/>
    <w:rsid w:val="57361164"/>
    <w:rsid w:val="5775592E"/>
    <w:rsid w:val="577D5787"/>
    <w:rsid w:val="579C65B7"/>
    <w:rsid w:val="57B91294"/>
    <w:rsid w:val="57D540ED"/>
    <w:rsid w:val="580F7106"/>
    <w:rsid w:val="581F1A3E"/>
    <w:rsid w:val="582A3F3F"/>
    <w:rsid w:val="58415EB1"/>
    <w:rsid w:val="585A65D3"/>
    <w:rsid w:val="58887052"/>
    <w:rsid w:val="589F6213"/>
    <w:rsid w:val="58C3061C"/>
    <w:rsid w:val="590960E7"/>
    <w:rsid w:val="592310BA"/>
    <w:rsid w:val="59636391"/>
    <w:rsid w:val="59695258"/>
    <w:rsid w:val="597731B4"/>
    <w:rsid w:val="59B85CA7"/>
    <w:rsid w:val="59D613A2"/>
    <w:rsid w:val="59D6588A"/>
    <w:rsid w:val="5A3C190B"/>
    <w:rsid w:val="5A964B15"/>
    <w:rsid w:val="5AA94098"/>
    <w:rsid w:val="5AB10EDB"/>
    <w:rsid w:val="5AB741B0"/>
    <w:rsid w:val="5ABD109B"/>
    <w:rsid w:val="5AD4246B"/>
    <w:rsid w:val="5AFC1BC3"/>
    <w:rsid w:val="5B117F79"/>
    <w:rsid w:val="5BD70E93"/>
    <w:rsid w:val="5C5B3495"/>
    <w:rsid w:val="5C65375B"/>
    <w:rsid w:val="5C7C7666"/>
    <w:rsid w:val="5CB360BA"/>
    <w:rsid w:val="5CB97847"/>
    <w:rsid w:val="5CC729B8"/>
    <w:rsid w:val="5CD07486"/>
    <w:rsid w:val="5D013822"/>
    <w:rsid w:val="5D1768A1"/>
    <w:rsid w:val="5D1A6B11"/>
    <w:rsid w:val="5D380796"/>
    <w:rsid w:val="5D706898"/>
    <w:rsid w:val="5D9B1B67"/>
    <w:rsid w:val="5DA17D6A"/>
    <w:rsid w:val="5DE80B25"/>
    <w:rsid w:val="5DED1ED3"/>
    <w:rsid w:val="5E04251E"/>
    <w:rsid w:val="5E47584B"/>
    <w:rsid w:val="5E532442"/>
    <w:rsid w:val="5E876F47"/>
    <w:rsid w:val="5EAC1B52"/>
    <w:rsid w:val="5EB06204"/>
    <w:rsid w:val="5ED370DF"/>
    <w:rsid w:val="5EE73AC5"/>
    <w:rsid w:val="5F1350FD"/>
    <w:rsid w:val="5F48187B"/>
    <w:rsid w:val="5F7A39FE"/>
    <w:rsid w:val="5FA665A1"/>
    <w:rsid w:val="5FB21204"/>
    <w:rsid w:val="60400FED"/>
    <w:rsid w:val="60636240"/>
    <w:rsid w:val="60917251"/>
    <w:rsid w:val="60B62814"/>
    <w:rsid w:val="60D005DF"/>
    <w:rsid w:val="60DA0809"/>
    <w:rsid w:val="60FD0443"/>
    <w:rsid w:val="613A51CB"/>
    <w:rsid w:val="614B5B35"/>
    <w:rsid w:val="61582A86"/>
    <w:rsid w:val="615F4C5A"/>
    <w:rsid w:val="6162474A"/>
    <w:rsid w:val="617A1D58"/>
    <w:rsid w:val="61A97B9F"/>
    <w:rsid w:val="61DB667B"/>
    <w:rsid w:val="61ED495B"/>
    <w:rsid w:val="61EE1EDD"/>
    <w:rsid w:val="6200468F"/>
    <w:rsid w:val="62102B54"/>
    <w:rsid w:val="626A0161"/>
    <w:rsid w:val="627E3805"/>
    <w:rsid w:val="62C27B96"/>
    <w:rsid w:val="62C3746A"/>
    <w:rsid w:val="62C76F5B"/>
    <w:rsid w:val="62D6745D"/>
    <w:rsid w:val="630006BE"/>
    <w:rsid w:val="63205712"/>
    <w:rsid w:val="63500CFE"/>
    <w:rsid w:val="63714350"/>
    <w:rsid w:val="63A20AFB"/>
    <w:rsid w:val="63A81026"/>
    <w:rsid w:val="63D3192F"/>
    <w:rsid w:val="63D86F45"/>
    <w:rsid w:val="646C600B"/>
    <w:rsid w:val="648D5371"/>
    <w:rsid w:val="64A31301"/>
    <w:rsid w:val="64B81F86"/>
    <w:rsid w:val="64C03088"/>
    <w:rsid w:val="655B5898"/>
    <w:rsid w:val="65907AD8"/>
    <w:rsid w:val="65A91844"/>
    <w:rsid w:val="663F2278"/>
    <w:rsid w:val="66420305"/>
    <w:rsid w:val="666351EC"/>
    <w:rsid w:val="66647EA1"/>
    <w:rsid w:val="66AE3090"/>
    <w:rsid w:val="66BE68C6"/>
    <w:rsid w:val="66CB6FCF"/>
    <w:rsid w:val="66DC300A"/>
    <w:rsid w:val="673D5A3D"/>
    <w:rsid w:val="67537983"/>
    <w:rsid w:val="676E5BF7"/>
    <w:rsid w:val="67A07101"/>
    <w:rsid w:val="67E45EB9"/>
    <w:rsid w:val="67F27B00"/>
    <w:rsid w:val="68040309"/>
    <w:rsid w:val="68273FF7"/>
    <w:rsid w:val="687A05CB"/>
    <w:rsid w:val="68993147"/>
    <w:rsid w:val="68DC1286"/>
    <w:rsid w:val="695619A4"/>
    <w:rsid w:val="69872FA0"/>
    <w:rsid w:val="699D4495"/>
    <w:rsid w:val="69C20C02"/>
    <w:rsid w:val="69C75E1E"/>
    <w:rsid w:val="69E93C5A"/>
    <w:rsid w:val="6A1707C7"/>
    <w:rsid w:val="6ACA617A"/>
    <w:rsid w:val="6B146AB5"/>
    <w:rsid w:val="6B3B2900"/>
    <w:rsid w:val="6B655563"/>
    <w:rsid w:val="6B712159"/>
    <w:rsid w:val="6BAA621F"/>
    <w:rsid w:val="6BF70021"/>
    <w:rsid w:val="6BFD66AD"/>
    <w:rsid w:val="6C030D6D"/>
    <w:rsid w:val="6C206425"/>
    <w:rsid w:val="6C3A240C"/>
    <w:rsid w:val="6C68355C"/>
    <w:rsid w:val="6C8934D3"/>
    <w:rsid w:val="6CA43E69"/>
    <w:rsid w:val="6CB2169D"/>
    <w:rsid w:val="6CE4695B"/>
    <w:rsid w:val="6D5B478D"/>
    <w:rsid w:val="6D687067"/>
    <w:rsid w:val="6DBF2651"/>
    <w:rsid w:val="6E070B53"/>
    <w:rsid w:val="6E1D2124"/>
    <w:rsid w:val="6E290AC9"/>
    <w:rsid w:val="6E583F4A"/>
    <w:rsid w:val="6EB623F7"/>
    <w:rsid w:val="6ED076BE"/>
    <w:rsid w:val="6F2179F2"/>
    <w:rsid w:val="6F7246F2"/>
    <w:rsid w:val="6FF90541"/>
    <w:rsid w:val="700B7D40"/>
    <w:rsid w:val="700E61C9"/>
    <w:rsid w:val="703A6FBE"/>
    <w:rsid w:val="70E46F2A"/>
    <w:rsid w:val="712B2DAA"/>
    <w:rsid w:val="71353C29"/>
    <w:rsid w:val="715570FA"/>
    <w:rsid w:val="716B31A7"/>
    <w:rsid w:val="717464FF"/>
    <w:rsid w:val="71B7463E"/>
    <w:rsid w:val="71C64881"/>
    <w:rsid w:val="71D7083C"/>
    <w:rsid w:val="71F43E08"/>
    <w:rsid w:val="72107262"/>
    <w:rsid w:val="726A4227"/>
    <w:rsid w:val="727367B7"/>
    <w:rsid w:val="7289422C"/>
    <w:rsid w:val="72A050D2"/>
    <w:rsid w:val="72FB6648"/>
    <w:rsid w:val="7317683C"/>
    <w:rsid w:val="733C688E"/>
    <w:rsid w:val="73441F01"/>
    <w:rsid w:val="736A65B5"/>
    <w:rsid w:val="73B343EA"/>
    <w:rsid w:val="73D239B1"/>
    <w:rsid w:val="73E54D48"/>
    <w:rsid w:val="74257273"/>
    <w:rsid w:val="74424F85"/>
    <w:rsid w:val="74A6265E"/>
    <w:rsid w:val="74A715D2"/>
    <w:rsid w:val="74B515F7"/>
    <w:rsid w:val="75627A92"/>
    <w:rsid w:val="758E5275"/>
    <w:rsid w:val="759A6034"/>
    <w:rsid w:val="75A82D16"/>
    <w:rsid w:val="75B64DF5"/>
    <w:rsid w:val="7608271E"/>
    <w:rsid w:val="763E0E8A"/>
    <w:rsid w:val="763E532E"/>
    <w:rsid w:val="764043D1"/>
    <w:rsid w:val="769431A0"/>
    <w:rsid w:val="76A63920"/>
    <w:rsid w:val="76DB2EA4"/>
    <w:rsid w:val="775D3592"/>
    <w:rsid w:val="77DF669D"/>
    <w:rsid w:val="780802FA"/>
    <w:rsid w:val="781E0018"/>
    <w:rsid w:val="783E1615"/>
    <w:rsid w:val="787E7C64"/>
    <w:rsid w:val="78EB3825"/>
    <w:rsid w:val="79065FF9"/>
    <w:rsid w:val="797C462E"/>
    <w:rsid w:val="79B42F8A"/>
    <w:rsid w:val="7A020420"/>
    <w:rsid w:val="7A1563A6"/>
    <w:rsid w:val="7A560E98"/>
    <w:rsid w:val="7A6730A5"/>
    <w:rsid w:val="7A7D6F86"/>
    <w:rsid w:val="7A9B2D4F"/>
    <w:rsid w:val="7B65510B"/>
    <w:rsid w:val="7BAE5967"/>
    <w:rsid w:val="7BC11EBA"/>
    <w:rsid w:val="7C06069C"/>
    <w:rsid w:val="7C2D3823"/>
    <w:rsid w:val="7C374CF9"/>
    <w:rsid w:val="7C3945CD"/>
    <w:rsid w:val="7C623E0B"/>
    <w:rsid w:val="7C694787"/>
    <w:rsid w:val="7CAA0B47"/>
    <w:rsid w:val="7CDD2977"/>
    <w:rsid w:val="7CF33307"/>
    <w:rsid w:val="7D32101D"/>
    <w:rsid w:val="7D4C0330"/>
    <w:rsid w:val="7D5B24AC"/>
    <w:rsid w:val="7DA0067C"/>
    <w:rsid w:val="7DC51E91"/>
    <w:rsid w:val="7DE36C6D"/>
    <w:rsid w:val="7DE42B56"/>
    <w:rsid w:val="7E0150E9"/>
    <w:rsid w:val="7E474539"/>
    <w:rsid w:val="7E6B2A38"/>
    <w:rsid w:val="7E8D29AE"/>
    <w:rsid w:val="7EAB72D9"/>
    <w:rsid w:val="7F494366"/>
    <w:rsid w:val="7F6A37A6"/>
    <w:rsid w:val="7F737DF6"/>
    <w:rsid w:val="7FCB3154"/>
    <w:rsid w:val="7FD40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黑体" w:hAnsi="黑体" w:eastAsiaTheme="minorEastAsia" w:cstheme="minorBidi"/>
      <w:kern w:val="2"/>
      <w:sz w:val="21"/>
      <w:szCs w:val="21"/>
      <w:lang w:val="en-US" w:eastAsia="zh-CN" w:bidi="ar-SA"/>
    </w:rPr>
  </w:style>
  <w:style w:type="paragraph" w:styleId="2">
    <w:name w:val="heading 1"/>
    <w:basedOn w:val="3"/>
    <w:next w:val="1"/>
    <w:link w:val="34"/>
    <w:autoRedefine/>
    <w:qFormat/>
    <w:uiPriority w:val="0"/>
    <w:pPr>
      <w:tabs>
        <w:tab w:val="right" w:leader="dot" w:pos="8310"/>
      </w:tabs>
      <w:adjustRightInd w:val="0"/>
      <w:snapToGrid w:val="0"/>
      <w:spacing w:before="156" w:beforeLines="50" w:after="312" w:afterLines="100" w:line="600" w:lineRule="exact"/>
      <w:jc w:val="center"/>
      <w:outlineLvl w:val="0"/>
    </w:pPr>
    <w:rPr>
      <w:rFonts w:ascii="Times New Roman" w:hAnsi="Times New Roman" w:eastAsia="方正黑体简体" w:cs="Times New Roman"/>
      <w:b/>
      <w:caps/>
      <w:color w:val="000000"/>
      <w:kern w:val="0"/>
      <w:sz w:val="28"/>
      <w:szCs w:val="28"/>
      <w:lang w:val="zh-CN"/>
    </w:rPr>
  </w:style>
  <w:style w:type="paragraph" w:styleId="4">
    <w:name w:val="heading 2"/>
    <w:basedOn w:val="1"/>
    <w:next w:val="1"/>
    <w:link w:val="35"/>
    <w:autoRedefine/>
    <w:qFormat/>
    <w:uiPriority w:val="9"/>
    <w:pPr>
      <w:keepNext/>
      <w:spacing w:before="50" w:beforeLines="50" w:after="50" w:afterLines="50" w:line="348" w:lineRule="exact"/>
      <w:jc w:val="center"/>
      <w:outlineLvl w:val="1"/>
    </w:pPr>
    <w:rPr>
      <w:rFonts w:ascii="Times New Roman" w:hAnsi="Times New Roman" w:eastAsia="方正黑体简体" w:cs="Times New Roman"/>
      <w:bCs/>
      <w:color w:val="000000"/>
    </w:rPr>
  </w:style>
  <w:style w:type="paragraph" w:styleId="5">
    <w:name w:val="heading 3"/>
    <w:basedOn w:val="1"/>
    <w:next w:val="1"/>
    <w:link w:val="36"/>
    <w:autoRedefine/>
    <w:qFormat/>
    <w:uiPriority w:val="9"/>
    <w:pPr>
      <w:overflowPunct w:val="0"/>
      <w:spacing w:line="348" w:lineRule="exact"/>
      <w:outlineLvl w:val="2"/>
    </w:pPr>
    <w:rPr>
      <w:rFonts w:ascii="Times New Roman" w:hAnsi="Times New Roman" w:eastAsia="方正书宋简体" w:cs="Times New Roman"/>
      <w:color w:val="000000" w:themeColor="text1"/>
      <w14:textFill>
        <w14:solidFill>
          <w14:schemeClr w14:val="tx1"/>
        </w14:solidFill>
      </w14:textFill>
    </w:rPr>
  </w:style>
  <w:style w:type="paragraph" w:styleId="6">
    <w:name w:val="heading 4"/>
    <w:basedOn w:val="1"/>
    <w:next w:val="1"/>
    <w:link w:val="64"/>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3">
    <w:name w:val="toc 1"/>
    <w:basedOn w:val="1"/>
    <w:next w:val="1"/>
    <w:autoRedefine/>
    <w:unhideWhenUsed/>
    <w:qFormat/>
    <w:uiPriority w:val="39"/>
    <w:pPr>
      <w:jc w:val="left"/>
    </w:pPr>
    <w:rPr>
      <w:rFonts w:asciiTheme="minorHAnsi" w:hAnsiTheme="minorHAnsi" w:cstheme="minorHAnsi"/>
      <w:bCs/>
      <w:szCs w:val="20"/>
    </w:rPr>
  </w:style>
  <w:style w:type="paragraph" w:styleId="7">
    <w:name w:val="toc 7"/>
    <w:basedOn w:val="1"/>
    <w:next w:val="1"/>
    <w:autoRedefine/>
    <w:unhideWhenUsed/>
    <w:qFormat/>
    <w:uiPriority w:val="39"/>
    <w:pPr>
      <w:ind w:left="1260"/>
      <w:jc w:val="left"/>
    </w:pPr>
    <w:rPr>
      <w:rFonts w:asciiTheme="minorHAnsi" w:hAnsiTheme="minorHAnsi" w:cstheme="minorHAnsi"/>
      <w:sz w:val="20"/>
      <w:szCs w:val="20"/>
    </w:rPr>
  </w:style>
  <w:style w:type="paragraph" w:styleId="8">
    <w:name w:val="Document Map"/>
    <w:basedOn w:val="1"/>
    <w:link w:val="53"/>
    <w:autoRedefine/>
    <w:semiHidden/>
    <w:unhideWhenUsed/>
    <w:qFormat/>
    <w:uiPriority w:val="99"/>
    <w:pPr>
      <w:spacing w:line="240" w:lineRule="auto"/>
    </w:pPr>
    <w:rPr>
      <w:rFonts w:ascii="宋体" w:hAnsi="等线" w:eastAsia="宋体" w:cs="Times New Roman"/>
      <w:sz w:val="18"/>
      <w:szCs w:val="18"/>
    </w:rPr>
  </w:style>
  <w:style w:type="paragraph" w:styleId="9">
    <w:name w:val="annotation text"/>
    <w:basedOn w:val="1"/>
    <w:link w:val="67"/>
    <w:unhideWhenUsed/>
    <w:qFormat/>
    <w:uiPriority w:val="0"/>
    <w:pPr>
      <w:jc w:val="left"/>
    </w:pPr>
  </w:style>
  <w:style w:type="paragraph" w:styleId="10">
    <w:name w:val="Body Text"/>
    <w:basedOn w:val="1"/>
    <w:next w:val="11"/>
    <w:link w:val="47"/>
    <w:autoRedefine/>
    <w:qFormat/>
    <w:uiPriority w:val="0"/>
    <w:pPr>
      <w:overflowPunct w:val="0"/>
      <w:spacing w:before="31" w:line="348" w:lineRule="exact"/>
      <w:ind w:firstLine="422" w:firstLineChars="200"/>
    </w:pPr>
    <w:rPr>
      <w:rFonts w:ascii="Times New Roman" w:hAnsi="Times New Roman" w:eastAsia="方正书宋简体" w:cs="Times New Roman"/>
      <w:bCs/>
    </w:rPr>
  </w:style>
  <w:style w:type="paragraph" w:styleId="11">
    <w:name w:val="Body Text Indent"/>
    <w:basedOn w:val="1"/>
    <w:next w:val="1"/>
    <w:link w:val="48"/>
    <w:autoRedefine/>
    <w:qFormat/>
    <w:uiPriority w:val="0"/>
    <w:pPr>
      <w:spacing w:after="120" w:line="240" w:lineRule="auto"/>
      <w:ind w:left="420" w:leftChars="200"/>
    </w:pPr>
    <w:rPr>
      <w:rFonts w:ascii="Times New Roman" w:hAnsi="Times New Roman" w:eastAsia="宋体" w:cs="Times New Roman"/>
      <w:sz w:val="24"/>
    </w:rPr>
  </w:style>
  <w:style w:type="paragraph" w:styleId="12">
    <w:name w:val="toc 5"/>
    <w:basedOn w:val="1"/>
    <w:next w:val="1"/>
    <w:autoRedefine/>
    <w:unhideWhenUsed/>
    <w:qFormat/>
    <w:uiPriority w:val="39"/>
    <w:pPr>
      <w:ind w:left="840"/>
      <w:jc w:val="left"/>
    </w:pPr>
    <w:rPr>
      <w:rFonts w:asciiTheme="minorHAnsi" w:hAnsiTheme="minorHAnsi" w:cstheme="minorHAnsi"/>
      <w:sz w:val="20"/>
      <w:szCs w:val="20"/>
    </w:rPr>
  </w:style>
  <w:style w:type="paragraph" w:styleId="13">
    <w:name w:val="toc 3"/>
    <w:basedOn w:val="1"/>
    <w:next w:val="1"/>
    <w:autoRedefine/>
    <w:unhideWhenUsed/>
    <w:qFormat/>
    <w:uiPriority w:val="39"/>
    <w:pPr>
      <w:tabs>
        <w:tab w:val="right" w:leader="dot" w:pos="8296"/>
      </w:tabs>
      <w:ind w:left="840"/>
      <w:jc w:val="left"/>
    </w:pPr>
    <w:rPr>
      <w:rFonts w:asciiTheme="minorHAnsi" w:hAnsiTheme="minorHAnsi" w:cstheme="minorHAnsi"/>
      <w:sz w:val="20"/>
      <w:szCs w:val="20"/>
    </w:rPr>
  </w:style>
  <w:style w:type="paragraph" w:styleId="14">
    <w:name w:val="toc 8"/>
    <w:basedOn w:val="1"/>
    <w:next w:val="1"/>
    <w:autoRedefine/>
    <w:unhideWhenUsed/>
    <w:qFormat/>
    <w:uiPriority w:val="39"/>
    <w:pPr>
      <w:ind w:left="1470"/>
      <w:jc w:val="left"/>
    </w:pPr>
    <w:rPr>
      <w:rFonts w:asciiTheme="minorHAnsi" w:hAnsiTheme="minorHAnsi" w:cstheme="minorHAnsi"/>
      <w:sz w:val="20"/>
      <w:szCs w:val="20"/>
    </w:rPr>
  </w:style>
  <w:style w:type="paragraph" w:styleId="15">
    <w:name w:val="Date"/>
    <w:basedOn w:val="1"/>
    <w:next w:val="1"/>
    <w:link w:val="38"/>
    <w:autoRedefine/>
    <w:semiHidden/>
    <w:unhideWhenUsed/>
    <w:qFormat/>
    <w:uiPriority w:val="99"/>
    <w:pPr>
      <w:ind w:left="100" w:leftChars="2500"/>
    </w:pPr>
  </w:style>
  <w:style w:type="paragraph" w:styleId="16">
    <w:name w:val="Balloon Text"/>
    <w:basedOn w:val="1"/>
    <w:link w:val="37"/>
    <w:autoRedefine/>
    <w:semiHidden/>
    <w:unhideWhenUsed/>
    <w:qFormat/>
    <w:uiPriority w:val="99"/>
    <w:pPr>
      <w:spacing w:line="240" w:lineRule="auto"/>
    </w:pPr>
    <w:rPr>
      <w:sz w:val="18"/>
      <w:szCs w:val="18"/>
    </w:rPr>
  </w:style>
  <w:style w:type="paragraph" w:styleId="17">
    <w:name w:val="footer"/>
    <w:basedOn w:val="1"/>
    <w:link w:val="40"/>
    <w:autoRedefine/>
    <w:qFormat/>
    <w:uiPriority w:val="99"/>
    <w:pPr>
      <w:tabs>
        <w:tab w:val="center" w:pos="4153"/>
        <w:tab w:val="right" w:pos="8306"/>
      </w:tabs>
      <w:snapToGrid w:val="0"/>
      <w:spacing w:line="240" w:lineRule="auto"/>
      <w:jc w:val="left"/>
    </w:pPr>
    <w:rPr>
      <w:sz w:val="18"/>
      <w:szCs w:val="18"/>
    </w:rPr>
  </w:style>
  <w:style w:type="paragraph" w:styleId="18">
    <w:name w:val="header"/>
    <w:basedOn w:val="1"/>
    <w:link w:val="39"/>
    <w:autoRedefine/>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4"/>
    <w:basedOn w:val="1"/>
    <w:next w:val="1"/>
    <w:autoRedefine/>
    <w:unhideWhenUsed/>
    <w:qFormat/>
    <w:uiPriority w:val="39"/>
    <w:pPr>
      <w:ind w:left="630"/>
      <w:jc w:val="left"/>
    </w:pPr>
    <w:rPr>
      <w:rFonts w:asciiTheme="minorHAnsi" w:hAnsiTheme="minorHAnsi" w:cstheme="minorHAnsi"/>
      <w:sz w:val="20"/>
      <w:szCs w:val="20"/>
    </w:rPr>
  </w:style>
  <w:style w:type="paragraph" w:styleId="20">
    <w:name w:val="toc 6"/>
    <w:basedOn w:val="1"/>
    <w:next w:val="1"/>
    <w:autoRedefine/>
    <w:unhideWhenUsed/>
    <w:qFormat/>
    <w:uiPriority w:val="39"/>
    <w:pPr>
      <w:ind w:left="1050"/>
      <w:jc w:val="left"/>
    </w:pPr>
    <w:rPr>
      <w:rFonts w:asciiTheme="minorHAnsi" w:hAnsiTheme="minorHAnsi" w:cstheme="minorHAnsi"/>
      <w:sz w:val="20"/>
      <w:szCs w:val="20"/>
    </w:rPr>
  </w:style>
  <w:style w:type="paragraph" w:styleId="21">
    <w:name w:val="toc 2"/>
    <w:basedOn w:val="1"/>
    <w:next w:val="1"/>
    <w:autoRedefine/>
    <w:unhideWhenUsed/>
    <w:qFormat/>
    <w:uiPriority w:val="39"/>
    <w:pPr>
      <w:tabs>
        <w:tab w:val="right" w:leader="dot" w:pos="8296"/>
      </w:tabs>
      <w:spacing w:line="288" w:lineRule="auto"/>
      <w:ind w:firstLine="200" w:firstLineChars="200"/>
    </w:pPr>
    <w:rPr>
      <w:rFonts w:asciiTheme="minorHAnsi" w:hAnsiTheme="minorHAnsi" w:cstheme="minorHAnsi"/>
      <w:iCs/>
      <w:szCs w:val="20"/>
    </w:rPr>
  </w:style>
  <w:style w:type="paragraph" w:styleId="22">
    <w:name w:val="toc 9"/>
    <w:basedOn w:val="1"/>
    <w:next w:val="1"/>
    <w:autoRedefine/>
    <w:unhideWhenUsed/>
    <w:qFormat/>
    <w:uiPriority w:val="39"/>
    <w:pPr>
      <w:ind w:left="1680"/>
      <w:jc w:val="left"/>
    </w:pPr>
    <w:rPr>
      <w:rFonts w:asciiTheme="minorHAnsi" w:hAnsiTheme="minorHAnsi" w:cstheme="minorHAnsi"/>
      <w:sz w:val="20"/>
      <w:szCs w:val="20"/>
    </w:rPr>
  </w:style>
  <w:style w:type="paragraph" w:styleId="23">
    <w:name w:val="Normal (Web)"/>
    <w:basedOn w:val="1"/>
    <w:autoRedefine/>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24">
    <w:name w:val="Title"/>
    <w:basedOn w:val="1"/>
    <w:next w:val="1"/>
    <w:link w:val="52"/>
    <w:autoRedefine/>
    <w:qFormat/>
    <w:uiPriority w:val="10"/>
    <w:pPr>
      <w:jc w:val="center"/>
      <w:outlineLvl w:val="2"/>
    </w:pPr>
    <w:rPr>
      <w:rFonts w:ascii="等线 Light" w:hAnsi="等线 Light" w:eastAsia="宋体" w:cs="Times New Roman"/>
      <w:b/>
      <w:bCs/>
      <w:sz w:val="24"/>
      <w:szCs w:val="32"/>
    </w:rPr>
  </w:style>
  <w:style w:type="paragraph" w:styleId="25">
    <w:name w:val="annotation subject"/>
    <w:basedOn w:val="9"/>
    <w:next w:val="9"/>
    <w:link w:val="68"/>
    <w:semiHidden/>
    <w:unhideWhenUsed/>
    <w:qFormat/>
    <w:uiPriority w:val="99"/>
    <w:rPr>
      <w:b/>
      <w:bCs/>
    </w:rPr>
  </w:style>
  <w:style w:type="paragraph" w:styleId="26">
    <w:name w:val="Body Text First Indent 2"/>
    <w:basedOn w:val="11"/>
    <w:link w:val="49"/>
    <w:autoRedefine/>
    <w:qFormat/>
    <w:uiPriority w:val="0"/>
    <w:pPr>
      <w:ind w:firstLine="420" w:firstLineChars="200"/>
    </w:p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22"/>
    <w:rPr>
      <w:b/>
      <w:bCs/>
    </w:rPr>
  </w:style>
  <w:style w:type="character" w:styleId="31">
    <w:name w:val="FollowedHyperlink"/>
    <w:basedOn w:val="29"/>
    <w:autoRedefine/>
    <w:semiHidden/>
    <w:unhideWhenUsed/>
    <w:qFormat/>
    <w:uiPriority w:val="99"/>
    <w:rPr>
      <w:color w:val="800080" w:themeColor="followedHyperlink"/>
      <w:u w:val="single"/>
      <w14:textFill>
        <w14:solidFill>
          <w14:schemeClr w14:val="folHlink"/>
        </w14:solidFill>
      </w14:textFill>
    </w:rPr>
  </w:style>
  <w:style w:type="character" w:styleId="32">
    <w:name w:val="Hyperlink"/>
    <w:basedOn w:val="29"/>
    <w:autoRedefine/>
    <w:unhideWhenUsed/>
    <w:qFormat/>
    <w:uiPriority w:val="99"/>
    <w:rPr>
      <w:color w:val="0000FF" w:themeColor="hyperlink"/>
      <w:u w:val="single"/>
      <w14:textFill>
        <w14:solidFill>
          <w14:schemeClr w14:val="hlink"/>
        </w14:solidFill>
      </w14:textFill>
    </w:rPr>
  </w:style>
  <w:style w:type="character" w:styleId="33">
    <w:name w:val="annotation reference"/>
    <w:basedOn w:val="29"/>
    <w:semiHidden/>
    <w:unhideWhenUsed/>
    <w:qFormat/>
    <w:uiPriority w:val="99"/>
    <w:rPr>
      <w:sz w:val="21"/>
      <w:szCs w:val="21"/>
    </w:rPr>
  </w:style>
  <w:style w:type="character" w:customStyle="1" w:styleId="34">
    <w:name w:val="Heading 1 Char"/>
    <w:basedOn w:val="29"/>
    <w:link w:val="2"/>
    <w:autoRedefine/>
    <w:qFormat/>
    <w:uiPriority w:val="0"/>
    <w:rPr>
      <w:rFonts w:ascii="Times New Roman" w:hAnsi="Times New Roman" w:eastAsia="方正黑体简体" w:cs="Times New Roman"/>
      <w:b/>
      <w:bCs/>
      <w:caps/>
      <w:color w:val="000000"/>
      <w:sz w:val="28"/>
      <w:szCs w:val="28"/>
      <w:lang w:val="zh-CN"/>
    </w:rPr>
  </w:style>
  <w:style w:type="character" w:customStyle="1" w:styleId="35">
    <w:name w:val="Heading 2 Char"/>
    <w:basedOn w:val="29"/>
    <w:link w:val="4"/>
    <w:autoRedefine/>
    <w:qFormat/>
    <w:uiPriority w:val="9"/>
    <w:rPr>
      <w:rFonts w:ascii="Times New Roman" w:hAnsi="Times New Roman" w:eastAsia="方正黑体简体" w:cs="Times New Roman"/>
      <w:bCs/>
      <w:color w:val="000000"/>
      <w:kern w:val="2"/>
      <w:sz w:val="21"/>
      <w:szCs w:val="21"/>
    </w:rPr>
  </w:style>
  <w:style w:type="character" w:customStyle="1" w:styleId="36">
    <w:name w:val="Heading 3 Char"/>
    <w:basedOn w:val="29"/>
    <w:link w:val="5"/>
    <w:autoRedefine/>
    <w:qFormat/>
    <w:uiPriority w:val="9"/>
    <w:rPr>
      <w:rFonts w:eastAsia="方正书宋简体"/>
      <w:color w:val="000000" w:themeColor="text1"/>
      <w:kern w:val="2"/>
      <w:sz w:val="21"/>
      <w:szCs w:val="21"/>
      <w14:textFill>
        <w14:solidFill>
          <w14:schemeClr w14:val="tx1"/>
        </w14:solidFill>
      </w14:textFill>
    </w:rPr>
  </w:style>
  <w:style w:type="character" w:customStyle="1" w:styleId="37">
    <w:name w:val="Balloon Text Char"/>
    <w:basedOn w:val="29"/>
    <w:link w:val="16"/>
    <w:semiHidden/>
    <w:qFormat/>
    <w:uiPriority w:val="99"/>
    <w:rPr>
      <w:sz w:val="18"/>
      <w:szCs w:val="18"/>
    </w:rPr>
  </w:style>
  <w:style w:type="character" w:customStyle="1" w:styleId="38">
    <w:name w:val="Date Char"/>
    <w:basedOn w:val="29"/>
    <w:link w:val="15"/>
    <w:autoRedefine/>
    <w:semiHidden/>
    <w:qFormat/>
    <w:uiPriority w:val="99"/>
  </w:style>
  <w:style w:type="character" w:customStyle="1" w:styleId="39">
    <w:name w:val="Header Char"/>
    <w:basedOn w:val="29"/>
    <w:link w:val="18"/>
    <w:autoRedefine/>
    <w:qFormat/>
    <w:uiPriority w:val="0"/>
    <w:rPr>
      <w:sz w:val="18"/>
      <w:szCs w:val="18"/>
    </w:rPr>
  </w:style>
  <w:style w:type="character" w:customStyle="1" w:styleId="40">
    <w:name w:val="Footer Char"/>
    <w:basedOn w:val="29"/>
    <w:link w:val="17"/>
    <w:autoRedefine/>
    <w:qFormat/>
    <w:uiPriority w:val="99"/>
    <w:rPr>
      <w:rFonts w:ascii="黑体" w:hAnsi="黑体"/>
      <w:sz w:val="18"/>
      <w:szCs w:val="18"/>
    </w:rPr>
  </w:style>
  <w:style w:type="table" w:customStyle="1" w:styleId="41">
    <w:name w:val="网格型1"/>
    <w:basedOn w:val="27"/>
    <w:autoRedefine/>
    <w:qFormat/>
    <w:uiPriority w:val="59"/>
    <w:rPr>
      <w:rFonts w:ascii="宋体"/>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style>
  <w:style w:type="paragraph" w:customStyle="1" w:styleId="42">
    <w:name w:val="款"/>
    <w:basedOn w:val="1"/>
    <w:autoRedefine/>
    <w:qFormat/>
    <w:uiPriority w:val="1"/>
    <w:pPr>
      <w:ind w:firstLine="420" w:firstLineChars="200"/>
    </w:pPr>
    <w:rPr>
      <w:rFonts w:hAnsiTheme="minorEastAsia"/>
    </w:rPr>
  </w:style>
  <w:style w:type="paragraph" w:styleId="43">
    <w:name w:val="List Paragraph"/>
    <w:basedOn w:val="1"/>
    <w:autoRedefine/>
    <w:qFormat/>
    <w:uiPriority w:val="34"/>
    <w:pPr>
      <w:spacing w:line="240" w:lineRule="auto"/>
      <w:ind w:firstLine="420" w:firstLineChars="200"/>
    </w:pPr>
    <w:rPr>
      <w:rFonts w:ascii="等线" w:hAnsi="等线" w:eastAsia="等线" w:cs="Times New Roman"/>
    </w:rPr>
  </w:style>
  <w:style w:type="character" w:customStyle="1" w:styleId="44">
    <w:name w:val="未处理的提及1"/>
    <w:basedOn w:val="29"/>
    <w:autoRedefine/>
    <w:semiHidden/>
    <w:unhideWhenUsed/>
    <w:qFormat/>
    <w:uiPriority w:val="99"/>
    <w:rPr>
      <w:color w:val="808080"/>
      <w:shd w:val="clear" w:color="auto" w:fill="E6E6E6"/>
    </w:rPr>
  </w:style>
  <w:style w:type="character" w:styleId="45">
    <w:name w:val="Placeholder Text"/>
    <w:basedOn w:val="29"/>
    <w:autoRedefine/>
    <w:semiHidden/>
    <w:qFormat/>
    <w:uiPriority w:val="99"/>
    <w:rPr>
      <w:color w:val="808080"/>
    </w:rPr>
  </w:style>
  <w:style w:type="paragraph" w:customStyle="1" w:styleId="46">
    <w:name w:val="Table Paragraph"/>
    <w:basedOn w:val="1"/>
    <w:autoRedefine/>
    <w:qFormat/>
    <w:uiPriority w:val="1"/>
    <w:pPr>
      <w:spacing w:line="240" w:lineRule="auto"/>
      <w:jc w:val="left"/>
    </w:pPr>
    <w:rPr>
      <w:rFonts w:ascii="Calibri" w:hAnsi="Calibri" w:eastAsia="宋体" w:cs="Times New Roman"/>
      <w:kern w:val="0"/>
      <w:sz w:val="22"/>
      <w:lang w:eastAsia="en-US"/>
    </w:rPr>
  </w:style>
  <w:style w:type="character" w:customStyle="1" w:styleId="47">
    <w:name w:val="Body Text Char"/>
    <w:basedOn w:val="29"/>
    <w:link w:val="10"/>
    <w:autoRedefine/>
    <w:qFormat/>
    <w:uiPriority w:val="0"/>
    <w:rPr>
      <w:rFonts w:ascii="Times New Roman" w:hAnsi="Times New Roman" w:eastAsia="方正书宋简体" w:cs="Times New Roman"/>
      <w:bCs/>
      <w:kern w:val="2"/>
      <w:sz w:val="21"/>
      <w:szCs w:val="21"/>
    </w:rPr>
  </w:style>
  <w:style w:type="character" w:customStyle="1" w:styleId="48">
    <w:name w:val="Body Text Indent Char"/>
    <w:basedOn w:val="29"/>
    <w:link w:val="11"/>
    <w:autoRedefine/>
    <w:qFormat/>
    <w:uiPriority w:val="0"/>
    <w:rPr>
      <w:rFonts w:ascii="Times New Roman" w:hAnsi="Times New Roman" w:eastAsia="宋体" w:cs="Times New Roman"/>
      <w:sz w:val="24"/>
    </w:rPr>
  </w:style>
  <w:style w:type="character" w:customStyle="1" w:styleId="49">
    <w:name w:val="Body Text First Indent 2 Char"/>
    <w:basedOn w:val="48"/>
    <w:link w:val="26"/>
    <w:autoRedefine/>
    <w:qFormat/>
    <w:uiPriority w:val="0"/>
    <w:rPr>
      <w:rFonts w:ascii="Times New Roman" w:hAnsi="Times New Roman" w:eastAsia="宋体" w:cs="Times New Roman"/>
      <w:sz w:val="24"/>
    </w:rPr>
  </w:style>
  <w:style w:type="paragraph" w:customStyle="1" w:styleId="50">
    <w:name w:val="正文文本1"/>
    <w:basedOn w:val="1"/>
    <w:autoRedefine/>
    <w:qFormat/>
    <w:uiPriority w:val="0"/>
    <w:pPr>
      <w:spacing w:before="171" w:line="240" w:lineRule="auto"/>
      <w:ind w:left="120"/>
    </w:pPr>
    <w:rPr>
      <w:rFonts w:ascii="华文仿宋" w:hAnsi="华文仿宋" w:eastAsia="华文仿宋" w:cs="Times New Roman"/>
      <w:sz w:val="24"/>
      <w:szCs w:val="24"/>
    </w:rPr>
  </w:style>
  <w:style w:type="paragraph" w:customStyle="1" w:styleId="51">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52">
    <w:name w:val="Title Char"/>
    <w:basedOn w:val="29"/>
    <w:link w:val="24"/>
    <w:autoRedefine/>
    <w:qFormat/>
    <w:uiPriority w:val="10"/>
    <w:rPr>
      <w:rFonts w:ascii="等线 Light" w:hAnsi="等线 Light" w:eastAsia="宋体" w:cs="Times New Roman"/>
      <w:b/>
      <w:bCs/>
      <w:sz w:val="24"/>
      <w:szCs w:val="32"/>
    </w:rPr>
  </w:style>
  <w:style w:type="character" w:customStyle="1" w:styleId="53">
    <w:name w:val="Document Map Char"/>
    <w:basedOn w:val="29"/>
    <w:link w:val="8"/>
    <w:autoRedefine/>
    <w:semiHidden/>
    <w:qFormat/>
    <w:uiPriority w:val="99"/>
    <w:rPr>
      <w:rFonts w:ascii="宋体" w:hAnsi="等线" w:eastAsia="宋体" w:cs="Times New Roman"/>
      <w:sz w:val="18"/>
      <w:szCs w:val="18"/>
    </w:rPr>
  </w:style>
  <w:style w:type="paragraph" w:customStyle="1" w:styleId="54">
    <w:name w:val="条文说明样式"/>
    <w:basedOn w:val="1"/>
    <w:link w:val="55"/>
    <w:autoRedefine/>
    <w:qFormat/>
    <w:uiPriority w:val="0"/>
    <w:pPr>
      <w:ind w:firstLine="530" w:firstLineChars="220"/>
    </w:pPr>
    <w:rPr>
      <w:rFonts w:ascii="仿宋" w:hAnsi="仿宋" w:eastAsia="仿宋" w:cs="Times New Roman"/>
      <w:b/>
      <w:sz w:val="24"/>
      <w:szCs w:val="24"/>
      <w:u w:val="single"/>
    </w:rPr>
  </w:style>
  <w:style w:type="character" w:customStyle="1" w:styleId="55">
    <w:name w:val="条文说明样式 Char"/>
    <w:basedOn w:val="29"/>
    <w:link w:val="54"/>
    <w:autoRedefine/>
    <w:qFormat/>
    <w:uiPriority w:val="0"/>
    <w:rPr>
      <w:rFonts w:ascii="仿宋" w:hAnsi="仿宋" w:eastAsia="仿宋" w:cs="Times New Roman"/>
      <w:b/>
      <w:sz w:val="24"/>
      <w:szCs w:val="24"/>
      <w:u w:val="single"/>
    </w:rPr>
  </w:style>
  <w:style w:type="paragraph" w:customStyle="1" w:styleId="56">
    <w:name w:val="正文样式"/>
    <w:basedOn w:val="1"/>
    <w:link w:val="57"/>
    <w:autoRedefine/>
    <w:qFormat/>
    <w:uiPriority w:val="0"/>
    <w:pPr>
      <w:ind w:firstLine="616" w:firstLineChars="220"/>
    </w:pPr>
    <w:rPr>
      <w:rFonts w:ascii="仿宋" w:hAnsi="仿宋" w:eastAsia="仿宋" w:cs="Times New Roman"/>
      <w:sz w:val="28"/>
      <w:szCs w:val="28"/>
    </w:rPr>
  </w:style>
  <w:style w:type="character" w:customStyle="1" w:styleId="57">
    <w:name w:val="正文样式 Char"/>
    <w:basedOn w:val="29"/>
    <w:link w:val="56"/>
    <w:autoRedefine/>
    <w:qFormat/>
    <w:uiPriority w:val="0"/>
    <w:rPr>
      <w:rFonts w:ascii="仿宋" w:hAnsi="仿宋" w:eastAsia="仿宋" w:cs="Times New Roman"/>
      <w:sz w:val="28"/>
      <w:szCs w:val="28"/>
    </w:rPr>
  </w:style>
  <w:style w:type="paragraph" w:customStyle="1" w:styleId="58">
    <w:name w:val="TOC Heading1"/>
    <w:basedOn w:val="2"/>
    <w:next w:val="1"/>
    <w:autoRedefine/>
    <w:unhideWhenUsed/>
    <w:qFormat/>
    <w:uiPriority w:val="39"/>
    <w:pPr>
      <w:widowControl/>
      <w:spacing w:before="240" w:beforeLines="0" w:after="0" w:afterLines="0" w:line="259" w:lineRule="auto"/>
      <w:jc w:val="left"/>
      <w:outlineLvl w:val="9"/>
    </w:pPr>
    <w:rPr>
      <w:rFonts w:asciiTheme="majorHAnsi" w:hAnsiTheme="majorHAnsi" w:eastAsiaTheme="majorEastAsia" w:cstheme="majorBidi"/>
      <w:b w:val="0"/>
      <w:bCs w:val="0"/>
      <w:color w:val="376092" w:themeColor="accent1" w:themeShade="BF"/>
      <w:sz w:val="32"/>
      <w:szCs w:val="32"/>
    </w:rPr>
  </w:style>
  <w:style w:type="paragraph" w:customStyle="1" w:styleId="59">
    <w:name w:val="条+缩进"/>
    <w:basedOn w:val="1"/>
    <w:autoRedefine/>
    <w:qFormat/>
    <w:uiPriority w:val="0"/>
    <w:pPr>
      <w:overflowPunct w:val="0"/>
      <w:spacing w:line="348" w:lineRule="exact"/>
      <w:ind w:firstLine="422" w:firstLineChars="200"/>
    </w:pPr>
    <w:rPr>
      <w:rFonts w:ascii="Times New Roman" w:hAnsi="Times New Roman" w:eastAsia="方正书宋简体" w:cs="Times New Roman"/>
    </w:rPr>
  </w:style>
  <w:style w:type="paragraph" w:customStyle="1" w:styleId="60">
    <w:name w:val="表标题"/>
    <w:basedOn w:val="1"/>
    <w:autoRedefine/>
    <w:qFormat/>
    <w:uiPriority w:val="0"/>
    <w:pPr>
      <w:keepNext/>
      <w:spacing w:line="312" w:lineRule="exact"/>
      <w:jc w:val="center"/>
    </w:pPr>
    <w:rPr>
      <w:rFonts w:ascii="Times New Roman" w:hAnsi="Times New Roman" w:eastAsia="方正黑体简体" w:cs="Times New Roman"/>
      <w:bCs/>
      <w:color w:val="000000"/>
      <w:sz w:val="18"/>
      <w:szCs w:val="18"/>
    </w:rPr>
  </w:style>
  <w:style w:type="paragraph" w:customStyle="1" w:styleId="61">
    <w:name w:val="图名"/>
    <w:basedOn w:val="42"/>
    <w:autoRedefine/>
    <w:qFormat/>
    <w:uiPriority w:val="0"/>
    <w:pPr>
      <w:ind w:firstLine="0" w:firstLineChars="0"/>
      <w:jc w:val="center"/>
    </w:pPr>
    <w:rPr>
      <w:sz w:val="18"/>
    </w:rPr>
  </w:style>
  <w:style w:type="paragraph" w:customStyle="1" w:styleId="62">
    <w:name w:val="注"/>
    <w:basedOn w:val="1"/>
    <w:autoRedefine/>
    <w:qFormat/>
    <w:uiPriority w:val="0"/>
    <w:pPr>
      <w:ind w:firstLine="300" w:firstLineChars="300"/>
    </w:pPr>
    <w:rPr>
      <w:rFonts w:hAnsiTheme="minorEastAsia"/>
      <w:sz w:val="15"/>
    </w:rPr>
  </w:style>
  <w:style w:type="paragraph" w:customStyle="1" w:styleId="63">
    <w:name w:val="表格文本"/>
    <w:basedOn w:val="1"/>
    <w:autoRedefine/>
    <w:qFormat/>
    <w:uiPriority w:val="0"/>
    <w:pPr>
      <w:overflowPunct w:val="0"/>
      <w:spacing w:line="280" w:lineRule="exact"/>
      <w:jc w:val="center"/>
    </w:pPr>
    <w:rPr>
      <w:rFonts w:ascii="Times New Roman" w:hAnsi="Times New Roman" w:eastAsia="方正书宋简体" w:cs="Times New Roman"/>
      <w:iCs/>
      <w:sz w:val="18"/>
      <w:szCs w:val="18"/>
    </w:rPr>
  </w:style>
  <w:style w:type="character" w:customStyle="1" w:styleId="64">
    <w:name w:val="Heading 4 Char"/>
    <w:basedOn w:val="29"/>
    <w:link w:val="6"/>
    <w:autoRedefine/>
    <w:semiHidden/>
    <w:qFormat/>
    <w:uiPriority w:val="9"/>
    <w:rPr>
      <w:rFonts w:asciiTheme="majorHAnsi" w:hAnsiTheme="majorHAnsi" w:eastAsiaTheme="majorEastAsia" w:cstheme="majorBidi"/>
      <w:b/>
      <w:bCs/>
      <w:sz w:val="28"/>
      <w:szCs w:val="28"/>
    </w:rPr>
  </w:style>
  <w:style w:type="paragraph" w:customStyle="1" w:styleId="65">
    <w:name w:val="表格"/>
    <w:basedOn w:val="1"/>
    <w:autoRedefine/>
    <w:qFormat/>
    <w:uiPriority w:val="99"/>
    <w:pPr>
      <w:adjustRightInd w:val="0"/>
      <w:snapToGrid w:val="0"/>
      <w:spacing w:line="240" w:lineRule="auto"/>
    </w:pPr>
    <w:rPr>
      <w:rFonts w:ascii="宋体" w:hAnsi="宋体" w:eastAsia="宋体"/>
      <w:bCs/>
    </w:rPr>
  </w:style>
  <w:style w:type="character" w:customStyle="1" w:styleId="66">
    <w:name w:val="文档结构图 字符1"/>
    <w:basedOn w:val="29"/>
    <w:autoRedefine/>
    <w:semiHidden/>
    <w:qFormat/>
    <w:uiPriority w:val="99"/>
    <w:rPr>
      <w:rFonts w:ascii="Microsoft YaHei UI" w:eastAsia="Microsoft YaHei UI"/>
      <w:sz w:val="18"/>
      <w:szCs w:val="18"/>
    </w:rPr>
  </w:style>
  <w:style w:type="character" w:customStyle="1" w:styleId="67">
    <w:name w:val="Comment Text Char"/>
    <w:basedOn w:val="29"/>
    <w:link w:val="9"/>
    <w:qFormat/>
    <w:uiPriority w:val="0"/>
    <w:rPr>
      <w:rFonts w:ascii="黑体" w:hAnsi="黑体" w:eastAsiaTheme="minorEastAsia" w:cstheme="minorBidi"/>
      <w:kern w:val="2"/>
      <w:sz w:val="21"/>
      <w:szCs w:val="21"/>
    </w:rPr>
  </w:style>
  <w:style w:type="character" w:customStyle="1" w:styleId="68">
    <w:name w:val="Comment Subject Char"/>
    <w:basedOn w:val="67"/>
    <w:link w:val="25"/>
    <w:semiHidden/>
    <w:qFormat/>
    <w:uiPriority w:val="99"/>
    <w:rPr>
      <w:rFonts w:ascii="黑体" w:hAnsi="黑体" w:eastAsiaTheme="minorEastAsia" w:cstheme="minorBidi"/>
      <w:b/>
      <w:bCs/>
      <w:kern w:val="2"/>
      <w:sz w:val="21"/>
      <w:szCs w:val="21"/>
    </w:rPr>
  </w:style>
  <w:style w:type="character" w:customStyle="1" w:styleId="69">
    <w:name w:val="fw2"/>
    <w:basedOn w:val="29"/>
    <w:qFormat/>
    <w:uiPriority w:val="0"/>
  </w:style>
  <w:style w:type="paragraph" w:customStyle="1" w:styleId="70">
    <w:name w:val="修订1"/>
    <w:hidden/>
    <w:unhideWhenUsed/>
    <w:qFormat/>
    <w:uiPriority w:val="99"/>
    <w:rPr>
      <w:rFonts w:ascii="黑体" w:hAnsi="黑体" w:eastAsiaTheme="minorEastAsia" w:cstheme="minorBid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15.tiff"/><Relationship Id="rId31" Type="http://schemas.openxmlformats.org/officeDocument/2006/relationships/image" Target="media/image14.tiff"/><Relationship Id="rId30" Type="http://schemas.openxmlformats.org/officeDocument/2006/relationships/image" Target="media/image13.tiff"/><Relationship Id="rId3" Type="http://schemas.openxmlformats.org/officeDocument/2006/relationships/footnotes" Target="footnotes.xml"/><Relationship Id="rId29" Type="http://schemas.openxmlformats.org/officeDocument/2006/relationships/image" Target="media/image12.tiff"/><Relationship Id="rId28" Type="http://schemas.openxmlformats.org/officeDocument/2006/relationships/image" Target="media/image11.tiff"/><Relationship Id="rId27" Type="http://schemas.openxmlformats.org/officeDocument/2006/relationships/image" Target="media/image10.tiff"/><Relationship Id="rId26" Type="http://schemas.openxmlformats.org/officeDocument/2006/relationships/image" Target="media/image9.tiff"/><Relationship Id="rId25" Type="http://schemas.openxmlformats.org/officeDocument/2006/relationships/image" Target="media/image8.tiff"/><Relationship Id="rId24" Type="http://schemas.openxmlformats.org/officeDocument/2006/relationships/image" Target="media/image7.tiff"/><Relationship Id="rId23" Type="http://schemas.openxmlformats.org/officeDocument/2006/relationships/image" Target="media/image6.tiff"/><Relationship Id="rId22" Type="http://schemas.openxmlformats.org/officeDocument/2006/relationships/image" Target="media/image5.wmf"/><Relationship Id="rId21" Type="http://schemas.openxmlformats.org/officeDocument/2006/relationships/oleObject" Target="embeddings/oleObject1.bin"/><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tiff"/><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A0952A-A027-44AD-8ADA-75FF37B1A27B}">
  <ds:schemaRefs/>
</ds:datastoreItem>
</file>

<file path=docProps/app.xml><?xml version="1.0" encoding="utf-8"?>
<Properties xmlns="http://schemas.openxmlformats.org/officeDocument/2006/extended-properties" xmlns:vt="http://schemas.openxmlformats.org/officeDocument/2006/docPropsVTypes">
  <Template>Normal.dotm</Template>
  <Company>ylmfeng.com</Company>
  <Pages>204</Pages>
  <Words>1618</Words>
  <Characters>2228</Characters>
  <Lines>949</Lines>
  <Paragraphs>267</Paragraphs>
  <TotalTime>12</TotalTime>
  <ScaleCrop>false</ScaleCrop>
  <LinksUpToDate>false</LinksUpToDate>
  <CharactersWithSpaces>2538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2025-09-21T00:50:00Z</dcterms:created>
  <dc:creator>王文国</dc:creator>
  <cp:lastModifiedBy>WPS_jujuju</cp:lastModifiedBy>
  <cp:lastPrinted>2025-08-12T08:26:00Z</cp:lastPrinted>
  <dcterms:modified xsi:type="dcterms:W3CDTF">2025-10-21T03:32:54Z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52A99E33A0B849B3A9BF25C0FBB58039_13</vt:lpwstr>
  </property>
  <property fmtid="{D5CDD505-2E9C-101B-9397-08002B2CF9AE}" pid="4" name="KSOTemplateDocerSaveRecord">
    <vt:lpwstr>eyJoZGlkIjoiMDA5MDM0MTJhYTIwMjg0ZGM1NDdmY2YwZGNlYTU2YTciLCJ1c2VySWQiOiIxMTIyNzEwNDk3In0=</vt:lpwstr>
  </property>
</Properties>
</file>