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  <w:t>附件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8" w:afterLines="60" w:line="60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绿色建筑创新项目（第一批）拟认定项目名单</w:t>
      </w:r>
    </w:p>
    <w:tbl>
      <w:tblPr>
        <w:tblStyle w:val="3"/>
        <w:tblW w:w="140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350"/>
        <w:gridCol w:w="1028"/>
        <w:gridCol w:w="1202"/>
        <w:gridCol w:w="9118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tblHeader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基本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情况</w:t>
            </w:r>
          </w:p>
        </w:tc>
        <w:tc>
          <w:tcPr>
            <w:tcW w:w="9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可复制、可推广的绿色创新技术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2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荔园国际金融中心1号和4号楼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山西荔锦房地产开发有限公司、山西省建筑设计研究院有限公司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三星级绿色建筑</w:t>
            </w:r>
          </w:p>
        </w:tc>
        <w:tc>
          <w:tcPr>
            <w:tcW w:w="9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1、光储直柔技术。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4#在屋顶设太阳能发电系统，通过电化学储能设备，直流电直接用于项目公共区域照明，减少了直流电转换交流电过程中的能量损耗。光伏板装机容量为225KW，年发电量约为29.56万kWh。满足1#、4#以及地下车库公共照明使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2、节水集成技术。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节水集成技术由再生水技术、PDS防护虹吸排水收集系统集合而成。中水水源为市政中水管网，从小区中水管网引入一根DN150的供水管，供水压力0.40MPa。供给道路绿化浇灌、车库级道路冲洗、冲厕用水、冷却水补水等。采用PDS防护虹吸排水收集系统，从被动排水转变成了现在的主动式排水，从而真正实现了零坡度、有组织排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3、智慧建筑。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将建筑设备监控系统、智能照明系统、建筑能效监管系统、安全防范系统等所有智能化系统进行集中管理，融入APP中，实现建筑的智慧运行。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太原中铁花语堂项目9号楼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太原中铁嘉晟房地产开发有限公司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三星级绿色建筑</w:t>
            </w:r>
          </w:p>
        </w:tc>
        <w:tc>
          <w:tcPr>
            <w:tcW w:w="9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1、外墙节能技术。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（1）高性能外墙保温体系：采用钢筋混凝土外墙+90mm厚挤塑聚苯板（保温结构一体化），外墙平均系数K值为0.29 W/（</w:t>
            </w:r>
            <w:r>
              <w:rPr>
                <w:rStyle w:val="6"/>
                <w:lang w:val="en-US" w:eastAsia="zh-CN" w:bidi="ar"/>
              </w:rPr>
              <w:t>㎡</w:t>
            </w:r>
            <w:r>
              <w:rPr>
                <w:rStyle w:val="7"/>
                <w:rFonts w:hAnsi="宋体"/>
                <w:lang w:val="en-US" w:eastAsia="zh-CN" w:bidi="ar"/>
              </w:rPr>
              <w:t>·K），外墙传热系数提升35.6%，保温性能稳定，抗老化，耐久性强。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（2）高性能节能外窗：外窗整窗传热系数K=1.5W/（</w:t>
            </w:r>
            <w:r>
              <w:rPr>
                <w:rStyle w:val="6"/>
                <w:lang w:val="en-US" w:eastAsia="zh-CN" w:bidi="ar"/>
              </w:rPr>
              <w:t>㎡</w:t>
            </w:r>
            <w:r>
              <w:rPr>
                <w:rStyle w:val="7"/>
                <w:rFonts w:hAnsi="宋体"/>
                <w:lang w:val="en-US" w:eastAsia="zh-CN" w:bidi="ar"/>
              </w:rPr>
              <w:t>·K），玻璃采用三玻两腔中空充氩气玻璃（5+12Ar+5Low-E+12Ar+5Low-E），外窗传热系数提升25%，低于常规节能门窗。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2、高效空调设备。</w:t>
            </w:r>
            <w:r>
              <w:rPr>
                <w:rStyle w:val="7"/>
                <w:rFonts w:hAnsi="宋体"/>
                <w:lang w:val="en-US" w:eastAsia="zh-CN" w:bidi="ar"/>
              </w:rPr>
              <w:t>采用高性能多联机空调系统，多联机IPLV值达到6.0，新风换热在供冷时热交换效率达到55%以上，在供暖时热交换效率达到70%以上。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3、提升建筑室内环境品质技术。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（1）控制室内主要空气污染物浓度：采用带热回收的户式除霾新风系统，HEPA多层复合过滤芯，PM2.5过滤效率高达99%，增强室内换气次数，引入新风，稀释室内空气污染物浓度。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（2）空气质量监测：在户内设置空气质量监测系统，监测PM2.5、PM10与CO2浓度，实时监测数据显示在每户入口的液晶显示屏，空气监测器接入智能家居系统，实现污染物浓度超标报警。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丽华北项目1-10号楼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太原中海景昌房地产开发有限公司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二星级绿色建筑</w:t>
            </w:r>
          </w:p>
        </w:tc>
        <w:tc>
          <w:tcPr>
            <w:tcW w:w="9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1、5G物联网技术的智能化体系。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（1）建筑室内环境监测系统：建筑每户设置CO2、PM2.5、PM10、相对湿度、室内温度传感器，从建筑室内各个区域采集的实时空气质量监测数据，经过运算分析后，将数据转化成为可视化公告。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智能家居系统：根据现代智能住宅的应用功能不同，对于各种类型的房型都可以划分为几个功能块，将传统的面板开关、窗帘、插座、灯具等家用电器智能化，有效实现了对照明、窗帘、安防、空调等的智能控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2、新风除霾技术。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采用管道式新风系统，设计风量下PM2.5一次过滤效率大于95%。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3、能耗监测系统。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对建筑各户及公共区域的电、热、水的在线实时监测，采用远程传输手段及时采集能耗数据，通过系统软件对建筑使用消耗的能耗进行碳量换算。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太原国际会展金融科创城一期（SG-1957地块）1、2号楼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太原市宝钜置业有限公司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三星级绿色建筑</w:t>
            </w:r>
          </w:p>
        </w:tc>
        <w:tc>
          <w:tcPr>
            <w:tcW w:w="9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1、太阳能光伏发电建筑一体化。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在1号楼和2号楼10层及以上的西侧和南侧两面采用光伏幕墙一体化。南立面（90度安装）计算发电量为936KWh/a/</w:t>
            </w:r>
            <w:r>
              <w:rPr>
                <w:rStyle w:val="6"/>
                <w:lang w:val="en-US" w:eastAsia="zh-CN" w:bidi="ar"/>
              </w:rPr>
              <w:t>㎡</w:t>
            </w:r>
            <w:r>
              <w:rPr>
                <w:rStyle w:val="7"/>
                <w:rFonts w:hAnsi="宋体"/>
                <w:lang w:val="en-US" w:eastAsia="zh-CN" w:bidi="ar"/>
              </w:rPr>
              <w:t>，西立面（90度安装）计算发电量为349KWh/a/</w:t>
            </w:r>
            <w:r>
              <w:rPr>
                <w:rStyle w:val="6"/>
                <w:lang w:val="en-US" w:eastAsia="zh-CN" w:bidi="ar"/>
              </w:rPr>
              <w:t>㎡</w:t>
            </w:r>
            <w:r>
              <w:rPr>
                <w:rStyle w:val="7"/>
                <w:rFonts w:hAnsi="宋体"/>
                <w:lang w:val="en-US" w:eastAsia="zh-CN" w:bidi="ar"/>
              </w:rPr>
              <w:t>，用于建筑公共区域照明系统。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2、装配式装修。</w:t>
            </w:r>
            <w:r>
              <w:rPr>
                <w:rStyle w:val="7"/>
                <w:rFonts w:hAnsi="宋体"/>
                <w:lang w:val="en-US" w:eastAsia="zh-CN" w:bidi="ar"/>
              </w:rPr>
              <w:t>对项目装修区域进行装配式装修，节能环保、提高施工效率。包括集成卫生间、集成墙面和集成地面。集成卫生间采用SMC航空树脂复合材料一体模压,整体成型工艺。集成墙面系统自带25-44mm可调墙面龙骨架空设计。集成地面采用干式工法施工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3、智能化运维。</w:t>
            </w:r>
            <w:r>
              <w:rPr>
                <w:rStyle w:val="7"/>
                <w:rFonts w:hAnsi="宋体"/>
                <w:lang w:val="en-US" w:eastAsia="zh-CN" w:bidi="ar"/>
              </w:rPr>
              <w:t>使用楼宇设备自动控制系统，对所有机电设备合理规划并检测其运行状态，同时设置能耗监测、环境监测、水质监测、智能照明等功能，实现物业管理智能化。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4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大同市国际能源革命科技创新园D区超低能耗被动式装配式住宅示范项目（瑞湖·云山府）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大同新能置业有限公司、大同泰瑞集团建设有限公司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三星级绿色建筑、超低能耗建筑、A级装配式建筑</w:t>
            </w:r>
          </w:p>
        </w:tc>
        <w:tc>
          <w:tcPr>
            <w:tcW w:w="9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1.超低能耗技术。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项目按《近零能耗建筑技术标准》GB/T51350设计，建筑能耗综合值均小于65KWh/（</w:t>
            </w:r>
            <w:r>
              <w:rPr>
                <w:rStyle w:val="6"/>
                <w:lang w:val="en-US" w:eastAsia="zh-CN" w:bidi="ar"/>
              </w:rPr>
              <w:t>㎡</w:t>
            </w:r>
            <w:r>
              <w:rPr>
                <w:rStyle w:val="7"/>
                <w:rFonts w:hAnsi="宋体"/>
                <w:lang w:val="en-US" w:eastAsia="zh-CN" w:bidi="ar"/>
              </w:rPr>
              <w:t>·a），达到超低能耗建筑要求。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（1）高保温隔热性能的非透明围护结构：外围护墙保温采用300mm岩棉板、250mm模塑石墨聚苯板保温；屋面保温采用燃烧性能B1级的300mm高容重模塑石墨聚苯板。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（2）高性能节能门窗：外窗的玻璃采用三玻两中空双Low-E充氩气玻璃，传热系数≤0.8W/(m2.K)。外窗的型材采用铝木复合型材，传热系数≤1.3W/(m2.K)。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（3）建筑整体气密性：整楼及各住户气密性符合在室内外压差50Pa的条件下，每小时换气次数不超过0.6次。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（4）高效热回收新风系统：采用了高效热回收新风系统，全热交换效率≥70%，全热回收效率≥75%。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2.装配式技术。</w:t>
            </w:r>
            <w:r>
              <w:rPr>
                <w:rStyle w:val="7"/>
                <w:rFonts w:hAnsi="宋体"/>
                <w:lang w:val="en-US" w:eastAsia="zh-CN" w:bidi="ar"/>
              </w:rPr>
              <w:t>该项目主体结构采用钢管束组合结构体系，应用面积达到22万平米，整体装配率为69%，达到A级装配式建筑。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Ansi="宋体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3.光伏发电技术。</w:t>
            </w:r>
            <w:r>
              <w:rPr>
                <w:rStyle w:val="7"/>
                <w:rFonts w:hAnsi="宋体"/>
                <w:lang w:val="en-US" w:eastAsia="zh-CN" w:bidi="ar"/>
              </w:rPr>
              <w:t>屋顶设置太阳能光伏发电系统，面积1.42万平米，年发电370万kWh，主要用于公共场所，多余电量并网送电。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4.钢结构施工技术。</w:t>
            </w:r>
            <w:r>
              <w:rPr>
                <w:rStyle w:val="7"/>
                <w:rFonts w:hAnsi="宋体"/>
                <w:lang w:val="en-US" w:eastAsia="zh-CN" w:bidi="ar"/>
              </w:rPr>
              <w:t>采用了钢管束剪力墙上固定保温层、钢结构外窗安装、管道穿钢管束钢梁和装配式装修裂缝预控等自主创新技术成果11项，已授权自主知识产权7项。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大同市住房和城乡建设局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新源智慧建设运行总部A座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山西新源智慧建设有限公司、山西省建筑设计研究院有限公司、山西四建集团有限公司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三星级绿色建筑、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近零能耗建筑、AAA级装配式建筑</w:t>
            </w:r>
          </w:p>
        </w:tc>
        <w:tc>
          <w:tcPr>
            <w:tcW w:w="9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1、近零能耗技术。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项目按《近零能耗建筑技术标准》GB/T51350-2019设计，建筑综合节能率为61.78%，达到近零能耗建筑要求。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（1）装配式超低能耗外墙系统：外墙采用了装配式超低能耗系统技术，传热系数达到0.20W/(m2·K)，保证了良好的气密性，同时满足防火、安全、耐久要求。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（2）高性能节能外窗：采用了玻纤聚氨酯外窗，玻璃为三玻两中空Low-E玻璃，充氩气，传热系数达到0.87W/(m2·K)。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（3）建筑整体气密性：在建筑外围护结构中墙板接缝、管道穿墙处、门窗洞口四周等均贴防水隔气膜、防水透气膜等，提高了围护结构的气密性。换气次数N50=0.54。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（4）无热桥设计：通过采用隔热垫块、连续保温等断热桥措施，减少了外围护结构的热损失。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（5）高效热回收新风系统：采用了高效热回收新风系统，显热回收效率均大于75%，全热回收效率均大于70%。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2、装配式建造技术。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采用了钢框架结构体系，楼板采用免支模金属桁架楼承板,外墙采用了装配式超低能耗复合墙板、内墙采用ALC轻质隔墙板，同时采用了装配式装修、装配式机房、管线分离等措施，建筑的装配率达到91.5%，达到装配式AAA级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3、可再生能源应用技术。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光储直柔技术：项目在屋顶设置了近600平方米的光伏板，光伏发电方阵由482块光伏板和5台汇流箱组成，每日发电量约为330kWh，采用了光储直柔微电网系统对地库及公共部位进行照明供电。光伏发电提供电量比例Re=3.01%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（2）清洁供暖技术：采用中深层无干扰地热供暖技术，地热井深度为2570米，井底温度为77.7℃，供水温度可达40℃，取热功率为400kw，年取热量35万kWh。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4、新型智慧能耗管理系统。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数字式集中监测控制系统，开启人工智能、云计算创新应用。设置室内温度、湿度、窗户启闭状态、PM2.5、PM10、人员密度区二氧化碳浓度等监测。对设备运行、实时能耗及综合能耗进行集中监测和控制，保证系统合理运行，节约能源。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综改区建设管理部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4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潇河国际会展中心项目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山西潇河国际会展中心有限公司、山西省建筑设计研究院有限公司、山西五建集团有限公司、山西六建集团有限公司、山西八建集团有限公司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二星级绿色建筑</w:t>
            </w:r>
          </w:p>
        </w:tc>
        <w:tc>
          <w:tcPr>
            <w:tcW w:w="9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1、光储直柔技术。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北侧组团屋顶设光伏发电系统，安装面积为68607平方米。装机容量约为6.3MW，年平均发电量预计为6,785,240度电。用于地下车库的电动汽车充电、地下车库照明等。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2、清洁供暖技术。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设计中深层无干扰地热井3孔，设计深度2600m，设计井底温度75℃，预计供热量1500kw，用于区域内供暖。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3、5G+智慧建筑。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智能会展管理系统：结合5G互联网、物联网、人工智能、大数据和云计算技术，通过软硬件，提供路线语音导航、展会周边配套、展商电子名录、企业宣传及企业产品同步展示、会议全景直播、站上展位导航、展会登记注册签到、全景展馆游览、展品线上购买、展会数据统计分析等一站式全流程的会展管理服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（2）自动监测及管理系统：基于物联网、AI以及云计算等自控系统，对建筑环境、水质、舒适度等进行自动检测、分析与治理。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综改区建设管理部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rPr>
          <w:rFonts w:hint="default" w:ascii="仿宋_GB2312" w:hAnsi="Times New Roman" w:eastAsia="仿宋_GB2312" w:cs="仿宋_GB2312"/>
          <w:kern w:val="2"/>
          <w:sz w:val="32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1OTg2OGRlNjA5YmI4Yjc0OGUzODM1ZGZiY2E0OGEifQ=="/>
  </w:docVars>
  <w:rsids>
    <w:rsidRoot w:val="38A579F0"/>
    <w:rsid w:val="03611357"/>
    <w:rsid w:val="08D67F24"/>
    <w:rsid w:val="1D4C5D58"/>
    <w:rsid w:val="257F27A2"/>
    <w:rsid w:val="289D153E"/>
    <w:rsid w:val="2CB13B85"/>
    <w:rsid w:val="2E000DBA"/>
    <w:rsid w:val="2EAF0853"/>
    <w:rsid w:val="38A579F0"/>
    <w:rsid w:val="44B24FD1"/>
    <w:rsid w:val="4ACC6DEF"/>
    <w:rsid w:val="5287521A"/>
    <w:rsid w:val="55124B31"/>
    <w:rsid w:val="58E27AB8"/>
    <w:rsid w:val="60AF02CE"/>
    <w:rsid w:val="631F064A"/>
    <w:rsid w:val="6553034E"/>
    <w:rsid w:val="67CA3F50"/>
    <w:rsid w:val="6B9B01DE"/>
    <w:rsid w:val="6C4C14D3"/>
    <w:rsid w:val="75B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1"/>
    <w:basedOn w:val="1"/>
    <w:next w:val="1"/>
    <w:qFormat/>
    <w:uiPriority w:val="0"/>
    <w:pPr>
      <w:ind w:left="420" w:leftChars="200"/>
    </w:pPr>
    <w:rPr>
      <w:sz w:val="32"/>
      <w:szCs w:val="32"/>
    </w:rPr>
  </w:style>
  <w:style w:type="paragraph" w:customStyle="1" w:styleId="5">
    <w:name w:val="NormalIndent"/>
    <w:basedOn w:val="1"/>
    <w:qFormat/>
    <w:uiPriority w:val="0"/>
    <w:pPr>
      <w:ind w:firstLine="200" w:firstLineChars="200"/>
      <w:textAlignment w:val="baseline"/>
    </w:pPr>
  </w:style>
  <w:style w:type="character" w:customStyle="1" w:styleId="6">
    <w:name w:val="font5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3623</Words>
  <Characters>4001</Characters>
  <Lines>0</Lines>
  <Paragraphs>0</Paragraphs>
  <TotalTime>3</TotalTime>
  <ScaleCrop>false</ScaleCrop>
  <LinksUpToDate>false</LinksUpToDate>
  <CharactersWithSpaces>4008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2022-04-28T01:41:00Z</dcterms:created>
  <dc:creator>暖若安阳</dc:creator>
  <cp:lastModifiedBy>暖若安阳</cp:lastModifiedBy>
  <cp:lastPrinted>2022-05-30T07:35:00Z</cp:lastPrinted>
  <dcterms:modified xsi:type="dcterms:W3CDTF">2022-06-01T01:33:39Z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69D78AFFFEDF46D294FD0257976B66BC</vt:lpwstr>
  </property>
</Properties>
</file>