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8C" w:rsidRPr="00FB1A8C" w:rsidRDefault="00FB1A8C" w:rsidP="00FB1A8C">
      <w:pPr>
        <w:rPr>
          <w:rFonts w:ascii="仿宋" w:eastAsia="仿宋" w:hAnsi="仿宋"/>
          <w:sz w:val="32"/>
          <w:szCs w:val="32"/>
        </w:rPr>
      </w:pPr>
    </w:p>
    <w:p w:rsidR="00054621" w:rsidRDefault="00054621" w:rsidP="00B775BF">
      <w:pPr>
        <w:jc w:val="center"/>
        <w:rPr>
          <w:rFonts w:ascii="方正小标宋简体" w:eastAsia="方正小标宋简体" w:hAnsi="仿宋"/>
          <w:sz w:val="44"/>
          <w:szCs w:val="44"/>
        </w:rPr>
      </w:pPr>
      <w:r w:rsidRPr="00054621">
        <w:rPr>
          <w:rFonts w:ascii="方正小标宋简体" w:eastAsia="方正小标宋简体" w:hAnsi="仿宋" w:hint="eastAsia"/>
          <w:sz w:val="44"/>
          <w:szCs w:val="44"/>
        </w:rPr>
        <w:t>工程监理企业资质</w:t>
      </w:r>
      <w:r w:rsidR="0033089D">
        <w:rPr>
          <w:rFonts w:ascii="方正小标宋简体" w:eastAsia="方正小标宋简体" w:hAnsi="仿宋" w:hint="eastAsia"/>
          <w:sz w:val="44"/>
          <w:szCs w:val="44"/>
        </w:rPr>
        <w:t>管理规定</w:t>
      </w:r>
    </w:p>
    <w:p w:rsidR="00FB1A8C" w:rsidRPr="00F763F6" w:rsidRDefault="00B775BF" w:rsidP="00B775BF">
      <w:pPr>
        <w:jc w:val="center"/>
        <w:rPr>
          <w:rFonts w:ascii="仿宋" w:eastAsia="仿宋" w:hAnsi="仿宋"/>
          <w:sz w:val="32"/>
          <w:szCs w:val="32"/>
        </w:rPr>
      </w:pPr>
      <w:r w:rsidRPr="00F763F6">
        <w:rPr>
          <w:rFonts w:ascii="仿宋" w:eastAsia="仿宋" w:hAnsi="仿宋" w:hint="eastAsia"/>
          <w:sz w:val="32"/>
          <w:szCs w:val="32"/>
        </w:rPr>
        <w:t>（建设部令第</w:t>
      </w:r>
      <w:r w:rsidR="00054621">
        <w:rPr>
          <w:rFonts w:ascii="仿宋" w:eastAsia="仿宋" w:hAnsi="仿宋" w:hint="eastAsia"/>
          <w:sz w:val="32"/>
          <w:szCs w:val="32"/>
        </w:rPr>
        <w:t>158</w:t>
      </w:r>
      <w:r w:rsidRPr="00F763F6">
        <w:rPr>
          <w:rFonts w:ascii="仿宋" w:eastAsia="仿宋" w:hAnsi="仿宋" w:hint="eastAsia"/>
          <w:sz w:val="32"/>
          <w:szCs w:val="32"/>
        </w:rPr>
        <w:t>号）</w:t>
      </w:r>
    </w:p>
    <w:p w:rsidR="00FC0DA0" w:rsidRPr="00F51FA2" w:rsidRDefault="00FC0DA0" w:rsidP="00FC0DA0">
      <w:pPr>
        <w:rPr>
          <w:rFonts w:ascii="仿宋" w:eastAsia="仿宋" w:hAnsi="仿宋"/>
          <w:sz w:val="32"/>
          <w:szCs w:val="32"/>
        </w:rPr>
      </w:pPr>
    </w:p>
    <w:p w:rsidR="0032125E" w:rsidRDefault="0032125E" w:rsidP="00054621">
      <w:pPr>
        <w:ind w:firstLine="630"/>
        <w:rPr>
          <w:rFonts w:ascii="仿宋" w:eastAsia="仿宋" w:hAnsi="仿宋"/>
          <w:sz w:val="32"/>
          <w:szCs w:val="32"/>
        </w:rPr>
      </w:pPr>
      <w:r w:rsidRPr="0032125E">
        <w:rPr>
          <w:rFonts w:ascii="仿宋" w:eastAsia="仿宋" w:hAnsi="仿宋" w:hint="eastAsia"/>
          <w:sz w:val="32"/>
          <w:szCs w:val="32"/>
        </w:rPr>
        <w:t>工程监理企业资质分为综合资质、专业资质和事务所三个序列。综合资质只设甲级。专业资质原则上分为甲、乙、丙三个级别，并按照工程性质和技术特点划分为14个专业工程类别（附表2）；除房屋建筑、水利水电、公路和市政公用四个专业工程类别设丙级资质外，其它专业工程类别不设丙级资质。事务所不分等级。</w:t>
      </w:r>
    </w:p>
    <w:p w:rsidR="00054621" w:rsidRPr="00054621" w:rsidRDefault="00054621" w:rsidP="00054621">
      <w:pPr>
        <w:ind w:firstLine="630"/>
        <w:rPr>
          <w:rFonts w:ascii="仿宋" w:eastAsia="仿宋" w:hAnsi="仿宋"/>
          <w:b/>
          <w:sz w:val="32"/>
          <w:szCs w:val="32"/>
        </w:rPr>
      </w:pPr>
      <w:r w:rsidRPr="00054621">
        <w:rPr>
          <w:rFonts w:ascii="仿宋" w:eastAsia="仿宋" w:hAnsi="仿宋" w:hint="eastAsia"/>
          <w:b/>
          <w:sz w:val="32"/>
          <w:szCs w:val="32"/>
        </w:rPr>
        <w:t>一、</w:t>
      </w:r>
      <w:r w:rsidR="0032125E">
        <w:rPr>
          <w:rFonts w:ascii="仿宋" w:eastAsia="仿宋" w:hAnsi="仿宋" w:hint="eastAsia"/>
          <w:b/>
          <w:sz w:val="32"/>
          <w:szCs w:val="32"/>
        </w:rPr>
        <w:t>资质标准</w:t>
      </w:r>
    </w:p>
    <w:p w:rsidR="00054621" w:rsidRPr="00054621" w:rsidRDefault="00054621" w:rsidP="00054621">
      <w:pPr>
        <w:ind w:firstLine="630"/>
        <w:rPr>
          <w:rFonts w:ascii="仿宋" w:eastAsia="仿宋" w:hAnsi="仿宋"/>
          <w:b/>
          <w:sz w:val="32"/>
          <w:szCs w:val="32"/>
        </w:rPr>
      </w:pPr>
      <w:r w:rsidRPr="00054621">
        <w:rPr>
          <w:rFonts w:ascii="仿宋" w:eastAsia="仿宋" w:hAnsi="仿宋" w:hint="eastAsia"/>
          <w:b/>
          <w:sz w:val="32"/>
          <w:szCs w:val="32"/>
        </w:rPr>
        <w:t>（一）</w:t>
      </w:r>
      <w:r w:rsidR="0032125E">
        <w:rPr>
          <w:rFonts w:ascii="仿宋" w:eastAsia="仿宋" w:hAnsi="仿宋" w:hint="eastAsia"/>
          <w:b/>
          <w:sz w:val="32"/>
          <w:szCs w:val="32"/>
        </w:rPr>
        <w:t>综合</w:t>
      </w:r>
      <w:r w:rsidRPr="00054621">
        <w:rPr>
          <w:rFonts w:ascii="仿宋" w:eastAsia="仿宋" w:hAnsi="仿宋" w:hint="eastAsia"/>
          <w:b/>
          <w:sz w:val="32"/>
          <w:szCs w:val="32"/>
        </w:rPr>
        <w:t>资质标准：</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1、具有独立法人资格且注册资本不少于600万元。</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2、企业技术负责人应为注册监理工程师，并具有15年以上从事工程建设工作的经历或者具有工程类高级职称。</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3、具有5个以上工程类别的专业甲级工程监理资质。</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4、注册监理工程师不少于60人，注册造价工程师不少于5人，一级注册建造师、一级注册建筑师、一级注册结构工程师或者其它勘察设计注册工程师合计不少于15人次。</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5、企业具有完善的组织结构和质量管理体系，有健全的技术、档案等管理制度。</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6、企业具有必要的工程试验检测设备。</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lastRenderedPageBreak/>
        <w:t xml:space="preserve"> </w:t>
      </w:r>
      <w:r w:rsidRPr="00054621">
        <w:rPr>
          <w:rFonts w:ascii="仿宋" w:eastAsia="仿宋" w:hAnsi="仿宋" w:hint="eastAsia"/>
          <w:sz w:val="32"/>
          <w:szCs w:val="32"/>
        </w:rPr>
        <w:t>7、申请工程监理资质之日前一年内没有本规定第十六条禁止的行为。</w:t>
      </w:r>
    </w:p>
    <w:p w:rsidR="00054621" w:rsidRP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8、申请工程监理资质之日前一年内没有因本企业监理责任造成重大质量事故。</w:t>
      </w:r>
    </w:p>
    <w:p w:rsidR="00054621" w:rsidRDefault="00054621" w:rsidP="00054621">
      <w:pPr>
        <w:ind w:firstLine="630"/>
        <w:rPr>
          <w:rFonts w:ascii="仿宋" w:eastAsia="仿宋" w:hAnsi="仿宋"/>
          <w:sz w:val="32"/>
          <w:szCs w:val="32"/>
        </w:rPr>
      </w:pPr>
      <w:r w:rsidRPr="00054621">
        <w:rPr>
          <w:rFonts w:ascii="仿宋" w:eastAsia="仿宋" w:hAnsi="仿宋"/>
          <w:sz w:val="32"/>
          <w:szCs w:val="32"/>
        </w:rPr>
        <w:t xml:space="preserve"> </w:t>
      </w:r>
      <w:r w:rsidRPr="00054621">
        <w:rPr>
          <w:rFonts w:ascii="仿宋" w:eastAsia="仿宋" w:hAnsi="仿宋" w:hint="eastAsia"/>
          <w:sz w:val="32"/>
          <w:szCs w:val="32"/>
        </w:rPr>
        <w:t>9、申请工程监理资质之日前一年内没有因本企业监理责任发生三级以上工程建设重大安全事故或者发生两起以上四级工程建设安全事故。</w:t>
      </w:r>
    </w:p>
    <w:p w:rsidR="00054621" w:rsidRPr="00054621" w:rsidRDefault="00054621" w:rsidP="00054621">
      <w:pPr>
        <w:ind w:firstLine="630"/>
        <w:rPr>
          <w:rFonts w:ascii="仿宋" w:eastAsia="仿宋" w:hAnsi="仿宋"/>
          <w:b/>
          <w:sz w:val="32"/>
          <w:szCs w:val="32"/>
        </w:rPr>
      </w:pPr>
      <w:r w:rsidRPr="00054621">
        <w:rPr>
          <w:rFonts w:ascii="仿宋" w:eastAsia="仿宋" w:hAnsi="仿宋" w:hint="eastAsia"/>
          <w:b/>
          <w:sz w:val="32"/>
          <w:szCs w:val="32"/>
        </w:rPr>
        <w:t>二、专业资质</w:t>
      </w:r>
      <w:r w:rsidR="0032125E">
        <w:rPr>
          <w:rFonts w:ascii="仿宋" w:eastAsia="仿宋" w:hAnsi="仿宋" w:hint="eastAsia"/>
          <w:b/>
          <w:sz w:val="32"/>
          <w:szCs w:val="32"/>
        </w:rPr>
        <w:t>标准</w:t>
      </w:r>
    </w:p>
    <w:p w:rsidR="0027388E" w:rsidRDefault="00054621" w:rsidP="00A34DCA">
      <w:pPr>
        <w:ind w:firstLine="630"/>
        <w:rPr>
          <w:rFonts w:ascii="仿宋" w:eastAsia="仿宋" w:hAnsi="仿宋"/>
          <w:b/>
          <w:sz w:val="32"/>
          <w:szCs w:val="32"/>
        </w:rPr>
      </w:pPr>
      <w:r w:rsidRPr="00054621">
        <w:rPr>
          <w:rFonts w:ascii="仿宋" w:eastAsia="仿宋" w:hAnsi="仿宋"/>
          <w:b/>
          <w:sz w:val="32"/>
          <w:szCs w:val="32"/>
        </w:rPr>
        <w:t xml:space="preserve"> </w:t>
      </w:r>
      <w:r w:rsidR="00A34DCA">
        <w:rPr>
          <w:rFonts w:ascii="仿宋" w:eastAsia="仿宋" w:hAnsi="仿宋" w:hint="eastAsia"/>
          <w:b/>
          <w:sz w:val="32"/>
          <w:szCs w:val="32"/>
        </w:rPr>
        <w:t>1、</w:t>
      </w:r>
      <w:r w:rsidR="0027388E" w:rsidRPr="00054621">
        <w:rPr>
          <w:rFonts w:ascii="仿宋" w:eastAsia="仿宋" w:hAnsi="仿宋" w:hint="eastAsia"/>
          <w:b/>
          <w:sz w:val="32"/>
          <w:szCs w:val="32"/>
        </w:rPr>
        <w:t>甲级</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（1）具有独立法人资格且注册资本不少于300万元。</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（2）企业技术负责人应为注册监理工程师，并具有15年以上从事工程建设工作的经历或者具有工程类高级职称。</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3）注册监理工程师、注册造价工程师、一级注册建造师、一级注册建筑师、一级注册结构工程师或者其它勘察设计注册工程师合计不少于25人次；其中，相应专业注册监理工程师不少于《专业资质注册监理工程师人数配备表》（附表1）中要求配备的人数，注册造价工程师不少于2人。</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（4）企业近2年内独立监理过3个以上相应专业的二级工程项目，但是，具有甲级设计资质或一级及以上施工总承包资质的企业申请本专业工程类别甲级资质的除外。</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（5）企业具有完善的组织结构和质量管理体系，有健全的技术、档案等管理制度。</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lastRenderedPageBreak/>
        <w:t>（6）企业具有必要的工程试验检测设备。</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（7）申请工程监理资质之日前一年内没有本规定第十六条禁止的行为。</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（8）申请工程监理资质之日前一年内没有因本企业监理责任造成重大质量事故。</w:t>
      </w:r>
    </w:p>
    <w:p w:rsid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（9）申请工程监理资质之日前一年内没有因本企业监理责任发生三级以上工程建设重大安全事故或者发生两起以上四级工程建设安全事故。</w:t>
      </w:r>
    </w:p>
    <w:p w:rsidR="0027388E" w:rsidRDefault="00054621" w:rsidP="00A34DCA">
      <w:pPr>
        <w:ind w:firstLineChars="246" w:firstLine="790"/>
        <w:rPr>
          <w:rFonts w:ascii="仿宋" w:eastAsia="仿宋" w:hAnsi="仿宋"/>
          <w:b/>
          <w:sz w:val="32"/>
          <w:szCs w:val="32"/>
        </w:rPr>
      </w:pPr>
      <w:r w:rsidRPr="00A34DCA">
        <w:rPr>
          <w:rFonts w:ascii="仿宋" w:eastAsia="仿宋" w:hAnsi="仿宋" w:hint="eastAsia"/>
          <w:b/>
          <w:sz w:val="32"/>
          <w:szCs w:val="32"/>
        </w:rPr>
        <w:t>2、乙级</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（1）具有独立法人资格且注册资本不少于100万元。</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（2）企业技术负责人应为注册监理工程师，并具有10年以上从事工程建设工作的经历。</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3）注册监理工程师、注册造价工程师、一级注册建造师、一级注册建筑师、一级注册结构工程师或者其它勘察设计注册工程师合计不少于15人次。其中，相应专业注册监理工程师不少于《专业资质注册监理工程师人数配备表》（附表1）中要求配备的人数，注册造价工程师不少于1人。</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（4）有较完善的组织结构和质量管理体系，有技术、档案等管理制度。</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（5）有必要的工程试验检测设备。</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（6）申请工程监理资质之日前一年内没有本规定第十六条禁止的行为。</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lastRenderedPageBreak/>
        <w:t>（7）申请工程监理资质之日前一年内没有因本企业监理责任造成重大质量事故。</w:t>
      </w:r>
    </w:p>
    <w:p w:rsid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（8）申请工程监理资质之日前一年内没有因本企业监理责任发生三级以上工程建设重大安全事故或者发生两起以上四级工程建设安全事故。</w:t>
      </w:r>
    </w:p>
    <w:p w:rsidR="0032125E" w:rsidRDefault="00054621" w:rsidP="0032125E">
      <w:pPr>
        <w:ind w:firstLine="630"/>
        <w:rPr>
          <w:rFonts w:ascii="仿宋" w:eastAsia="仿宋" w:hAnsi="仿宋"/>
          <w:b/>
          <w:sz w:val="32"/>
          <w:szCs w:val="32"/>
        </w:rPr>
      </w:pPr>
      <w:r w:rsidRPr="00F17463">
        <w:rPr>
          <w:rFonts w:ascii="仿宋" w:eastAsia="仿宋" w:hAnsi="仿宋" w:hint="eastAsia"/>
          <w:b/>
          <w:sz w:val="32"/>
          <w:szCs w:val="32"/>
        </w:rPr>
        <w:t>3、丙级</w:t>
      </w:r>
    </w:p>
    <w:p w:rsidR="00054621" w:rsidRPr="0032125E" w:rsidRDefault="00054621" w:rsidP="0032125E">
      <w:pPr>
        <w:ind w:firstLine="630"/>
        <w:rPr>
          <w:rFonts w:ascii="仿宋" w:eastAsia="仿宋" w:hAnsi="仿宋"/>
          <w:b/>
          <w:sz w:val="32"/>
          <w:szCs w:val="32"/>
        </w:rPr>
      </w:pPr>
      <w:r w:rsidRPr="00054621">
        <w:rPr>
          <w:rFonts w:ascii="仿宋" w:eastAsia="仿宋" w:hAnsi="仿宋" w:hint="eastAsia"/>
          <w:sz w:val="32"/>
          <w:szCs w:val="32"/>
        </w:rPr>
        <w:t>（1）具有独立法人资格且注册资本不少于50万元。</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（2）企业技术负责人应为注册监理工程师，并具有8年以上从事工程建设工作的经历。</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（3）相应专业的注册监理工程师不少于《专业资质注册监理工程师人数配备表》（附表1）中要求配备的人数。</w:t>
      </w:r>
    </w:p>
    <w:p w:rsidR="0032125E" w:rsidRDefault="00054621" w:rsidP="0032125E">
      <w:pPr>
        <w:ind w:firstLine="630"/>
        <w:rPr>
          <w:rFonts w:ascii="仿宋" w:eastAsia="仿宋" w:hAnsi="仿宋"/>
          <w:sz w:val="32"/>
          <w:szCs w:val="32"/>
        </w:rPr>
      </w:pPr>
      <w:r w:rsidRPr="00054621">
        <w:rPr>
          <w:rFonts w:ascii="仿宋" w:eastAsia="仿宋" w:hAnsi="仿宋" w:hint="eastAsia"/>
          <w:sz w:val="32"/>
          <w:szCs w:val="32"/>
        </w:rPr>
        <w:t>（4）有必要的质量管理体系和规章制度。</w:t>
      </w:r>
    </w:p>
    <w:p w:rsidR="00054621" w:rsidRDefault="00054621" w:rsidP="0032125E">
      <w:pPr>
        <w:ind w:firstLine="630"/>
        <w:rPr>
          <w:rFonts w:ascii="仿宋" w:eastAsia="仿宋" w:hAnsi="仿宋"/>
          <w:sz w:val="32"/>
          <w:szCs w:val="32"/>
        </w:rPr>
      </w:pPr>
      <w:r w:rsidRPr="00054621">
        <w:rPr>
          <w:rFonts w:ascii="仿宋" w:eastAsia="仿宋" w:hAnsi="仿宋" w:hint="eastAsia"/>
          <w:sz w:val="32"/>
          <w:szCs w:val="32"/>
        </w:rPr>
        <w:t>（5）有必要的工程试验检测设备。</w:t>
      </w:r>
    </w:p>
    <w:p w:rsidR="0032125E" w:rsidRDefault="00054621" w:rsidP="0032125E">
      <w:pPr>
        <w:ind w:firstLine="630"/>
        <w:rPr>
          <w:rFonts w:ascii="仿宋" w:eastAsia="仿宋" w:hAnsi="仿宋"/>
          <w:b/>
          <w:sz w:val="32"/>
          <w:szCs w:val="32"/>
        </w:rPr>
      </w:pPr>
      <w:r w:rsidRPr="0027388E">
        <w:rPr>
          <w:rFonts w:ascii="仿宋" w:eastAsia="仿宋" w:hAnsi="仿宋" w:hint="eastAsia"/>
          <w:b/>
          <w:sz w:val="32"/>
          <w:szCs w:val="32"/>
        </w:rPr>
        <w:t>三</w:t>
      </w:r>
      <w:r w:rsidR="0027388E" w:rsidRPr="0027388E">
        <w:rPr>
          <w:rFonts w:ascii="仿宋" w:eastAsia="仿宋" w:hAnsi="仿宋" w:hint="eastAsia"/>
          <w:b/>
          <w:sz w:val="32"/>
          <w:szCs w:val="32"/>
        </w:rPr>
        <w:t>、</w:t>
      </w:r>
      <w:r w:rsidRPr="0027388E">
        <w:rPr>
          <w:rFonts w:ascii="仿宋" w:eastAsia="仿宋" w:hAnsi="仿宋" w:hint="eastAsia"/>
          <w:b/>
          <w:sz w:val="32"/>
          <w:szCs w:val="32"/>
        </w:rPr>
        <w:t>事务所资质</w:t>
      </w:r>
      <w:r w:rsidR="0032125E">
        <w:rPr>
          <w:rFonts w:ascii="仿宋" w:eastAsia="仿宋" w:hAnsi="仿宋" w:hint="eastAsia"/>
          <w:b/>
          <w:sz w:val="32"/>
          <w:szCs w:val="32"/>
        </w:rPr>
        <w:t>标准</w:t>
      </w:r>
    </w:p>
    <w:p w:rsidR="00054621" w:rsidRPr="0032125E" w:rsidRDefault="00054621" w:rsidP="0032125E">
      <w:pPr>
        <w:ind w:firstLine="630"/>
        <w:rPr>
          <w:rFonts w:ascii="仿宋" w:eastAsia="仿宋" w:hAnsi="仿宋"/>
          <w:b/>
          <w:sz w:val="32"/>
          <w:szCs w:val="32"/>
        </w:rPr>
      </w:pPr>
      <w:r w:rsidRPr="00054621">
        <w:rPr>
          <w:rFonts w:ascii="仿宋" w:eastAsia="仿宋" w:hAnsi="仿宋" w:hint="eastAsia"/>
          <w:sz w:val="32"/>
          <w:szCs w:val="32"/>
        </w:rPr>
        <w:t>1、取得合伙企业营业执照，具有书面合作协议书。</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2、合伙人中有3名以上注册监理工程师，合伙人均有5年以上从事建设工程监理的工作经历。</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3、有固定的工作场所。</w:t>
      </w:r>
    </w:p>
    <w:p w:rsidR="00054621" w:rsidRPr="00054621" w:rsidRDefault="00054621" w:rsidP="00054621">
      <w:pPr>
        <w:ind w:firstLine="630"/>
        <w:rPr>
          <w:rFonts w:ascii="仿宋" w:eastAsia="仿宋" w:hAnsi="仿宋"/>
          <w:sz w:val="32"/>
          <w:szCs w:val="32"/>
        </w:rPr>
      </w:pPr>
      <w:r w:rsidRPr="00054621">
        <w:rPr>
          <w:rFonts w:ascii="仿宋" w:eastAsia="仿宋" w:hAnsi="仿宋" w:hint="eastAsia"/>
          <w:sz w:val="32"/>
          <w:szCs w:val="32"/>
        </w:rPr>
        <w:t>4、有必要的质量管理体系和规章制度。</w:t>
      </w:r>
    </w:p>
    <w:p w:rsidR="00054621" w:rsidRPr="0032125E" w:rsidRDefault="00054621" w:rsidP="00054621">
      <w:pPr>
        <w:ind w:firstLine="630"/>
        <w:rPr>
          <w:rFonts w:ascii="仿宋" w:eastAsia="仿宋" w:hAnsi="仿宋"/>
          <w:sz w:val="32"/>
          <w:szCs w:val="32"/>
        </w:rPr>
      </w:pPr>
      <w:r w:rsidRPr="0032125E">
        <w:rPr>
          <w:rFonts w:ascii="仿宋" w:eastAsia="仿宋" w:hAnsi="仿宋" w:hint="eastAsia"/>
          <w:sz w:val="32"/>
          <w:szCs w:val="32"/>
        </w:rPr>
        <w:t>5、有必要的工程试验检测设备。</w:t>
      </w:r>
    </w:p>
    <w:p w:rsidR="0032125E" w:rsidRDefault="0032125E" w:rsidP="0032125E">
      <w:pPr>
        <w:widowControl/>
        <w:spacing w:line="360" w:lineRule="atLeast"/>
        <w:ind w:firstLineChars="200" w:firstLine="643"/>
        <w:jc w:val="left"/>
        <w:rPr>
          <w:rFonts w:ascii="仿宋" w:eastAsia="仿宋" w:hAnsi="仿宋" w:cs="宋体"/>
          <w:b/>
          <w:color w:val="000000"/>
          <w:kern w:val="0"/>
          <w:sz w:val="32"/>
          <w:szCs w:val="32"/>
        </w:rPr>
      </w:pPr>
      <w:r w:rsidRPr="0032125E">
        <w:rPr>
          <w:rFonts w:ascii="仿宋" w:eastAsia="仿宋" w:hAnsi="仿宋" w:cs="宋体" w:hint="eastAsia"/>
          <w:b/>
          <w:color w:val="000000"/>
          <w:kern w:val="0"/>
          <w:sz w:val="32"/>
          <w:szCs w:val="32"/>
        </w:rPr>
        <w:t>二、业务范围</w:t>
      </w:r>
    </w:p>
    <w:p w:rsidR="0032125E" w:rsidRPr="0032125E" w:rsidRDefault="0032125E" w:rsidP="0032125E">
      <w:pPr>
        <w:widowControl/>
        <w:spacing w:line="360" w:lineRule="atLeast"/>
        <w:ind w:firstLineChars="200" w:firstLine="643"/>
        <w:jc w:val="left"/>
        <w:rPr>
          <w:rFonts w:ascii="仿宋" w:eastAsia="仿宋" w:hAnsi="仿宋" w:cs="宋体"/>
          <w:b/>
          <w:color w:val="000000"/>
          <w:kern w:val="0"/>
          <w:sz w:val="32"/>
          <w:szCs w:val="32"/>
        </w:rPr>
      </w:pPr>
      <w:r w:rsidRPr="0032125E">
        <w:rPr>
          <w:rFonts w:ascii="仿宋" w:eastAsia="仿宋" w:hAnsi="仿宋" w:cs="宋体" w:hint="eastAsia"/>
          <w:b/>
          <w:color w:val="000000"/>
          <w:kern w:val="0"/>
          <w:sz w:val="32"/>
          <w:szCs w:val="32"/>
        </w:rPr>
        <w:t>（一）综合资质</w:t>
      </w:r>
    </w:p>
    <w:p w:rsidR="0032125E" w:rsidRDefault="0032125E" w:rsidP="0032125E">
      <w:pPr>
        <w:widowControl/>
        <w:spacing w:line="360" w:lineRule="atLeast"/>
        <w:jc w:val="left"/>
        <w:rPr>
          <w:rFonts w:ascii="仿宋" w:eastAsia="仿宋" w:hAnsi="仿宋" w:cs="宋体"/>
          <w:color w:val="000000"/>
          <w:kern w:val="0"/>
          <w:sz w:val="32"/>
          <w:szCs w:val="32"/>
        </w:rPr>
      </w:pPr>
      <w:r w:rsidRPr="0032125E">
        <w:rPr>
          <w:rFonts w:ascii="仿宋" w:eastAsia="仿宋" w:hAnsi="仿宋" w:cs="宋体" w:hint="eastAsia"/>
          <w:color w:val="000000"/>
          <w:kern w:val="0"/>
          <w:sz w:val="32"/>
          <w:szCs w:val="32"/>
        </w:rPr>
        <w:lastRenderedPageBreak/>
        <w:t>可以承担所有专业工程类别建设工程项目的工程监理业务，以及建设工程的项目管理、技术咨询等相关服务。</w:t>
      </w:r>
    </w:p>
    <w:p w:rsidR="0032125E" w:rsidRPr="0032125E" w:rsidRDefault="0032125E" w:rsidP="0032125E">
      <w:pPr>
        <w:widowControl/>
        <w:spacing w:line="360" w:lineRule="atLeast"/>
        <w:ind w:firstLineChars="200" w:firstLine="643"/>
        <w:jc w:val="left"/>
        <w:rPr>
          <w:rFonts w:ascii="仿宋" w:eastAsia="仿宋" w:hAnsi="仿宋" w:cs="宋体"/>
          <w:b/>
          <w:color w:val="000000"/>
          <w:kern w:val="0"/>
          <w:sz w:val="32"/>
          <w:szCs w:val="32"/>
        </w:rPr>
      </w:pPr>
      <w:r w:rsidRPr="0032125E">
        <w:rPr>
          <w:rFonts w:ascii="仿宋" w:eastAsia="仿宋" w:hAnsi="仿宋" w:cs="宋体" w:hint="eastAsia"/>
          <w:b/>
          <w:color w:val="000000"/>
          <w:kern w:val="0"/>
          <w:sz w:val="32"/>
          <w:szCs w:val="32"/>
        </w:rPr>
        <w:t>（二）专业甲级资质</w:t>
      </w:r>
    </w:p>
    <w:p w:rsidR="0032125E" w:rsidRPr="0032125E" w:rsidRDefault="0032125E" w:rsidP="0032125E">
      <w:pPr>
        <w:widowControl/>
        <w:spacing w:line="360" w:lineRule="atLeast"/>
        <w:ind w:firstLineChars="200" w:firstLine="640"/>
        <w:jc w:val="left"/>
        <w:rPr>
          <w:rFonts w:ascii="仿宋" w:eastAsia="仿宋" w:hAnsi="仿宋" w:cs="宋体"/>
          <w:color w:val="000000"/>
          <w:kern w:val="0"/>
          <w:sz w:val="32"/>
          <w:szCs w:val="32"/>
        </w:rPr>
      </w:pPr>
      <w:r w:rsidRPr="0032125E">
        <w:rPr>
          <w:rFonts w:ascii="仿宋" w:eastAsia="仿宋" w:hAnsi="仿宋" w:cs="宋体" w:hint="eastAsia"/>
          <w:color w:val="000000"/>
          <w:kern w:val="0"/>
          <w:sz w:val="32"/>
          <w:szCs w:val="32"/>
        </w:rPr>
        <w:t>可承担相应专业工程类别建设工程项目的工程监理业务(见附表2)，以及相应类别建设程的项目管理、技术咨询等相关服务。</w:t>
      </w:r>
    </w:p>
    <w:p w:rsidR="0032125E" w:rsidRPr="0032125E" w:rsidRDefault="0032125E" w:rsidP="0032125E">
      <w:pPr>
        <w:widowControl/>
        <w:spacing w:line="360" w:lineRule="atLeast"/>
        <w:ind w:firstLineChars="200" w:firstLine="643"/>
        <w:jc w:val="left"/>
        <w:rPr>
          <w:rFonts w:ascii="仿宋" w:eastAsia="仿宋" w:hAnsi="仿宋" w:cs="宋体"/>
          <w:b/>
          <w:color w:val="000000"/>
          <w:kern w:val="0"/>
          <w:sz w:val="32"/>
          <w:szCs w:val="32"/>
        </w:rPr>
      </w:pPr>
      <w:r w:rsidRPr="0032125E">
        <w:rPr>
          <w:rFonts w:ascii="仿宋" w:eastAsia="仿宋" w:hAnsi="仿宋" w:cs="宋体" w:hint="eastAsia"/>
          <w:b/>
          <w:color w:val="000000"/>
          <w:kern w:val="0"/>
          <w:sz w:val="32"/>
          <w:szCs w:val="32"/>
        </w:rPr>
        <w:t>（三）专业乙级资质</w:t>
      </w:r>
    </w:p>
    <w:p w:rsidR="0032125E" w:rsidRPr="0032125E" w:rsidRDefault="0032125E" w:rsidP="0032125E">
      <w:pPr>
        <w:widowControl/>
        <w:spacing w:line="360" w:lineRule="atLeast"/>
        <w:ind w:firstLineChars="200" w:firstLine="640"/>
        <w:jc w:val="left"/>
        <w:rPr>
          <w:rFonts w:ascii="仿宋" w:eastAsia="仿宋" w:hAnsi="仿宋" w:cs="宋体"/>
          <w:color w:val="000000"/>
          <w:kern w:val="0"/>
          <w:sz w:val="32"/>
          <w:szCs w:val="32"/>
        </w:rPr>
      </w:pPr>
      <w:r w:rsidRPr="0032125E">
        <w:rPr>
          <w:rFonts w:ascii="仿宋" w:eastAsia="仿宋" w:hAnsi="仿宋" w:cs="宋体" w:hint="eastAsia"/>
          <w:color w:val="000000"/>
          <w:kern w:val="0"/>
          <w:sz w:val="32"/>
          <w:szCs w:val="32"/>
        </w:rPr>
        <w:t>可承担相应专业工程类别二级(含二级)以下建设工程项目的工程监理业务(见附表2)，以及相应类别和级别建设工程的项目管理、技术咨询等相关服务。</w:t>
      </w:r>
    </w:p>
    <w:p w:rsidR="0032125E" w:rsidRPr="0032125E" w:rsidRDefault="0032125E" w:rsidP="0032125E">
      <w:pPr>
        <w:widowControl/>
        <w:spacing w:line="360" w:lineRule="atLeast"/>
        <w:ind w:firstLineChars="200" w:firstLine="643"/>
        <w:jc w:val="left"/>
        <w:rPr>
          <w:rFonts w:ascii="仿宋" w:eastAsia="仿宋" w:hAnsi="仿宋" w:cs="宋体"/>
          <w:b/>
          <w:color w:val="000000"/>
          <w:kern w:val="0"/>
          <w:sz w:val="32"/>
          <w:szCs w:val="32"/>
        </w:rPr>
      </w:pPr>
      <w:r w:rsidRPr="0032125E">
        <w:rPr>
          <w:rFonts w:ascii="仿宋" w:eastAsia="仿宋" w:hAnsi="仿宋" w:cs="宋体" w:hint="eastAsia"/>
          <w:b/>
          <w:color w:val="000000"/>
          <w:kern w:val="0"/>
          <w:sz w:val="32"/>
          <w:szCs w:val="32"/>
        </w:rPr>
        <w:t>（四）专业丙级资质</w:t>
      </w:r>
    </w:p>
    <w:p w:rsidR="0032125E" w:rsidRPr="0032125E" w:rsidRDefault="0032125E" w:rsidP="0032125E">
      <w:pPr>
        <w:widowControl/>
        <w:spacing w:line="360" w:lineRule="atLeast"/>
        <w:ind w:firstLineChars="200" w:firstLine="640"/>
        <w:jc w:val="left"/>
        <w:rPr>
          <w:rFonts w:ascii="仿宋" w:eastAsia="仿宋" w:hAnsi="仿宋" w:cs="宋体"/>
          <w:color w:val="000000"/>
          <w:kern w:val="0"/>
          <w:sz w:val="32"/>
          <w:szCs w:val="32"/>
        </w:rPr>
      </w:pPr>
      <w:r w:rsidRPr="0032125E">
        <w:rPr>
          <w:rFonts w:ascii="仿宋" w:eastAsia="仿宋" w:hAnsi="仿宋" w:cs="宋体" w:hint="eastAsia"/>
          <w:color w:val="000000"/>
          <w:kern w:val="0"/>
          <w:sz w:val="32"/>
          <w:szCs w:val="32"/>
        </w:rPr>
        <w:t>可承担相应专业工程类别三级建设工程项目的工程监理业务(见附表2)，以及相应类别和级别建设工程的项目管理、技术咨询等相关服务。</w:t>
      </w:r>
    </w:p>
    <w:p w:rsidR="0032125E" w:rsidRPr="0032125E" w:rsidRDefault="0032125E" w:rsidP="0032125E">
      <w:pPr>
        <w:widowControl/>
        <w:spacing w:line="360" w:lineRule="atLeast"/>
        <w:ind w:firstLineChars="200" w:firstLine="643"/>
        <w:jc w:val="left"/>
        <w:rPr>
          <w:rFonts w:ascii="仿宋" w:eastAsia="仿宋" w:hAnsi="仿宋" w:cs="宋体"/>
          <w:b/>
          <w:color w:val="000000"/>
          <w:kern w:val="0"/>
          <w:sz w:val="32"/>
          <w:szCs w:val="32"/>
        </w:rPr>
      </w:pPr>
      <w:r w:rsidRPr="0032125E">
        <w:rPr>
          <w:rFonts w:ascii="仿宋" w:eastAsia="仿宋" w:hAnsi="仿宋" w:cs="宋体" w:hint="eastAsia"/>
          <w:b/>
          <w:color w:val="000000"/>
          <w:kern w:val="0"/>
          <w:sz w:val="32"/>
          <w:szCs w:val="32"/>
        </w:rPr>
        <w:t>（五）事务所资质</w:t>
      </w:r>
    </w:p>
    <w:p w:rsidR="0032125E" w:rsidRPr="0032125E" w:rsidRDefault="0032125E" w:rsidP="0032125E">
      <w:pPr>
        <w:widowControl/>
        <w:spacing w:line="360" w:lineRule="atLeast"/>
        <w:ind w:firstLineChars="200" w:firstLine="640"/>
        <w:jc w:val="left"/>
        <w:rPr>
          <w:rFonts w:ascii="仿宋" w:eastAsia="仿宋" w:hAnsi="仿宋" w:cs="宋体"/>
          <w:color w:val="000000"/>
          <w:kern w:val="0"/>
          <w:sz w:val="32"/>
          <w:szCs w:val="32"/>
        </w:rPr>
      </w:pPr>
      <w:r w:rsidRPr="0032125E">
        <w:rPr>
          <w:rFonts w:ascii="仿宋" w:eastAsia="仿宋" w:hAnsi="仿宋" w:cs="宋体" w:hint="eastAsia"/>
          <w:color w:val="000000"/>
          <w:kern w:val="0"/>
          <w:sz w:val="32"/>
          <w:szCs w:val="32"/>
        </w:rPr>
        <w:t>可承担三级建设工程项目的工程监理业务(见附表2)，以及相应类别和级别建设工程项目管理、技术咨询等相关服务。但是，国家规定必须实行强制监理的建设工程监理业务除外。</w:t>
      </w:r>
    </w:p>
    <w:p w:rsidR="0032125E" w:rsidRDefault="0032125E" w:rsidP="0027388E">
      <w:pPr>
        <w:widowControl/>
        <w:spacing w:line="360" w:lineRule="atLeast"/>
        <w:jc w:val="left"/>
        <w:rPr>
          <w:rFonts w:asciiTheme="minorEastAsia" w:hAnsiTheme="minorEastAsia" w:cs="宋体"/>
          <w:b/>
          <w:color w:val="000000"/>
          <w:kern w:val="0"/>
          <w:szCs w:val="21"/>
        </w:rPr>
      </w:pPr>
    </w:p>
    <w:p w:rsidR="0032125E" w:rsidRDefault="0032125E" w:rsidP="0027388E">
      <w:pPr>
        <w:widowControl/>
        <w:spacing w:line="360" w:lineRule="atLeast"/>
        <w:jc w:val="left"/>
        <w:rPr>
          <w:rFonts w:asciiTheme="minorEastAsia" w:hAnsiTheme="minorEastAsia" w:cs="宋体"/>
          <w:b/>
          <w:color w:val="000000"/>
          <w:kern w:val="0"/>
          <w:szCs w:val="21"/>
        </w:rPr>
      </w:pPr>
    </w:p>
    <w:p w:rsidR="0032125E" w:rsidRDefault="0032125E" w:rsidP="0027388E">
      <w:pPr>
        <w:widowControl/>
        <w:spacing w:line="360" w:lineRule="atLeast"/>
        <w:jc w:val="left"/>
        <w:rPr>
          <w:rFonts w:asciiTheme="minorEastAsia" w:hAnsiTheme="minorEastAsia" w:cs="宋体"/>
          <w:b/>
          <w:color w:val="000000"/>
          <w:kern w:val="0"/>
          <w:szCs w:val="21"/>
        </w:rPr>
      </w:pPr>
    </w:p>
    <w:p w:rsidR="0032125E" w:rsidRDefault="0032125E" w:rsidP="0027388E">
      <w:pPr>
        <w:widowControl/>
        <w:spacing w:line="360" w:lineRule="atLeast"/>
        <w:jc w:val="left"/>
        <w:rPr>
          <w:rFonts w:asciiTheme="minorEastAsia" w:hAnsiTheme="minorEastAsia" w:cs="宋体"/>
          <w:b/>
          <w:color w:val="000000"/>
          <w:kern w:val="0"/>
          <w:szCs w:val="21"/>
        </w:rPr>
      </w:pPr>
    </w:p>
    <w:p w:rsidR="00923FBC" w:rsidRPr="00923FBC" w:rsidRDefault="00923FBC" w:rsidP="00923FBC">
      <w:pPr>
        <w:widowControl/>
        <w:spacing w:before="100" w:beforeAutospacing="1" w:after="100" w:afterAutospacing="1" w:line="432" w:lineRule="auto"/>
        <w:jc w:val="left"/>
        <w:rPr>
          <w:rFonts w:ascii="宋体" w:eastAsia="宋体" w:hAnsi="宋体" w:cs="宋体"/>
          <w:color w:val="000000"/>
          <w:kern w:val="0"/>
          <w:sz w:val="24"/>
          <w:szCs w:val="24"/>
        </w:rPr>
      </w:pPr>
      <w:r w:rsidRPr="00923FBC">
        <w:rPr>
          <w:rFonts w:ascii="宋体" w:eastAsia="宋体" w:hAnsi="宋体" w:cs="宋体" w:hint="eastAsia"/>
          <w:b/>
          <w:bCs/>
          <w:color w:val="000000"/>
          <w:kern w:val="0"/>
          <w:sz w:val="24"/>
          <w:szCs w:val="24"/>
        </w:rPr>
        <w:lastRenderedPageBreak/>
        <w:t>附表1</w:t>
      </w:r>
    </w:p>
    <w:p w:rsidR="00923FBC" w:rsidRPr="00923FBC" w:rsidRDefault="00923FBC" w:rsidP="00923FBC">
      <w:pPr>
        <w:widowControl/>
        <w:spacing w:before="100" w:beforeAutospacing="1" w:after="100" w:afterAutospacing="1" w:line="432" w:lineRule="auto"/>
        <w:jc w:val="center"/>
        <w:rPr>
          <w:rFonts w:ascii="宋体" w:eastAsia="宋体" w:hAnsi="宋体" w:cs="宋体" w:hint="eastAsia"/>
          <w:color w:val="000000"/>
          <w:kern w:val="0"/>
          <w:sz w:val="32"/>
          <w:szCs w:val="32"/>
        </w:rPr>
      </w:pPr>
      <w:r w:rsidRPr="00923FBC">
        <w:rPr>
          <w:rFonts w:ascii="宋体" w:eastAsia="宋体" w:hAnsi="宋体" w:cs="宋体" w:hint="eastAsia"/>
          <w:b/>
          <w:bCs/>
          <w:color w:val="000000"/>
          <w:kern w:val="0"/>
          <w:sz w:val="32"/>
          <w:szCs w:val="32"/>
        </w:rPr>
        <w:t>专业资质注册监理工程师人数配备表</w:t>
      </w:r>
    </w:p>
    <w:p w:rsidR="00923FBC" w:rsidRPr="00923FBC" w:rsidRDefault="00923FBC" w:rsidP="00923FBC">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923FBC">
        <w:rPr>
          <w:rFonts w:ascii="宋体" w:eastAsia="宋体" w:hAnsi="宋体" w:cs="宋体" w:hint="eastAsia"/>
          <w:color w:val="000000"/>
          <w:kern w:val="0"/>
          <w:sz w:val="24"/>
          <w:szCs w:val="24"/>
        </w:rPr>
        <w:t xml:space="preserve">　　　　　　　　　　　　　　　　　　　　　　　　　　　　　　（单位：人） </w:t>
      </w:r>
    </w:p>
    <w:tbl>
      <w:tblPr>
        <w:tblW w:w="9000" w:type="dxa"/>
        <w:jc w:val="center"/>
        <w:tblCellSpacing w:w="0" w:type="dxa"/>
        <w:tblBorders>
          <w:top w:val="outset" w:sz="6" w:space="0" w:color="DCDCDC"/>
          <w:left w:val="outset" w:sz="6" w:space="0" w:color="DCDCDC"/>
          <w:bottom w:val="outset" w:sz="6" w:space="0" w:color="DCDCDC"/>
          <w:right w:val="outset" w:sz="6" w:space="0" w:color="DCDCDC"/>
        </w:tblBorders>
        <w:shd w:val="clear" w:color="auto" w:fill="FFFFFF"/>
        <w:tblCellMar>
          <w:top w:w="30" w:type="dxa"/>
          <w:left w:w="30" w:type="dxa"/>
          <w:bottom w:w="30" w:type="dxa"/>
          <w:right w:w="30" w:type="dxa"/>
        </w:tblCellMar>
        <w:tblLook w:val="04A0"/>
      </w:tblPr>
      <w:tblGrid>
        <w:gridCol w:w="1275"/>
        <w:gridCol w:w="3900"/>
        <w:gridCol w:w="1275"/>
        <w:gridCol w:w="1275"/>
        <w:gridCol w:w="1275"/>
      </w:tblGrid>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序号</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工程类别</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甲级</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乙级</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丙级</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房屋建筑工程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5</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冶炼工程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3</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矿山工程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4</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化工石油工程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水利水电工程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5</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6</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电力工程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7</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农林工程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8</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铁路工程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23</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14</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9</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公路工程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5</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港口与航道工程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11</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航天航空工程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通信工程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20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12</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13</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市政公用工程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5</w:t>
            </w:r>
          </w:p>
        </w:tc>
      </w:tr>
      <w:tr w:rsidR="00923FBC" w:rsidRPr="00923FBC">
        <w:trPr>
          <w:tblCellSpacing w:w="0" w:type="dxa"/>
          <w:jc w:val="center"/>
        </w:trPr>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14</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left"/>
              <w:rPr>
                <w:rFonts w:ascii="宋体" w:eastAsia="宋体" w:hAnsi="宋体" w:cs="宋体"/>
                <w:color w:val="000000"/>
                <w:kern w:val="0"/>
                <w:szCs w:val="21"/>
              </w:rPr>
            </w:pPr>
            <w:r w:rsidRPr="00923FBC">
              <w:rPr>
                <w:rFonts w:ascii="宋体" w:eastAsia="宋体" w:hAnsi="宋体" w:cs="宋体"/>
                <w:color w:val="000000"/>
                <w:kern w:val="0"/>
                <w:szCs w:val="21"/>
              </w:rPr>
              <w:t>机电安装工程</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15</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10</w:t>
            </w:r>
          </w:p>
        </w:tc>
        <w:tc>
          <w:tcPr>
            <w:tcW w:w="0" w:type="auto"/>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923FBC" w:rsidRPr="00923FBC" w:rsidRDefault="00923FBC" w:rsidP="00923FBC">
            <w:pPr>
              <w:widowControl/>
              <w:jc w:val="center"/>
              <w:rPr>
                <w:rFonts w:ascii="宋体" w:eastAsia="宋体" w:hAnsi="宋体" w:cs="宋体"/>
                <w:color w:val="000000"/>
                <w:kern w:val="0"/>
                <w:szCs w:val="21"/>
              </w:rPr>
            </w:pPr>
            <w:r w:rsidRPr="00923FBC">
              <w:rPr>
                <w:rFonts w:ascii="宋体" w:eastAsia="宋体" w:hAnsi="宋体" w:cs="宋体"/>
                <w:color w:val="000000"/>
                <w:kern w:val="0"/>
                <w:szCs w:val="21"/>
              </w:rPr>
              <w:t xml:space="preserve">　</w:t>
            </w:r>
          </w:p>
        </w:tc>
      </w:tr>
    </w:tbl>
    <w:p w:rsidR="0032125E" w:rsidRPr="00923FBC" w:rsidRDefault="00923FBC" w:rsidP="0027388E">
      <w:pPr>
        <w:widowControl/>
        <w:spacing w:line="360" w:lineRule="atLeast"/>
        <w:jc w:val="left"/>
        <w:rPr>
          <w:rFonts w:asciiTheme="minorEastAsia" w:hAnsiTheme="minorEastAsia" w:cs="宋体"/>
          <w:b/>
          <w:color w:val="000000"/>
          <w:kern w:val="0"/>
          <w:sz w:val="28"/>
          <w:szCs w:val="28"/>
        </w:rPr>
      </w:pPr>
      <w:r w:rsidRPr="00923FBC">
        <w:rPr>
          <w:rFonts w:ascii="宋体" w:eastAsia="宋体" w:hAnsi="宋体" w:cs="宋体" w:hint="eastAsia"/>
          <w:color w:val="000000"/>
          <w:kern w:val="0"/>
          <w:szCs w:val="21"/>
        </w:rPr>
        <w:t xml:space="preserve">　</w:t>
      </w:r>
      <w:r w:rsidRPr="00923FBC">
        <w:rPr>
          <w:rFonts w:ascii="宋体" w:eastAsia="宋体" w:hAnsi="宋体" w:cs="宋体" w:hint="eastAsia"/>
          <w:color w:val="000000"/>
          <w:kern w:val="0"/>
          <w:sz w:val="28"/>
          <w:szCs w:val="28"/>
        </w:rPr>
        <w:t xml:space="preserve">　注：表中各专业资质注册监理工程师人数配备是指企业取得本专业工程类别注册的注册监理工程师人数。</w:t>
      </w: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923FBC" w:rsidRDefault="00923FBC" w:rsidP="0027388E">
      <w:pPr>
        <w:widowControl/>
        <w:spacing w:line="360" w:lineRule="atLeast"/>
        <w:jc w:val="left"/>
        <w:rPr>
          <w:rFonts w:asciiTheme="minorEastAsia" w:hAnsiTheme="minorEastAsia" w:cs="宋体" w:hint="eastAsia"/>
          <w:b/>
          <w:color w:val="000000"/>
          <w:kern w:val="0"/>
          <w:sz w:val="32"/>
          <w:szCs w:val="32"/>
        </w:rPr>
      </w:pPr>
    </w:p>
    <w:p w:rsidR="0027388E" w:rsidRPr="0032125E" w:rsidRDefault="0027388E" w:rsidP="0027388E">
      <w:pPr>
        <w:widowControl/>
        <w:spacing w:line="360" w:lineRule="atLeast"/>
        <w:jc w:val="left"/>
        <w:rPr>
          <w:rFonts w:asciiTheme="minorEastAsia" w:hAnsiTheme="minorEastAsia" w:cs="宋体"/>
          <w:b/>
          <w:color w:val="000000"/>
          <w:kern w:val="0"/>
          <w:sz w:val="32"/>
          <w:szCs w:val="32"/>
        </w:rPr>
      </w:pPr>
      <w:r w:rsidRPr="0032125E">
        <w:rPr>
          <w:rFonts w:asciiTheme="minorEastAsia" w:hAnsiTheme="minorEastAsia" w:cs="宋体" w:hint="eastAsia"/>
          <w:b/>
          <w:color w:val="000000"/>
          <w:kern w:val="0"/>
          <w:sz w:val="32"/>
          <w:szCs w:val="32"/>
        </w:rPr>
        <w:t>附表2</w:t>
      </w:r>
    </w:p>
    <w:p w:rsidR="0027388E" w:rsidRPr="0032125E" w:rsidRDefault="0027388E" w:rsidP="0027388E">
      <w:pPr>
        <w:widowControl/>
        <w:spacing w:line="360" w:lineRule="atLeast"/>
        <w:jc w:val="center"/>
        <w:rPr>
          <w:rFonts w:asciiTheme="minorEastAsia" w:hAnsiTheme="minorEastAsia" w:cs="宋体"/>
          <w:b/>
          <w:bCs/>
          <w:color w:val="000000"/>
          <w:kern w:val="0"/>
          <w:sz w:val="32"/>
          <w:szCs w:val="32"/>
        </w:rPr>
      </w:pPr>
      <w:r w:rsidRPr="0032125E">
        <w:rPr>
          <w:rFonts w:asciiTheme="minorEastAsia" w:hAnsiTheme="minorEastAsia" w:cs="宋体" w:hint="eastAsia"/>
          <w:b/>
          <w:bCs/>
          <w:color w:val="000000"/>
          <w:kern w:val="0"/>
          <w:sz w:val="32"/>
          <w:szCs w:val="32"/>
        </w:rPr>
        <w:t>专业工程类别和等级表</w:t>
      </w:r>
    </w:p>
    <w:p w:rsidR="0032125E" w:rsidRPr="0027388E" w:rsidRDefault="0032125E" w:rsidP="0027388E">
      <w:pPr>
        <w:widowControl/>
        <w:spacing w:line="360" w:lineRule="atLeast"/>
        <w:jc w:val="center"/>
        <w:rPr>
          <w:rFonts w:asciiTheme="minorEastAsia" w:hAnsiTheme="minorEastAsia" w:cs="宋体"/>
          <w:color w:val="000000"/>
          <w:kern w:val="0"/>
          <w:szCs w:val="21"/>
        </w:rPr>
      </w:pPr>
    </w:p>
    <w:tbl>
      <w:tblPr>
        <w:tblW w:w="5000" w:type="pct"/>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420"/>
        <w:gridCol w:w="588"/>
        <w:gridCol w:w="1175"/>
        <w:gridCol w:w="2183"/>
        <w:gridCol w:w="2183"/>
        <w:gridCol w:w="1847"/>
      </w:tblGrid>
      <w:tr w:rsidR="0027388E" w:rsidRPr="0027388E" w:rsidTr="0027388E">
        <w:trPr>
          <w:tblCellSpacing w:w="0" w:type="dxa"/>
          <w:jc w:val="center"/>
        </w:trPr>
        <w:tc>
          <w:tcPr>
            <w:tcW w:w="250" w:type="pc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center"/>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序号</w:t>
            </w:r>
          </w:p>
        </w:tc>
        <w:tc>
          <w:tcPr>
            <w:tcW w:w="0" w:type="auto"/>
            <w:gridSpan w:val="2"/>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center"/>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工程类别</w:t>
            </w:r>
          </w:p>
        </w:tc>
        <w:tc>
          <w:tcPr>
            <w:tcW w:w="1300" w:type="pc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center"/>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一级</w:t>
            </w:r>
          </w:p>
        </w:tc>
        <w:tc>
          <w:tcPr>
            <w:tcW w:w="1300" w:type="pc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center"/>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二级</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center"/>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三级</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一</w:t>
            </w:r>
          </w:p>
        </w:tc>
        <w:tc>
          <w:tcPr>
            <w:tcW w:w="350" w:type="pct"/>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房屋</w:t>
            </w:r>
            <w:r w:rsidRPr="0027388E">
              <w:rPr>
                <w:rFonts w:asciiTheme="minorEastAsia" w:hAnsiTheme="minorEastAsia" w:cs="宋体" w:hint="eastAsia"/>
                <w:color w:val="000000"/>
                <w:kern w:val="0"/>
                <w:szCs w:val="21"/>
              </w:rPr>
              <w:br/>
              <w:t>建筑</w:t>
            </w:r>
            <w:r w:rsidRPr="0027388E">
              <w:rPr>
                <w:rFonts w:asciiTheme="minorEastAsia" w:hAnsiTheme="minorEastAsia" w:cs="宋体" w:hint="eastAsia"/>
                <w:color w:val="000000"/>
                <w:kern w:val="0"/>
                <w:szCs w:val="21"/>
              </w:rPr>
              <w:br/>
              <w:t>工程</w:t>
            </w:r>
          </w:p>
        </w:tc>
        <w:tc>
          <w:tcPr>
            <w:tcW w:w="700" w:type="pc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一般公共建筑</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28层以上；36米跨度以上（轻钢结构除外）；单项工程建筑面积3万平方米以上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14—28层；24—36米跨度（轻钢结构除外）；单项工程建筑面积1万—3万平方米</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14层以下；24米跨度以下（轻钢结构除外）；单项工程建筑面积1万平方米以下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高耸构筑工程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高度120米以上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高度70—120米</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高度70米以下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住宅工程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小区建筑面积12万平方米以上；单项工程28层以上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建筑面积6万—12万平方米；单项工程14—28层</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建筑面积6万平方米以下；单项工程14层以下</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二</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冶炼</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钢铁冶炼、连铸工程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年产100万吨以上；单座高炉炉容1250立方米以上；单座公称容量转炉100吨以上；电炉50吨以上；连铸年产100万吨以上或板坯连铸单机1450毫米以上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年产100万吨以下；单座高炉炉容1250立方米以下；单座公称容量转炉100吨以下；电炉50吨以下；连铸年产100万吨以下或板坯连铸单机1450毫米以下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轧钢工程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热轧年产100万吨以上，装备连续、半连续轧机；冷轧带板年产100万吨以上，冷轧线材年产30万吨以上或装备连续、半连续轧机。</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热轧年产100万吨以下，装备连续、半连续轧机；冷轧带板年产100万吨以下，冷轧线材年产30万吨以下或装备连续、半连续轧机</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冶炼辅助工程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炼焦工程年产50万吨以上或炭化室高度4．3米以上；单台烧结机100平方米以上；小时</w:t>
            </w:r>
            <w:r w:rsidRPr="0027388E">
              <w:rPr>
                <w:rFonts w:asciiTheme="minorEastAsia" w:hAnsiTheme="minorEastAsia" w:cs="宋体" w:hint="eastAsia"/>
                <w:color w:val="000000"/>
                <w:kern w:val="0"/>
                <w:szCs w:val="21"/>
              </w:rPr>
              <w:lastRenderedPageBreak/>
              <w:t>制氧300立方米以上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炼焦工程年产50万吨以下或炭化室高度4．3米以下；单台烧结机100平方米以下：小时</w:t>
            </w:r>
            <w:r w:rsidRPr="0027388E">
              <w:rPr>
                <w:rFonts w:asciiTheme="minorEastAsia" w:hAnsiTheme="minorEastAsia" w:cs="宋体" w:hint="eastAsia"/>
                <w:color w:val="000000"/>
                <w:kern w:val="0"/>
                <w:szCs w:val="21"/>
              </w:rPr>
              <w:lastRenderedPageBreak/>
              <w:t>制氧300立方米以下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有色冶炼工程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有色冶炼年产10万吨以上；有色金属加工年产5万吨以上；氧化铝工程40万吨以上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有色冶炼年产10万吨以下；有色金属加工年产5万吨以下；氧化铝工程40万吨以下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建材工程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水泥日产2000吨以上；浮化玻璃日熔量400吨以上；池窑拉丝玻璃纤维、特种纤维；特种陶瓷生产线工程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水泥日产2000吨以下：浮化玻璃日熔量400吨以下；普通玻璃生产线；组合炉拉丝玻璃纤维；非金属材料、玻璃钢、耐火材料、建筑及卫生陶瓷厂工程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三</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矿山</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煤矿工程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年产120万吨以上的井工矿工程；年产120万吨以上的洗选煤工程；深度800米以上的立井井筒工程；年产400万吨以上的露天矿山工程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年产120万吨以下的井工矿工程；年产120万吨以下的洗选煤工程；深度800米以下的立井井筒工程：年产400万吨以下的露天矿山工程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冶金矿山工程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年产100万吨以上的黑色矿山采选工程；年产100万吨以上的有色砂矿采、选工程；年产60万吨以上的有色脉矿采、选工程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年产100万吨以下的黑色矿山采选工程；年产100万吨以下的有色砂矿采、选工程；年产60万吨以下的有色脉矿采、选工程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化工矿山工程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年产60万吨以上的磷矿、硫铁矿工程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年产60万吨以下的磷矿、硫铁矿工程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铀矿工程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年产10万吨以上的铀矿；年产200吨以上的铀选冶</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年产10万吨以下的铀矿；年产200吨以下的铀选冶</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建材类非金属矿工程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年产70万吨以上的石灰石矿；年产30万吨以上的石膏矿、石英砂岩矿</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年产70万吨以下的石灰石矿；年产30万吨以下的石膏矿、石英砂岩矿</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四</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化工</w:t>
            </w:r>
            <w:r w:rsidRPr="0027388E">
              <w:rPr>
                <w:rFonts w:asciiTheme="minorEastAsia" w:hAnsiTheme="minorEastAsia" w:cs="宋体" w:hint="eastAsia"/>
                <w:color w:val="000000"/>
                <w:kern w:val="0"/>
                <w:szCs w:val="21"/>
              </w:rPr>
              <w:br/>
              <w:t>石油</w:t>
            </w:r>
            <w:r w:rsidRPr="0027388E">
              <w:rPr>
                <w:rFonts w:asciiTheme="minorEastAsia" w:hAnsiTheme="minorEastAsia" w:cs="宋体" w:hint="eastAsia"/>
                <w:color w:val="000000"/>
                <w:kern w:val="0"/>
                <w:szCs w:val="21"/>
              </w:rPr>
              <w:br/>
            </w:r>
            <w:r w:rsidRPr="0027388E">
              <w:rPr>
                <w:rFonts w:asciiTheme="minorEastAsia" w:hAnsiTheme="minorEastAsia" w:cs="宋体" w:hint="eastAsia"/>
                <w:color w:val="000000"/>
                <w:kern w:val="0"/>
                <w:szCs w:val="21"/>
              </w:rPr>
              <w:lastRenderedPageBreak/>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油田工程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原油处理能力150万吨／年以上、天然气处理</w:t>
            </w:r>
            <w:r w:rsidRPr="0027388E">
              <w:rPr>
                <w:rFonts w:asciiTheme="minorEastAsia" w:hAnsiTheme="minorEastAsia" w:cs="宋体" w:hint="eastAsia"/>
                <w:color w:val="000000"/>
                <w:kern w:val="0"/>
                <w:szCs w:val="21"/>
              </w:rPr>
              <w:lastRenderedPageBreak/>
              <w:t>能力150万方／天以上、产能50万吨以上及配套设施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原油处理能力150万吨／年以下、天然气处理</w:t>
            </w:r>
            <w:r w:rsidRPr="0027388E">
              <w:rPr>
                <w:rFonts w:asciiTheme="minorEastAsia" w:hAnsiTheme="minorEastAsia" w:cs="宋体" w:hint="eastAsia"/>
                <w:color w:val="000000"/>
                <w:kern w:val="0"/>
                <w:szCs w:val="21"/>
              </w:rPr>
              <w:lastRenderedPageBreak/>
              <w:t>能力150万方／天以下、产能50万吨以下及配套设施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油气储运工程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压力容器8MPa以上；油气储罐10万立方米／台以上；长输管道120千米以上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压力容器8MPa以下；油气储罐10万立方米／台以下；长输管道120千米以下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炼油化工工程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原油处理能力在500万吨／年以上的一次加工及相应二次加工装置和后加工装置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原油处理能力在500万吨／年以下的一次加工及相应二次加工装置和后加工装置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基本原材料工程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年产30万吨以上的乙烯工程；年产4万吨以上的合成橡胶、合成树脂及塑料和化纤工程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年产30万吨以下的乙烯工程；年产4万吨以下的合成橡胶、合成树脂及塑料和化纤工程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化肥工程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年产20万吨以上合成氨及相应后加工装置；年产24万吨以上磷氨工程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年产20万吨以下合成氨及相应后加工装置；年产24万吨以下磷氨工程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酸碱工程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年产硫酸16万吨以上；年产烧碱8万吨以上；年产纯碱40万吨以上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年产硫酸16万吨以下；年产烧碱8万吨以下；年产纯碱40万吨以下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轮胎工程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年产30万套以上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年产30万套以下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核化工及加工工程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年产1000吨以上的铀转换化工工程；年产100吨以上的铀浓缩工程；总投资10亿元以上的乏燃料后处理工程；年产200吨以上的燃料元件加工工程；总投资5000万元以上的核技术及同位素应用工程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年产1000吨以下的铀转换化工工程；年产100吨以下的铀浓缩工程；总投资10亿元以下的乏燃料后处理工程；年产200吨以下的燃料元件加工工程；总投资5000万元以下的核技术及同位素应用工程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医药及其它化工工程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总投资1亿元以上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总投资1亿元以下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五</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水利</w:t>
            </w:r>
            <w:r w:rsidRPr="0027388E">
              <w:rPr>
                <w:rFonts w:asciiTheme="minorEastAsia" w:hAnsiTheme="minorEastAsia" w:cs="宋体" w:hint="eastAsia"/>
                <w:color w:val="000000"/>
                <w:kern w:val="0"/>
                <w:szCs w:val="21"/>
              </w:rPr>
              <w:br/>
            </w:r>
            <w:r w:rsidRPr="0027388E">
              <w:rPr>
                <w:rFonts w:asciiTheme="minorEastAsia" w:hAnsiTheme="minorEastAsia" w:cs="宋体" w:hint="eastAsia"/>
                <w:color w:val="000000"/>
                <w:kern w:val="0"/>
                <w:szCs w:val="21"/>
              </w:rPr>
              <w:lastRenderedPageBreak/>
              <w:t>水电</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水库工程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总库容1亿立方米以上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总库容1千万—1亿立</w:t>
            </w:r>
            <w:r w:rsidRPr="0027388E">
              <w:rPr>
                <w:rFonts w:asciiTheme="minorEastAsia" w:hAnsiTheme="minorEastAsia" w:cs="宋体" w:hint="eastAsia"/>
                <w:color w:val="000000"/>
                <w:kern w:val="0"/>
                <w:szCs w:val="21"/>
              </w:rPr>
              <w:lastRenderedPageBreak/>
              <w:t>方米</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总库容1千万立方</w:t>
            </w:r>
            <w:r w:rsidRPr="0027388E">
              <w:rPr>
                <w:rFonts w:asciiTheme="minorEastAsia" w:hAnsiTheme="minorEastAsia" w:cs="宋体" w:hint="eastAsia"/>
                <w:color w:val="000000"/>
                <w:kern w:val="0"/>
                <w:szCs w:val="21"/>
              </w:rPr>
              <w:lastRenderedPageBreak/>
              <w:t>米以下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水力发电站工程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总装机容量300MW以上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总装机容量50MW—300MW</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总装机容量50MW以下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其它水利工程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引调水堤防等级1级；灌溉排涝流量5立方米／秒以上；河道整治面积30万亩以上；城市防洪城市人口50万人以上；围垦面积5万亩以上；水土保持综合治理面积1000平方公里以上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引调水堤防等级2、3级；灌溉排涝流量0．5—5立方米／秒；河道整治面积3万—30万亩；城市防洪城市人口20万—50万人；围垦面积0．5万—5万亩；水土保持综合治理面积100—1000平方公里</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引调水堤防等级4、5级；灌溉排涝流量0．5立方米／秒以下；河道整治面积3万亩以下；城市防洪城市人口20万人以下；围垦面积0．5万亩以下；水土保持综合治理面积100平方公里以下</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六</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电力</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火力发电站工程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单机容量30万千瓦以上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单机容量30万千瓦以下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输变电工程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330千伏以上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330千伏以下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核电工程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核电站；核反应堆工程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七</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农林</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林业局（场）总体工程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面积35万公顷以上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面积35万公顷以下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林产工业工程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农业综合开发工程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总投资3000万元以上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总投资3000万元以下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种植业工程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2万亩以上或总投资1500万元以上；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2万亩以下或总投资1500万元以下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兽医／畜牧工程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总投资1500万元以上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总投资1500万元以下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渔业工程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渔港工程总投资3000万元以上；水产养殖等其他工程总投资1500万元以上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渔港工程总投资3000万元以下；水产养殖等其他工程总投资1500万元以下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设施农业工程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设施园艺工程1公顷以上；农产品加工等其他工程总投资1500万元以上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设施园艺工程1公顷以下；农产品加工等其他工程总投资1500万元以下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核设施退役及放射性三废处理处置工程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八</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铁路</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铁路综合工程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新建、改建一级干线；单线铁路40千米以上；双线30千米以上及枢纽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单线铁路40千米以下；双线30千米以下；二级干线及站线；专用线、专用铁路</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铁路桥梁工程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桥长500米以上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桥长500米以下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铁路隧道工程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单线3000米以上；双线1500米以上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单线3000米以下；双线1500米以下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铁路通信、信号、电力电气化工程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新建、改建铁路（含枢纽、配、变电所、分区亭）单双线200千米及以上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新建、改建铁路（不含枢纽、配、变电所、分区亭）单双线200千米及以下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九</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公路</w:t>
            </w:r>
            <w:r w:rsidRPr="0027388E">
              <w:rPr>
                <w:rFonts w:asciiTheme="minorEastAsia" w:hAnsiTheme="minorEastAsia" w:cs="宋体" w:hint="eastAsia"/>
                <w:color w:val="000000"/>
                <w:kern w:val="0"/>
                <w:szCs w:val="21"/>
              </w:rPr>
              <w:br/>
              <w:t>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公路工程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高速公路</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高速公路路基工程及一级公路</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一级公路路基工程及二级以下各级公路</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公路桥梁工程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独立大桥工程；特大桥总长1000米以上或单跨跨径150米以上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大桥、中桥桥梁总长30—1000米或单跨跨径20—150米</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小桥总长30米以下或单跨跨径20米以下；涵洞工程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公路隧道工程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隧道长度1000米以上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隧道长度500—1000米</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隧道长度500米以下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其它工程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通讯、监控、收费等机电工程，高速公路交通安全设施、环保工程和沿线附属设施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一级公路交通安全设施、环保工程和沿线附属设施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二级及以下公路交通安全设施、环保工程和沿线附属设施</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十</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港口与航道工程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港口工程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集装箱、件杂、多用途等沿海港口工程20000吨级以上；散货、原油沿海港口工程30000吨级以上；1000吨级以上内河港口工程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集装箱、件杂、多用途等沿海港口工程20000吨级以下；散货、原油沿海港口工程30000吨级以下；1000吨级以下内河港口工程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通航建筑与</w:t>
            </w:r>
            <w:r w:rsidRPr="0027388E">
              <w:rPr>
                <w:rFonts w:asciiTheme="minorEastAsia" w:hAnsiTheme="minorEastAsia" w:cs="宋体" w:hint="eastAsia"/>
                <w:color w:val="000000"/>
                <w:kern w:val="0"/>
                <w:szCs w:val="21"/>
              </w:rPr>
              <w:lastRenderedPageBreak/>
              <w:t>整治工程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1000吨级以上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1000吨级以下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航道工程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通航30000吨级以上船舶沿海复杂航道；通航1000吨级以上船舶的内河航运工程项目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通航30000吨级以下船舶沿海航道；通航1000吨级以下船舶的内河航运工程项目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修造船水工工程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10000吨位以上的船坞工程；船体重量5000吨位以上的船台、滑道工程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10000吨位以下的船坞工程；船体重量5000吨位以下的船台、滑道工程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防波堤、导流堤等水工工程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最大水深6米以上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最大水深6米以下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其它水运工程项目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建安工程费6000万元以上的沿海水运工程项目；建安工程费4000万元以上的内河水运工程项目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建安工程费6000万元以下的沿海水运工程项目；建安工程费4000万元以下的内河水运工程项目</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十一</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航天航空工程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民用机场工程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飞行区指标为4E及以上及其配套工程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飞行区指标为4D及以下及其配套工程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航空飞行器</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航空飞行器（综合）工程总投资1亿元以上；航空飞行器（单项）工程总投资3000万元以上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航空飞行器（综合）工程总投资1亿元以下；航空飞行器（单项）工程总投资3000万元以下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航天空间飞行器</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工程总投资3000万元以上；面积3000平方米以上：跨度18米以上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工程总投资3000万元以下；面积3000平方米以下；跨度18米以下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十二</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通信工程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有线、无线传输通信工程，卫星、综合布线</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省际通信、信息网络工程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省内通信、信息网络工程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邮政、电信、广播枢纽及交换工程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省会城市邮政、电信枢纽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地市级城市邮政、电信枢纽</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发射台工程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总发射功率500千瓦以上短波或600千瓦以上中波发射台；高度200米以上广播电视发射塔</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总发射功率500千瓦以下短波或600千瓦以下中波发射台；高度200米以下广播电视发射塔</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十三</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市政公用工程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城市道路工程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城市快速路、主干路，城市互通式立交桥及单孔跨径100米以上桥梁；长度1000米以上的隧道工程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城市次干路工程，城市分离式立交桥及单孔跨径100米以下的桥梁；长度1000米以下的隧道工程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城市支路工程、过街天桥及地下通道工程。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给水排水工程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10万吨／日以上的给水厂；5万吨／日以上污水处理工程；3立方米／秒以上的给水、污水泵站；15立方米／秒以上的雨泵站；直径2．5米以上的给排水管道</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2万—10万吨／日的给水厂；1万—5万吨／日污水处理工程；1—3立方米／秒的给水、污水泵站；5—15 立方米／秒的雨泵站；直径1—2．5米的给水管道；直径1．5—2．5米的排水管道</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2万吨／日以下的给水厂；1万吨／日以下污水处理工程；1立方米／秒以下的给水、污水泵站；5立方米／秒以下的雨泵站；直径1米以下的给水管道；直径1．5米以下的排水管道</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燃气热力工程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总储存容积1000立方米以上液化气贮罐场（站）；供气规模15万立方米／日以上的燃气工程；中压以上的燃气管道、调压站；供热面积150万平方米以上的热力工程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总储存容积1000立方米以下的液化气贮罐场（站）；供气规模15万立方米／日以下的燃气工程；中压以下的燃气管道、调压站；供热面积50万—150万平方米的热力工程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供热面积50万平方米以下的热力工程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垃圾处理工程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1200吨／日以上的垃圾焚烧和填埋工程。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500—1200吨／日的垃圾焚烧及填埋工程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500吨／日以下的垃圾焚烧及填埋工程</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地铁轻轨工程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各类地铁轻轨工程。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风景园林工程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总投资3000万元以上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总投资1000万—3000万元</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总投资1000万元以下</w:t>
            </w:r>
          </w:p>
        </w:tc>
      </w:tr>
      <w:tr w:rsidR="0027388E" w:rsidRPr="0027388E" w:rsidTr="0027388E">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十</w:t>
            </w:r>
            <w:r w:rsidRPr="0027388E">
              <w:rPr>
                <w:rFonts w:asciiTheme="minorEastAsia" w:hAnsiTheme="minorEastAsia" w:cs="宋体" w:hint="eastAsia"/>
                <w:color w:val="000000"/>
                <w:kern w:val="0"/>
                <w:szCs w:val="21"/>
              </w:rPr>
              <w:lastRenderedPageBreak/>
              <w:t>四</w:t>
            </w:r>
          </w:p>
        </w:tc>
        <w:tc>
          <w:tcPr>
            <w:tcW w:w="0" w:type="auto"/>
            <w:vMerge w:val="restart"/>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机电</w:t>
            </w:r>
            <w:r w:rsidRPr="0027388E">
              <w:rPr>
                <w:rFonts w:asciiTheme="minorEastAsia" w:hAnsiTheme="minorEastAsia" w:cs="宋体" w:hint="eastAsia"/>
                <w:color w:val="000000"/>
                <w:kern w:val="0"/>
                <w:szCs w:val="21"/>
              </w:rPr>
              <w:lastRenderedPageBreak/>
              <w:t>安装工程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lastRenderedPageBreak/>
              <w:t>机械工程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电子工程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总投资1亿元以上；含有净化级别6级以上的工程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总投资1亿元以下；含有净化级别6级以下的工程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轻纺工程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兵器工程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建安工程费3000万元以上的坦克装甲车辆、炸药、弹箭工程；建安工程费2000万元以上的枪炮、光电工程；建安工程费1000万元以上的防化民爆工程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建安工程费3000万元以下的坦克装甲车辆、炸药、弹箭工程；建安工程费2000万元以下的枪炮、光电工程；建安工程费1000万元以下的防化民爆工程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船舶工程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船舶制造工程总投资1亿元以上；船舶科研、机械、修理工程总投资5000万元以上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船舶制造工程总投资1亿元以下；船舶科研、机械、修理工程总投资5000万元以下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r w:rsidR="0027388E" w:rsidRPr="0027388E" w:rsidTr="0027388E">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vMerge/>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jc w:val="left"/>
              <w:rPr>
                <w:rFonts w:asciiTheme="minorEastAsia" w:hAnsiTheme="minorEastAsia" w:cs="宋体"/>
                <w:color w:val="000000"/>
                <w:kern w:val="0"/>
                <w:szCs w:val="21"/>
              </w:rPr>
            </w:pP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其它工程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总投资5000万元以上</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总投资5000万元以下</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27388E" w:rsidRPr="0027388E" w:rsidRDefault="0027388E" w:rsidP="0027388E">
            <w:pPr>
              <w:widowControl/>
              <w:spacing w:line="360" w:lineRule="atLeast"/>
              <w:jc w:val="left"/>
              <w:rPr>
                <w:rFonts w:asciiTheme="minorEastAsia" w:hAnsiTheme="minorEastAsia" w:cs="宋体"/>
                <w:color w:val="000000"/>
                <w:kern w:val="0"/>
                <w:szCs w:val="21"/>
              </w:rPr>
            </w:pPr>
            <w:r w:rsidRPr="0027388E">
              <w:rPr>
                <w:rFonts w:asciiTheme="minorEastAsia" w:hAnsiTheme="minorEastAsia" w:cs="宋体" w:hint="eastAsia"/>
                <w:color w:val="000000"/>
                <w:kern w:val="0"/>
                <w:szCs w:val="21"/>
              </w:rPr>
              <w:t xml:space="preserve">　</w:t>
            </w:r>
          </w:p>
        </w:tc>
      </w:tr>
    </w:tbl>
    <w:p w:rsidR="0027388E" w:rsidRPr="0027388E" w:rsidRDefault="0027388E" w:rsidP="0027388E">
      <w:pPr>
        <w:ind w:firstLine="630"/>
        <w:rPr>
          <w:rFonts w:asciiTheme="minorEastAsia" w:hAnsiTheme="minorEastAsia"/>
          <w:szCs w:val="21"/>
        </w:rPr>
      </w:pPr>
    </w:p>
    <w:sectPr w:rsidR="0027388E" w:rsidRPr="0027388E" w:rsidSect="00FB0E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2B4" w:rsidRDefault="009E62B4" w:rsidP="00FB1A8C">
      <w:r>
        <w:separator/>
      </w:r>
    </w:p>
  </w:endnote>
  <w:endnote w:type="continuationSeparator" w:id="1">
    <w:p w:rsidR="009E62B4" w:rsidRDefault="009E62B4" w:rsidP="00FB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2B4" w:rsidRDefault="009E62B4" w:rsidP="00FB1A8C">
      <w:r>
        <w:separator/>
      </w:r>
    </w:p>
  </w:footnote>
  <w:footnote w:type="continuationSeparator" w:id="1">
    <w:p w:rsidR="009E62B4" w:rsidRDefault="009E62B4" w:rsidP="00FB1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A5594"/>
    <w:multiLevelType w:val="hybridMultilevel"/>
    <w:tmpl w:val="4A98005C"/>
    <w:lvl w:ilvl="0" w:tplc="49E8A8F4">
      <w:start w:val="1"/>
      <w:numFmt w:val="japaneseCounting"/>
      <w:lvlText w:val="%1、"/>
      <w:lvlJc w:val="left"/>
      <w:pPr>
        <w:ind w:left="1665" w:hanging="7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
    <w:nsid w:val="48800A26"/>
    <w:multiLevelType w:val="hybridMultilevel"/>
    <w:tmpl w:val="6CFA21F0"/>
    <w:lvl w:ilvl="0" w:tplc="6C6A8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D7368C"/>
    <w:multiLevelType w:val="hybridMultilevel"/>
    <w:tmpl w:val="F150437E"/>
    <w:lvl w:ilvl="0" w:tplc="659ECE24">
      <w:start w:val="1"/>
      <w:numFmt w:val="japaneseCounting"/>
      <w:lvlText w:val="%1、"/>
      <w:lvlJc w:val="left"/>
      <w:pPr>
        <w:ind w:left="1695" w:hanging="72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A8C"/>
    <w:rsid w:val="00022040"/>
    <w:rsid w:val="00054621"/>
    <w:rsid w:val="000A1601"/>
    <w:rsid w:val="000C34B4"/>
    <w:rsid w:val="0015783A"/>
    <w:rsid w:val="0017329E"/>
    <w:rsid w:val="00174BFF"/>
    <w:rsid w:val="001D759F"/>
    <w:rsid w:val="0027388E"/>
    <w:rsid w:val="0032125E"/>
    <w:rsid w:val="0033089D"/>
    <w:rsid w:val="003662B0"/>
    <w:rsid w:val="00376276"/>
    <w:rsid w:val="003A05D2"/>
    <w:rsid w:val="004D2273"/>
    <w:rsid w:val="005D70FF"/>
    <w:rsid w:val="0069446C"/>
    <w:rsid w:val="0070365D"/>
    <w:rsid w:val="00703EB5"/>
    <w:rsid w:val="007D2D45"/>
    <w:rsid w:val="00820FE2"/>
    <w:rsid w:val="008862E0"/>
    <w:rsid w:val="008F3AD0"/>
    <w:rsid w:val="00923FBC"/>
    <w:rsid w:val="00986310"/>
    <w:rsid w:val="009E204D"/>
    <w:rsid w:val="009E62B4"/>
    <w:rsid w:val="00A34DCA"/>
    <w:rsid w:val="00B145CB"/>
    <w:rsid w:val="00B775BF"/>
    <w:rsid w:val="00C12C76"/>
    <w:rsid w:val="00CF2CAB"/>
    <w:rsid w:val="00D62846"/>
    <w:rsid w:val="00EF3F55"/>
    <w:rsid w:val="00F17463"/>
    <w:rsid w:val="00F51FA2"/>
    <w:rsid w:val="00F54586"/>
    <w:rsid w:val="00F763F6"/>
    <w:rsid w:val="00FB0E13"/>
    <w:rsid w:val="00FB1A8C"/>
    <w:rsid w:val="00FC0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1A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1A8C"/>
    <w:rPr>
      <w:sz w:val="18"/>
      <w:szCs w:val="18"/>
    </w:rPr>
  </w:style>
  <w:style w:type="paragraph" w:styleId="a4">
    <w:name w:val="footer"/>
    <w:basedOn w:val="a"/>
    <w:link w:val="Char0"/>
    <w:uiPriority w:val="99"/>
    <w:semiHidden/>
    <w:unhideWhenUsed/>
    <w:rsid w:val="00FB1A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1A8C"/>
    <w:rPr>
      <w:sz w:val="18"/>
      <w:szCs w:val="18"/>
    </w:rPr>
  </w:style>
  <w:style w:type="paragraph" w:styleId="a5">
    <w:name w:val="List Paragraph"/>
    <w:basedOn w:val="a"/>
    <w:uiPriority w:val="34"/>
    <w:qFormat/>
    <w:rsid w:val="00FB1A8C"/>
    <w:pPr>
      <w:ind w:firstLineChars="200" w:firstLine="420"/>
    </w:pPr>
  </w:style>
  <w:style w:type="character" w:styleId="a6">
    <w:name w:val="Strong"/>
    <w:basedOn w:val="a0"/>
    <w:uiPriority w:val="22"/>
    <w:qFormat/>
    <w:rsid w:val="0027388E"/>
    <w:rPr>
      <w:b/>
      <w:bCs/>
    </w:rPr>
  </w:style>
  <w:style w:type="paragraph" w:styleId="a7">
    <w:name w:val="Normal (Web)"/>
    <w:basedOn w:val="a"/>
    <w:uiPriority w:val="99"/>
    <w:semiHidden/>
    <w:unhideWhenUsed/>
    <w:rsid w:val="00923FBC"/>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272855878">
      <w:bodyDiv w:val="1"/>
      <w:marLeft w:val="0"/>
      <w:marRight w:val="0"/>
      <w:marTop w:val="0"/>
      <w:marBottom w:val="0"/>
      <w:divBdr>
        <w:top w:val="none" w:sz="0" w:space="0" w:color="auto"/>
        <w:left w:val="none" w:sz="0" w:space="0" w:color="auto"/>
        <w:bottom w:val="none" w:sz="0" w:space="0" w:color="auto"/>
        <w:right w:val="none" w:sz="0" w:space="0" w:color="auto"/>
      </w:divBdr>
      <w:divsChild>
        <w:div w:id="1524054402">
          <w:marLeft w:val="0"/>
          <w:marRight w:val="0"/>
          <w:marTop w:val="0"/>
          <w:marBottom w:val="0"/>
          <w:divBdr>
            <w:top w:val="none" w:sz="0" w:space="0" w:color="auto"/>
            <w:left w:val="none" w:sz="0" w:space="0" w:color="auto"/>
            <w:bottom w:val="none" w:sz="0" w:space="0" w:color="auto"/>
            <w:right w:val="none" w:sz="0" w:space="0" w:color="auto"/>
          </w:divBdr>
          <w:divsChild>
            <w:div w:id="445463041">
              <w:marLeft w:val="0"/>
              <w:marRight w:val="0"/>
              <w:marTop w:val="0"/>
              <w:marBottom w:val="0"/>
              <w:divBdr>
                <w:top w:val="none" w:sz="0" w:space="0" w:color="auto"/>
                <w:left w:val="none" w:sz="0" w:space="0" w:color="auto"/>
                <w:bottom w:val="none" w:sz="0" w:space="0" w:color="auto"/>
                <w:right w:val="none" w:sz="0" w:space="0" w:color="auto"/>
              </w:divBdr>
              <w:divsChild>
                <w:div w:id="10570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1216</Words>
  <Characters>6934</Characters>
  <Application>Microsoft Office Word</Application>
  <DocSecurity>0</DocSecurity>
  <Lines>57</Lines>
  <Paragraphs>16</Paragraphs>
  <ScaleCrop>false</ScaleCrop>
  <Company>Lenovo</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61</cp:revision>
  <dcterms:created xsi:type="dcterms:W3CDTF">2012-12-03T02:11:00Z</dcterms:created>
  <dcterms:modified xsi:type="dcterms:W3CDTF">2012-12-10T02:33:00Z</dcterms:modified>
</cp:coreProperties>
</file>